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16BC" w14:textId="77777777" w:rsidR="0030554F" w:rsidRPr="00696E6C" w:rsidRDefault="0030554F" w:rsidP="0030554F">
      <w:pPr>
        <w:rPr>
          <w:rFonts w:ascii="Times New Roman" w:hAnsi="Times New Roman" w:cs="Times New Roman"/>
          <w:sz w:val="32"/>
          <w:szCs w:val="32"/>
        </w:rPr>
      </w:pPr>
    </w:p>
    <w:p w14:paraId="7E528D03" w14:textId="77777777" w:rsidR="00521534" w:rsidRDefault="00521534" w:rsidP="00D874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In-Demand Jobs Scholarship</w:t>
      </w:r>
    </w:p>
    <w:p w14:paraId="24B21F45" w14:textId="23581B10" w:rsidR="00D8742B" w:rsidRPr="00A97AE2" w:rsidRDefault="00521534" w:rsidP="00D874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AE2">
        <w:rPr>
          <w:rFonts w:ascii="Times New Roman" w:hAnsi="Times New Roman" w:cs="Times New Roman"/>
          <w:b/>
          <w:sz w:val="28"/>
          <w:szCs w:val="28"/>
        </w:rPr>
        <w:t>Frequently Asked Questions</w:t>
      </w:r>
    </w:p>
    <w:p w14:paraId="0612E9F1" w14:textId="77777777" w:rsidR="00B7066C" w:rsidRPr="00696E6C" w:rsidRDefault="00B7066C" w:rsidP="00D874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97B2BB" w14:textId="1FB4C1C9" w:rsidR="00521534" w:rsidRDefault="00521534" w:rsidP="005215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1534">
        <w:rPr>
          <w:rFonts w:ascii="Times New Roman" w:hAnsi="Times New Roman" w:cs="Times New Roman"/>
          <w:b/>
          <w:bCs/>
          <w:sz w:val="28"/>
          <w:szCs w:val="28"/>
        </w:rPr>
        <w:t>Q: Who can apply for this scholarship?</w:t>
      </w:r>
    </w:p>
    <w:p w14:paraId="718650DF" w14:textId="2620F2BE" w:rsidR="00883E07" w:rsidRDefault="001D5620" w:rsidP="00521534">
      <w:pPr>
        <w:rPr>
          <w:rFonts w:ascii="Times New Roman" w:hAnsi="Times New Roman" w:cs="Times New Roman"/>
          <w:sz w:val="28"/>
          <w:szCs w:val="28"/>
        </w:rPr>
      </w:pPr>
      <w:r w:rsidRPr="00521534">
        <w:rPr>
          <w:rFonts w:ascii="Times New Roman" w:hAnsi="Times New Roman" w:cs="Times New Roman"/>
          <w:sz w:val="28"/>
          <w:szCs w:val="28"/>
        </w:rPr>
        <w:t>Only students starting an in-demand major in Fall 202</w:t>
      </w:r>
      <w:r w:rsidR="00E74938">
        <w:rPr>
          <w:rFonts w:ascii="Times New Roman" w:hAnsi="Times New Roman" w:cs="Times New Roman"/>
          <w:sz w:val="28"/>
          <w:szCs w:val="28"/>
        </w:rPr>
        <w:t>5</w:t>
      </w:r>
      <w:r w:rsidRPr="00521534">
        <w:rPr>
          <w:rFonts w:ascii="Times New Roman" w:hAnsi="Times New Roman" w:cs="Times New Roman"/>
          <w:sz w:val="28"/>
          <w:szCs w:val="28"/>
        </w:rPr>
        <w:t xml:space="preserve"> can apply</w:t>
      </w:r>
      <w:r w:rsidR="00521534">
        <w:rPr>
          <w:rFonts w:ascii="Times New Roman" w:hAnsi="Times New Roman" w:cs="Times New Roman"/>
          <w:sz w:val="28"/>
          <w:szCs w:val="28"/>
        </w:rPr>
        <w:t>. In-</w:t>
      </w:r>
      <w:r w:rsidR="00675585">
        <w:rPr>
          <w:rFonts w:ascii="Times New Roman" w:hAnsi="Times New Roman" w:cs="Times New Roman"/>
          <w:sz w:val="28"/>
          <w:szCs w:val="28"/>
        </w:rPr>
        <w:t>d</w:t>
      </w:r>
      <w:r w:rsidR="00521534">
        <w:rPr>
          <w:rFonts w:ascii="Times New Roman" w:hAnsi="Times New Roman" w:cs="Times New Roman"/>
          <w:sz w:val="28"/>
          <w:szCs w:val="28"/>
        </w:rPr>
        <w:t xml:space="preserve">emand majors are </w:t>
      </w:r>
      <w:r w:rsidR="00BB1399">
        <w:rPr>
          <w:rFonts w:ascii="Times New Roman" w:hAnsi="Times New Roman" w:cs="Times New Roman"/>
          <w:sz w:val="28"/>
          <w:szCs w:val="28"/>
        </w:rPr>
        <w:t>listed at the end of this FAQ sheet.</w:t>
      </w:r>
      <w:r w:rsidR="00883E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50519" w14:textId="255B3068" w:rsidR="00426A82" w:rsidRDefault="00426A82" w:rsidP="005215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1534">
        <w:rPr>
          <w:rFonts w:ascii="Times New Roman" w:hAnsi="Times New Roman" w:cs="Times New Roman"/>
          <w:b/>
          <w:bCs/>
          <w:sz w:val="28"/>
          <w:szCs w:val="28"/>
        </w:rPr>
        <w:t>Q: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 students need to be new to Sinclair to qualify?</w:t>
      </w:r>
    </w:p>
    <w:p w14:paraId="365CBEF4" w14:textId="0E92EB58" w:rsidR="00426A82" w:rsidRPr="00426A82" w:rsidRDefault="00426A82" w:rsidP="00521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No. Current or stopped out students are encouraged to apply, as long as they </w:t>
      </w:r>
      <w:r w:rsidR="001D5620">
        <w:rPr>
          <w:rFonts w:ascii="Times New Roman" w:hAnsi="Times New Roman" w:cs="Times New Roman"/>
          <w:sz w:val="28"/>
          <w:szCs w:val="28"/>
        </w:rPr>
        <w:t xml:space="preserve">have declared </w:t>
      </w:r>
      <w:r>
        <w:rPr>
          <w:rFonts w:ascii="Times New Roman" w:hAnsi="Times New Roman" w:cs="Times New Roman"/>
          <w:sz w:val="28"/>
          <w:szCs w:val="28"/>
        </w:rPr>
        <w:t xml:space="preserve">a qualified in-demand major </w:t>
      </w:r>
      <w:r w:rsidR="001D5620">
        <w:rPr>
          <w:rFonts w:ascii="Times New Roman" w:hAnsi="Times New Roman" w:cs="Times New Roman"/>
          <w:sz w:val="28"/>
          <w:szCs w:val="28"/>
        </w:rPr>
        <w:t xml:space="preserve">with a program start date of </w:t>
      </w:r>
      <w:r>
        <w:rPr>
          <w:rFonts w:ascii="Times New Roman" w:hAnsi="Times New Roman" w:cs="Times New Roman"/>
          <w:sz w:val="28"/>
          <w:szCs w:val="28"/>
        </w:rPr>
        <w:t>Fall 202</w:t>
      </w:r>
      <w:r w:rsidR="00E74938">
        <w:rPr>
          <w:rFonts w:ascii="Times New Roman" w:hAnsi="Times New Roman" w:cs="Times New Roman"/>
          <w:sz w:val="28"/>
          <w:szCs w:val="28"/>
        </w:rPr>
        <w:t>5</w:t>
      </w:r>
      <w:r w:rsidR="001D5620">
        <w:rPr>
          <w:rFonts w:ascii="Times New Roman" w:hAnsi="Times New Roman" w:cs="Times New Roman"/>
          <w:sz w:val="28"/>
          <w:szCs w:val="28"/>
        </w:rPr>
        <w:t xml:space="preserve"> per the Academic Advising Office.</w:t>
      </w:r>
    </w:p>
    <w:p w14:paraId="75C84CF2" w14:textId="3F1336F2" w:rsidR="00521534" w:rsidRPr="00BB1399" w:rsidRDefault="00521534" w:rsidP="005215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1399">
        <w:rPr>
          <w:rFonts w:ascii="Times New Roman" w:hAnsi="Times New Roman" w:cs="Times New Roman"/>
          <w:b/>
          <w:bCs/>
          <w:sz w:val="28"/>
          <w:szCs w:val="28"/>
        </w:rPr>
        <w:t>Q: Where is the application?</w:t>
      </w:r>
    </w:p>
    <w:p w14:paraId="5F2FB8D4" w14:textId="2FB28892" w:rsidR="00BB1399" w:rsidRDefault="00883E07" w:rsidP="00521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Visit</w:t>
      </w:r>
      <w:r w:rsidR="00BB139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BB1399" w:rsidRPr="000F1038">
          <w:rPr>
            <w:rStyle w:val="Hyperlink"/>
            <w:rFonts w:ascii="Times New Roman" w:hAnsi="Times New Roman" w:cs="Times New Roman"/>
            <w:sz w:val="28"/>
            <w:szCs w:val="28"/>
          </w:rPr>
          <w:t>www.sinclair.edu/scholarships</w:t>
        </w:r>
      </w:hyperlink>
      <w:r w:rsidR="00BB1399">
        <w:rPr>
          <w:rFonts w:ascii="Times New Roman" w:hAnsi="Times New Roman" w:cs="Times New Roman"/>
          <w:sz w:val="28"/>
          <w:szCs w:val="28"/>
        </w:rPr>
        <w:t xml:space="preserve"> and click the links within the In-Demand Jobs paragraphs. </w:t>
      </w:r>
    </w:p>
    <w:p w14:paraId="0011FA55" w14:textId="0491117D" w:rsidR="00521534" w:rsidRPr="00883E07" w:rsidRDefault="00BB1399" w:rsidP="00BB139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B1399">
        <w:rPr>
          <w:rFonts w:ascii="Times New Roman" w:hAnsi="Times New Roman" w:cs="Times New Roman"/>
          <w:sz w:val="28"/>
          <w:szCs w:val="28"/>
        </w:rPr>
        <w:t>D</w:t>
      </w:r>
      <w:r w:rsidR="00521534" w:rsidRPr="00BB1399">
        <w:rPr>
          <w:rFonts w:ascii="Times New Roman" w:hAnsi="Times New Roman" w:cs="Times New Roman"/>
          <w:sz w:val="28"/>
          <w:szCs w:val="28"/>
        </w:rPr>
        <w:t xml:space="preserve">irect URL for students beginning </w:t>
      </w:r>
      <w:r w:rsidR="00470347">
        <w:rPr>
          <w:rFonts w:ascii="Times New Roman" w:hAnsi="Times New Roman" w:cs="Times New Roman"/>
          <w:sz w:val="28"/>
          <w:szCs w:val="28"/>
        </w:rPr>
        <w:t>the following Allied Health</w:t>
      </w:r>
      <w:r w:rsidR="00521534" w:rsidRPr="00BB1399">
        <w:rPr>
          <w:rFonts w:ascii="Times New Roman" w:hAnsi="Times New Roman" w:cs="Times New Roman"/>
          <w:sz w:val="28"/>
          <w:szCs w:val="28"/>
        </w:rPr>
        <w:t xml:space="preserve"> majors in Fall 202</w:t>
      </w:r>
      <w:r w:rsidR="006F22A9">
        <w:rPr>
          <w:rFonts w:ascii="Times New Roman" w:hAnsi="Times New Roman" w:cs="Times New Roman"/>
          <w:sz w:val="28"/>
          <w:szCs w:val="28"/>
        </w:rPr>
        <w:t>5</w:t>
      </w:r>
      <w:r w:rsidR="00521534" w:rsidRPr="00BB1399">
        <w:rPr>
          <w:rFonts w:ascii="Times New Roman" w:hAnsi="Times New Roman" w:cs="Times New Roman"/>
          <w:sz w:val="28"/>
          <w:szCs w:val="28"/>
        </w:rPr>
        <w:t xml:space="preserve"> (MHT.S.AAS, MHTCD.S.AAS, END.S.AAS, NUR.S.AAS, </w:t>
      </w:r>
      <w:r w:rsidR="008B7467">
        <w:rPr>
          <w:rFonts w:ascii="Times New Roman" w:hAnsi="Times New Roman" w:cs="Times New Roman"/>
          <w:sz w:val="28"/>
          <w:szCs w:val="28"/>
        </w:rPr>
        <w:t xml:space="preserve">RAT.S.AAS, </w:t>
      </w:r>
      <w:r w:rsidR="00521534" w:rsidRPr="00BB1399">
        <w:rPr>
          <w:rFonts w:ascii="Times New Roman" w:hAnsi="Times New Roman" w:cs="Times New Roman"/>
          <w:sz w:val="28"/>
          <w:szCs w:val="28"/>
        </w:rPr>
        <w:t>RET.S.AAS, MAS.S.AAS, and MAS.S.CRT)</w:t>
      </w:r>
      <w:r w:rsidRPr="00BB1399">
        <w:rPr>
          <w:rFonts w:ascii="Times New Roman" w:hAnsi="Times New Roman" w:cs="Times New Roman"/>
          <w:sz w:val="28"/>
          <w:szCs w:val="28"/>
        </w:rPr>
        <w:t xml:space="preserve"> is: </w:t>
      </w:r>
      <w:hyperlink r:id="rId12" w:history="1">
        <w:r w:rsidR="0072337C" w:rsidRPr="0072337C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https://sinclair.academicworks.com/opportunities/15471</w:t>
        </w:r>
      </w:hyperlink>
      <w:r w:rsidR="007233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41D9B4" w14:textId="4ABC3266" w:rsidR="00521534" w:rsidRPr="00883E07" w:rsidRDefault="00BB1399" w:rsidP="0052153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83E07">
        <w:rPr>
          <w:rFonts w:ascii="Times New Roman" w:hAnsi="Times New Roman" w:cs="Times New Roman"/>
          <w:sz w:val="28"/>
          <w:szCs w:val="28"/>
        </w:rPr>
        <w:t xml:space="preserve">Direct URL for students in all other qualified programs: </w:t>
      </w:r>
      <w:hyperlink r:id="rId13" w:history="1">
        <w:r w:rsidR="00466E0E" w:rsidRPr="0072337C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https://sinclair.academicworks.com/opportunities/15473</w:t>
        </w:r>
      </w:hyperlink>
      <w:r w:rsidR="00466E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2BEE2" w14:textId="5193FCFF" w:rsidR="00BB1399" w:rsidRDefault="00BB1399" w:rsidP="00BB13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1399">
        <w:rPr>
          <w:rFonts w:ascii="Times New Roman" w:hAnsi="Times New Roman" w:cs="Times New Roman"/>
          <w:b/>
          <w:bCs/>
          <w:sz w:val="28"/>
          <w:szCs w:val="28"/>
        </w:rPr>
        <w:t>Q: Wh</w:t>
      </w:r>
      <w:r>
        <w:rPr>
          <w:rFonts w:ascii="Times New Roman" w:hAnsi="Times New Roman" w:cs="Times New Roman"/>
          <w:b/>
          <w:bCs/>
          <w:sz w:val="28"/>
          <w:szCs w:val="28"/>
        </w:rPr>
        <w:t>at does the scholarship cover?</w:t>
      </w:r>
    </w:p>
    <w:p w14:paraId="6171D21F" w14:textId="306132A1" w:rsidR="00BB1399" w:rsidRDefault="00BB1399" w:rsidP="00BB1399">
      <w:pPr>
        <w:rPr>
          <w:rFonts w:ascii="Times New Roman" w:hAnsi="Times New Roman" w:cs="Times New Roman"/>
          <w:sz w:val="28"/>
          <w:szCs w:val="28"/>
        </w:rPr>
      </w:pPr>
      <w:r w:rsidRPr="00BB1399">
        <w:rPr>
          <w:rFonts w:ascii="Times New Roman" w:hAnsi="Times New Roman" w:cs="Times New Roman"/>
          <w:sz w:val="28"/>
          <w:szCs w:val="28"/>
        </w:rPr>
        <w:t xml:space="preserve">As long as the student enrolls at least half-time (6 credit hours) and maintains a minimum 2.0 Sinclair cumulative GPA, the scholarship will cover </w:t>
      </w:r>
      <w:r w:rsidR="00426A82">
        <w:rPr>
          <w:rFonts w:ascii="Times New Roman" w:hAnsi="Times New Roman" w:cs="Times New Roman"/>
          <w:sz w:val="28"/>
          <w:szCs w:val="28"/>
        </w:rPr>
        <w:t>tuition and fees</w:t>
      </w:r>
      <w:r w:rsidRPr="00BB1399">
        <w:rPr>
          <w:rFonts w:ascii="Times New Roman" w:hAnsi="Times New Roman" w:cs="Times New Roman"/>
          <w:sz w:val="28"/>
          <w:szCs w:val="28"/>
        </w:rPr>
        <w:t xml:space="preserve"> remaining after Pell Grant</w:t>
      </w:r>
      <w:r w:rsidR="00B7066C">
        <w:rPr>
          <w:rFonts w:ascii="Times New Roman" w:hAnsi="Times New Roman" w:cs="Times New Roman"/>
          <w:sz w:val="28"/>
          <w:szCs w:val="28"/>
        </w:rPr>
        <w:t xml:space="preserve"> and any </w:t>
      </w:r>
      <w:r w:rsidRPr="00BB1399">
        <w:rPr>
          <w:rFonts w:ascii="Times New Roman" w:hAnsi="Times New Roman" w:cs="Times New Roman"/>
          <w:sz w:val="28"/>
          <w:szCs w:val="28"/>
        </w:rPr>
        <w:t xml:space="preserve">other scholarships. Funds cover the student’s first associate degree only. </w:t>
      </w:r>
    </w:p>
    <w:p w14:paraId="6F16ADD7" w14:textId="51E6623F" w:rsidR="00B7066C" w:rsidRPr="00B7066C" w:rsidRDefault="00B7066C" w:rsidP="00BB13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066C">
        <w:rPr>
          <w:rFonts w:ascii="Times New Roman" w:hAnsi="Times New Roman" w:cs="Times New Roman"/>
          <w:b/>
          <w:bCs/>
          <w:sz w:val="28"/>
          <w:szCs w:val="28"/>
        </w:rPr>
        <w:t>Q: Does the scholarship cover books?</w:t>
      </w:r>
    </w:p>
    <w:p w14:paraId="7042D191" w14:textId="4936B1BC" w:rsidR="001A413F" w:rsidRDefault="00B7066C" w:rsidP="00BB1399">
      <w:pPr>
        <w:rPr>
          <w:rFonts w:ascii="Times New Roman" w:hAnsi="Times New Roman" w:cs="Times New Roman"/>
          <w:sz w:val="28"/>
          <w:szCs w:val="28"/>
        </w:rPr>
      </w:pPr>
      <w:r w:rsidRPr="00BB1399">
        <w:rPr>
          <w:rFonts w:ascii="Times New Roman" w:hAnsi="Times New Roman" w:cs="Times New Roman"/>
          <w:sz w:val="28"/>
          <w:szCs w:val="28"/>
        </w:rPr>
        <w:t xml:space="preserve">The scholarship does NOT cover the cost of textbooks.  </w:t>
      </w:r>
    </w:p>
    <w:p w14:paraId="524D44AD" w14:textId="77777777" w:rsidR="001A413F" w:rsidRDefault="001A4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EE40BF" w14:textId="77777777" w:rsidR="00883E07" w:rsidRPr="001A413F" w:rsidRDefault="00883E07" w:rsidP="00BB1399">
      <w:pPr>
        <w:rPr>
          <w:rFonts w:ascii="Times New Roman" w:hAnsi="Times New Roman" w:cs="Times New Roman"/>
          <w:sz w:val="28"/>
          <w:szCs w:val="28"/>
        </w:rPr>
      </w:pPr>
    </w:p>
    <w:p w14:paraId="7B21E329" w14:textId="07F3BC27" w:rsidR="00AD47F0" w:rsidRPr="001A413F" w:rsidRDefault="00BB1399" w:rsidP="00BB13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180C">
        <w:rPr>
          <w:rFonts w:ascii="Times New Roman" w:hAnsi="Times New Roman" w:cs="Times New Roman"/>
          <w:b/>
          <w:bCs/>
          <w:sz w:val="28"/>
          <w:szCs w:val="28"/>
        </w:rPr>
        <w:t>Q: Is there a time limit for this scholarship?</w:t>
      </w:r>
    </w:p>
    <w:p w14:paraId="4F0B45E5" w14:textId="084FDEC5" w:rsidR="00BB1399" w:rsidRPr="00BB1399" w:rsidRDefault="00F3180C" w:rsidP="00BB1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scholarship is developed to last up to 3 years</w:t>
      </w:r>
      <w:r w:rsidR="00426A82">
        <w:rPr>
          <w:rFonts w:ascii="Times New Roman" w:hAnsi="Times New Roman" w:cs="Times New Roman"/>
          <w:sz w:val="28"/>
          <w:szCs w:val="28"/>
        </w:rPr>
        <w:t xml:space="preserve">, until students complete their Associate Degree. </w:t>
      </w:r>
      <w:r w:rsidR="001D5620">
        <w:rPr>
          <w:rFonts w:ascii="Times New Roman" w:hAnsi="Times New Roman" w:cs="Times New Roman"/>
          <w:sz w:val="28"/>
          <w:szCs w:val="28"/>
        </w:rPr>
        <w:t xml:space="preserve">The </w:t>
      </w:r>
      <w:r w:rsidR="00426A82">
        <w:rPr>
          <w:rFonts w:ascii="Times New Roman" w:hAnsi="Times New Roman" w:cs="Times New Roman"/>
          <w:sz w:val="28"/>
          <w:szCs w:val="28"/>
        </w:rPr>
        <w:t xml:space="preserve">Financial Aid </w:t>
      </w:r>
      <w:r w:rsidR="001D5620">
        <w:rPr>
          <w:rFonts w:ascii="Times New Roman" w:hAnsi="Times New Roman" w:cs="Times New Roman"/>
          <w:sz w:val="28"/>
          <w:szCs w:val="28"/>
        </w:rPr>
        <w:t xml:space="preserve">&amp; Scholarships office </w:t>
      </w:r>
      <w:r w:rsidR="00426A82">
        <w:rPr>
          <w:rFonts w:ascii="Times New Roman" w:hAnsi="Times New Roman" w:cs="Times New Roman"/>
          <w:sz w:val="28"/>
          <w:szCs w:val="28"/>
        </w:rPr>
        <w:t>will track students’ progress each semester and work with students who take longer than 3 years to complete.</w:t>
      </w:r>
    </w:p>
    <w:p w14:paraId="20F7DAEB" w14:textId="60010CE2" w:rsidR="00426A82" w:rsidRPr="00B7066C" w:rsidRDefault="00BB1399" w:rsidP="005215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1399">
        <w:rPr>
          <w:rFonts w:ascii="Times New Roman" w:hAnsi="Times New Roman" w:cs="Times New Roman"/>
          <w:b/>
          <w:bCs/>
          <w:sz w:val="28"/>
          <w:szCs w:val="28"/>
        </w:rPr>
        <w:t>Q: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 students have to file a yearly FAFSA to maintain this scholarship?</w:t>
      </w:r>
    </w:p>
    <w:p w14:paraId="768DD2EB" w14:textId="79D88C43" w:rsidR="00BB1399" w:rsidRPr="00BB1399" w:rsidRDefault="00BB1399" w:rsidP="00521534">
      <w:r>
        <w:rPr>
          <w:rFonts w:ascii="Times New Roman" w:hAnsi="Times New Roman" w:cs="Times New Roman"/>
          <w:sz w:val="28"/>
          <w:szCs w:val="28"/>
        </w:rPr>
        <w:t xml:space="preserve">Yes. Students </w:t>
      </w:r>
      <w:r w:rsidR="001D5620">
        <w:rPr>
          <w:rFonts w:ascii="Times New Roman" w:hAnsi="Times New Roman" w:cs="Times New Roman"/>
          <w:sz w:val="28"/>
          <w:szCs w:val="28"/>
        </w:rPr>
        <w:t>that need help can</w:t>
      </w:r>
      <w:r>
        <w:rPr>
          <w:rFonts w:ascii="Times New Roman" w:hAnsi="Times New Roman" w:cs="Times New Roman"/>
          <w:sz w:val="28"/>
          <w:szCs w:val="28"/>
        </w:rPr>
        <w:t xml:space="preserve"> RSVP for a FAFSA workshop or one-on-one FAFSA help with the Financial Aid &amp; Scholarships office here: </w:t>
      </w:r>
      <w:hyperlink r:id="rId14" w:history="1">
        <w:r w:rsidRPr="00F36F06">
          <w:rPr>
            <w:rStyle w:val="Hyperlink"/>
            <w:rFonts w:ascii="Times New Roman" w:hAnsi="Times New Roman" w:cs="Times New Roman"/>
            <w:sz w:val="28"/>
            <w:szCs w:val="28"/>
          </w:rPr>
          <w:t>https://www.sinclair.edu/admissions/fafsa-workshops/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6293DCA" w14:textId="2B484BFB" w:rsidR="00521534" w:rsidRDefault="00521534" w:rsidP="00521534">
      <w:pPr>
        <w:rPr>
          <w:rFonts w:ascii="Times New Roman" w:hAnsi="Times New Roman" w:cs="Times New Roman"/>
          <w:sz w:val="28"/>
          <w:szCs w:val="28"/>
        </w:rPr>
      </w:pPr>
      <w:r w:rsidRPr="00521534">
        <w:rPr>
          <w:rFonts w:ascii="Times New Roman" w:hAnsi="Times New Roman" w:cs="Times New Roman"/>
          <w:b/>
          <w:bCs/>
          <w:sz w:val="28"/>
          <w:szCs w:val="28"/>
        </w:rPr>
        <w:t>Q: How is the scholarship applied in relation to other financial aid?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169EE" w14:textId="5E906916" w:rsidR="00D8742B" w:rsidRDefault="00521534" w:rsidP="00521534">
      <w:pPr>
        <w:rPr>
          <w:rFonts w:ascii="Times New Roman" w:hAnsi="Times New Roman" w:cs="Times New Roman"/>
          <w:sz w:val="28"/>
          <w:szCs w:val="28"/>
        </w:rPr>
      </w:pPr>
      <w:r w:rsidRPr="00521534">
        <w:rPr>
          <w:rFonts w:ascii="Times New Roman" w:hAnsi="Times New Roman" w:cs="Times New Roman"/>
          <w:sz w:val="28"/>
          <w:szCs w:val="28"/>
        </w:rPr>
        <w:t>The In-Demand Jobs Scholarship</w:t>
      </w:r>
      <w:r w:rsidR="00D8742B" w:rsidRPr="00521534">
        <w:rPr>
          <w:rFonts w:ascii="Times New Roman" w:hAnsi="Times New Roman" w:cs="Times New Roman"/>
          <w:sz w:val="28"/>
          <w:szCs w:val="28"/>
        </w:rPr>
        <w:t xml:space="preserve"> is a “last-dollar” scholarship. This means that all other scholarships and grants pay </w:t>
      </w:r>
      <w:r w:rsidR="00D8742B" w:rsidRPr="00521534">
        <w:rPr>
          <w:rFonts w:ascii="Times New Roman" w:hAnsi="Times New Roman" w:cs="Times New Roman"/>
          <w:b/>
          <w:bCs/>
          <w:sz w:val="28"/>
          <w:szCs w:val="28"/>
        </w:rPr>
        <w:t>first</w:t>
      </w:r>
      <w:r w:rsidR="00D8742B" w:rsidRPr="00521534">
        <w:rPr>
          <w:rFonts w:ascii="Times New Roman" w:hAnsi="Times New Roman" w:cs="Times New Roman"/>
          <w:sz w:val="28"/>
          <w:szCs w:val="28"/>
        </w:rPr>
        <w:t>.</w:t>
      </w:r>
      <w:r w:rsidR="004A148F" w:rsidRPr="00521534">
        <w:rPr>
          <w:rFonts w:ascii="Times New Roman" w:hAnsi="Times New Roman" w:cs="Times New Roman"/>
          <w:sz w:val="28"/>
          <w:szCs w:val="28"/>
        </w:rPr>
        <w:t xml:space="preserve"> All </w:t>
      </w:r>
      <w:r>
        <w:rPr>
          <w:rFonts w:ascii="Times New Roman" w:hAnsi="Times New Roman" w:cs="Times New Roman"/>
          <w:sz w:val="28"/>
          <w:szCs w:val="28"/>
        </w:rPr>
        <w:t xml:space="preserve">other </w:t>
      </w:r>
      <w:r w:rsidR="004A148F" w:rsidRPr="00521534">
        <w:rPr>
          <w:rFonts w:ascii="Times New Roman" w:hAnsi="Times New Roman" w:cs="Times New Roman"/>
          <w:sz w:val="28"/>
          <w:szCs w:val="28"/>
        </w:rPr>
        <w:t xml:space="preserve">scholarships that </w:t>
      </w:r>
      <w:r w:rsidR="009F1AB6" w:rsidRPr="00521534">
        <w:rPr>
          <w:rFonts w:ascii="Times New Roman" w:hAnsi="Times New Roman" w:cs="Times New Roman"/>
          <w:sz w:val="28"/>
          <w:szCs w:val="28"/>
        </w:rPr>
        <w:t>can pay towards</w:t>
      </w:r>
      <w:r w:rsidR="004A148F" w:rsidRPr="00521534">
        <w:rPr>
          <w:rFonts w:ascii="Times New Roman" w:hAnsi="Times New Roman" w:cs="Times New Roman"/>
          <w:sz w:val="28"/>
          <w:szCs w:val="28"/>
        </w:rPr>
        <w:t xml:space="preserve"> tuition will be applied towards tuition.</w:t>
      </w:r>
    </w:p>
    <w:p w14:paraId="651C6235" w14:textId="0E110A40" w:rsidR="00B7066C" w:rsidRDefault="00B7066C" w:rsidP="005215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066C">
        <w:rPr>
          <w:rFonts w:ascii="Times New Roman" w:hAnsi="Times New Roman" w:cs="Times New Roman"/>
          <w:b/>
          <w:bCs/>
          <w:sz w:val="28"/>
          <w:szCs w:val="28"/>
        </w:rPr>
        <w:t>Q: What if the student has enough Pell and scholarships to cover tuition and fees already?</w:t>
      </w:r>
    </w:p>
    <w:p w14:paraId="3EC2E4A2" w14:textId="1E8FA8EA" w:rsidR="00B7066C" w:rsidRPr="00B7066C" w:rsidRDefault="00B7066C" w:rsidP="00521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D47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</w:t>
      </w:r>
      <w:r w:rsidR="00AD47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financial aid awards will be </w:t>
      </w:r>
      <w:r w:rsidR="00883E07">
        <w:rPr>
          <w:rFonts w:ascii="Times New Roman" w:hAnsi="Times New Roman" w:cs="Times New Roman"/>
          <w:sz w:val="28"/>
          <w:szCs w:val="28"/>
        </w:rPr>
        <w:t>considered</w:t>
      </w:r>
      <w:r>
        <w:rPr>
          <w:rFonts w:ascii="Times New Roman" w:hAnsi="Times New Roman" w:cs="Times New Roman"/>
          <w:sz w:val="28"/>
          <w:szCs w:val="28"/>
        </w:rPr>
        <w:t xml:space="preserve"> during scholarship selections</w:t>
      </w:r>
      <w:r w:rsidR="00883E07">
        <w:rPr>
          <w:rFonts w:ascii="Times New Roman" w:hAnsi="Times New Roman" w:cs="Times New Roman"/>
          <w:sz w:val="28"/>
          <w:szCs w:val="28"/>
        </w:rPr>
        <w:t>. S</w:t>
      </w:r>
      <w:r>
        <w:rPr>
          <w:rFonts w:ascii="Times New Roman" w:hAnsi="Times New Roman" w:cs="Times New Roman"/>
          <w:sz w:val="28"/>
          <w:szCs w:val="28"/>
        </w:rPr>
        <w:t>tudents who already have enough Pell Grant to cover their Sinclair tuition are unlikely to be selected for this scholarship.</w:t>
      </w:r>
      <w:r w:rsidR="001D5620">
        <w:rPr>
          <w:rFonts w:ascii="Times New Roman" w:hAnsi="Times New Roman" w:cs="Times New Roman"/>
          <w:sz w:val="28"/>
          <w:szCs w:val="28"/>
        </w:rPr>
        <w:t xml:space="preserve"> CCP Free to Finish Scholarship and College Promise Scholarship recipients will not be selected for this scholarship because those programs already cover tuition and </w:t>
      </w:r>
      <w:r w:rsidR="00883E07">
        <w:rPr>
          <w:rFonts w:ascii="Times New Roman" w:hAnsi="Times New Roman" w:cs="Times New Roman"/>
          <w:sz w:val="28"/>
          <w:szCs w:val="28"/>
        </w:rPr>
        <w:t xml:space="preserve">course </w:t>
      </w:r>
      <w:r w:rsidR="001D5620">
        <w:rPr>
          <w:rFonts w:ascii="Times New Roman" w:hAnsi="Times New Roman" w:cs="Times New Roman"/>
          <w:sz w:val="28"/>
          <w:szCs w:val="28"/>
        </w:rPr>
        <w:t>fees.</w:t>
      </w:r>
    </w:p>
    <w:p w14:paraId="1FD1F073" w14:textId="5F962FCD" w:rsidR="004A148F" w:rsidRPr="00521534" w:rsidRDefault="00521534" w:rsidP="005215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1534">
        <w:rPr>
          <w:rFonts w:ascii="Times New Roman" w:hAnsi="Times New Roman" w:cs="Times New Roman"/>
          <w:b/>
          <w:bCs/>
          <w:sz w:val="28"/>
          <w:szCs w:val="28"/>
        </w:rPr>
        <w:t xml:space="preserve">Q: </w:t>
      </w:r>
      <w:r w:rsidR="0030554F" w:rsidRPr="00521534">
        <w:rPr>
          <w:rFonts w:ascii="Times New Roman" w:hAnsi="Times New Roman" w:cs="Times New Roman"/>
          <w:b/>
          <w:bCs/>
          <w:sz w:val="28"/>
          <w:szCs w:val="28"/>
        </w:rPr>
        <w:t>What do</w:t>
      </w:r>
      <w:r w:rsidR="00696E6C" w:rsidRPr="00521534">
        <w:rPr>
          <w:rFonts w:ascii="Times New Roman" w:hAnsi="Times New Roman" w:cs="Times New Roman"/>
          <w:b/>
          <w:bCs/>
          <w:sz w:val="28"/>
          <w:szCs w:val="28"/>
        </w:rPr>
        <w:t xml:space="preserve"> last-dollar scholarships</w:t>
      </w:r>
      <w:r w:rsidR="006A7BFC" w:rsidRPr="00521534">
        <w:rPr>
          <w:rFonts w:ascii="Times New Roman" w:hAnsi="Times New Roman" w:cs="Times New Roman"/>
          <w:b/>
          <w:bCs/>
          <w:sz w:val="28"/>
          <w:szCs w:val="28"/>
        </w:rPr>
        <w:t xml:space="preserve"> look like?</w:t>
      </w:r>
    </w:p>
    <w:p w14:paraId="428004FC" w14:textId="109A9E32" w:rsidR="00C16D61" w:rsidRDefault="00696E6C" w:rsidP="00B7066C">
      <w:pPr>
        <w:rPr>
          <w:rFonts w:ascii="Times New Roman" w:hAnsi="Times New Roman" w:cs="Times New Roman"/>
          <w:bCs/>
          <w:sz w:val="28"/>
          <w:szCs w:val="28"/>
        </w:rPr>
      </w:pPr>
      <w:r w:rsidRPr="00696E6C">
        <w:rPr>
          <w:rFonts w:ascii="Times New Roman" w:hAnsi="Times New Roman" w:cs="Times New Roman"/>
          <w:bCs/>
          <w:sz w:val="28"/>
          <w:szCs w:val="28"/>
        </w:rPr>
        <w:t>See examples below for a full-time student (12+ credit hours) with $2,000 in tuition and fees</w:t>
      </w:r>
      <w:r>
        <w:rPr>
          <w:rFonts w:ascii="Times New Roman" w:hAnsi="Times New Roman" w:cs="Times New Roman"/>
          <w:bCs/>
          <w:sz w:val="28"/>
          <w:szCs w:val="28"/>
        </w:rPr>
        <w:t xml:space="preserve"> for Fall</w:t>
      </w:r>
      <w:r w:rsidRPr="00696E6C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B3A548" w14:textId="77777777" w:rsidR="00C16D61" w:rsidRDefault="00C16D6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79CB8AD9" w14:textId="77777777" w:rsidR="00696E6C" w:rsidRPr="00696E6C" w:rsidRDefault="00696E6C" w:rsidP="00B7066C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65"/>
        <w:gridCol w:w="2610"/>
        <w:gridCol w:w="4675"/>
      </w:tblGrid>
      <w:tr w:rsidR="00772C2F" w14:paraId="0A005968" w14:textId="77777777" w:rsidTr="00772C2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D7A2B" w14:textId="42096E50" w:rsidR="00772C2F" w:rsidRPr="00772C2F" w:rsidRDefault="00772C2F" w:rsidP="00772C2F">
            <w:pPr>
              <w:jc w:val="center"/>
              <w:rPr>
                <w:b/>
                <w:bCs/>
              </w:rPr>
            </w:pPr>
            <w:r w:rsidRPr="00772C2F">
              <w:rPr>
                <w:b/>
                <w:bCs/>
              </w:rPr>
              <w:t>Example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04858F" w14:textId="77777777" w:rsidR="00772C2F" w:rsidRPr="00772C2F" w:rsidRDefault="00772C2F" w:rsidP="00772C2F">
            <w:pPr>
              <w:jc w:val="center"/>
              <w:rPr>
                <w:b/>
                <w:bCs/>
              </w:rPr>
            </w:pPr>
            <w:r w:rsidRPr="00772C2F">
              <w:rPr>
                <w:b/>
                <w:bCs/>
              </w:rPr>
              <w:t>Awards on my.Sinclair Financial Aid Portal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8492CB" w14:textId="77777777" w:rsidR="00772C2F" w:rsidRPr="00772C2F" w:rsidRDefault="00772C2F" w:rsidP="00772C2F">
            <w:pPr>
              <w:jc w:val="center"/>
              <w:rPr>
                <w:b/>
                <w:bCs/>
              </w:rPr>
            </w:pPr>
            <w:r w:rsidRPr="00772C2F">
              <w:rPr>
                <w:b/>
                <w:bCs/>
              </w:rPr>
              <w:t>Financial Aid Order of Payout</w:t>
            </w:r>
          </w:p>
        </w:tc>
      </w:tr>
      <w:tr w:rsidR="00772C2F" w14:paraId="6EAF465F" w14:textId="77777777" w:rsidTr="00772C2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8E39" w14:textId="57C7A298" w:rsidR="00772C2F" w:rsidRDefault="00772C2F">
            <w:pPr>
              <w:rPr>
                <w:b/>
                <w:bCs/>
              </w:rPr>
            </w:pPr>
            <w:r>
              <w:rPr>
                <w:b/>
                <w:bCs/>
              </w:rPr>
              <w:t>Example Student #1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F753" w14:textId="2EFFDD13" w:rsidR="00772C2F" w:rsidRDefault="00772C2F">
            <w:r>
              <w:t>$</w:t>
            </w:r>
            <w:r w:rsidR="00696E6C">
              <w:t>1,0</w:t>
            </w:r>
            <w:r w:rsidR="00465F62">
              <w:t>00 Outside Scholarship</w:t>
            </w:r>
            <w:r w:rsidR="00B7066C">
              <w:t xml:space="preserve"> (Ex: Dayton Foundation or Rotary Club)</w:t>
            </w:r>
          </w:p>
          <w:p w14:paraId="378FFA3F" w14:textId="77777777" w:rsidR="004A148F" w:rsidRDefault="004A148F"/>
          <w:p w14:paraId="170B0418" w14:textId="29801A08" w:rsidR="00772C2F" w:rsidRDefault="00772C2F">
            <w:r>
              <w:t>$750 Tech Prep Scholarship</w:t>
            </w:r>
          </w:p>
          <w:p w14:paraId="1460079E" w14:textId="77777777" w:rsidR="00772C2F" w:rsidRDefault="00772C2F" w:rsidP="00B7066C"/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0221" w14:textId="10BBDE45" w:rsidR="00772C2F" w:rsidRDefault="00772C2F">
            <w:r>
              <w:t>$</w:t>
            </w:r>
            <w:r w:rsidR="00696E6C">
              <w:t>1,0</w:t>
            </w:r>
            <w:r w:rsidR="00465F62">
              <w:t>00 Outside scholarship applies towards tuition</w:t>
            </w:r>
            <w:r w:rsidR="00696E6C">
              <w:t xml:space="preserve"> (No funds remaining for books)</w:t>
            </w:r>
          </w:p>
          <w:p w14:paraId="2AB1D3EF" w14:textId="77777777" w:rsidR="004A148F" w:rsidRDefault="004A148F"/>
          <w:p w14:paraId="71205EAE" w14:textId="77777777" w:rsidR="00B7066C" w:rsidRDefault="00B7066C"/>
          <w:p w14:paraId="1D46FC66" w14:textId="77777777" w:rsidR="00B7066C" w:rsidRDefault="00B7066C"/>
          <w:p w14:paraId="7E8B7BA2" w14:textId="01DD2E54" w:rsidR="00772C2F" w:rsidRDefault="00772C2F">
            <w:r>
              <w:t>$750 Tech Prep Scholarship applies next</w:t>
            </w:r>
          </w:p>
          <w:p w14:paraId="7019BC91" w14:textId="77777777" w:rsidR="004A148F" w:rsidRDefault="004A148F"/>
          <w:p w14:paraId="4812F947" w14:textId="288D082B" w:rsidR="00772C2F" w:rsidRDefault="00772C2F">
            <w:r>
              <w:t xml:space="preserve">$250 </w:t>
            </w:r>
            <w:r w:rsidR="00B7066C">
              <w:t xml:space="preserve">In-Demand Jobs Scholarship </w:t>
            </w:r>
            <w:r>
              <w:t>applies last</w:t>
            </w:r>
          </w:p>
          <w:p w14:paraId="1AF1E359" w14:textId="77777777" w:rsidR="00772C2F" w:rsidRDefault="00772C2F"/>
          <w:p w14:paraId="6E6B38F2" w14:textId="77777777" w:rsidR="00772C2F" w:rsidRDefault="00772C2F">
            <w:r>
              <w:rPr>
                <w:b/>
                <w:bCs/>
              </w:rPr>
              <w:t>Leftover Funds for Books:</w:t>
            </w:r>
            <w:r>
              <w:t xml:space="preserve"> $0</w:t>
            </w:r>
          </w:p>
          <w:p w14:paraId="6ED819BE" w14:textId="77777777" w:rsidR="00E85E14" w:rsidRDefault="00E85E14"/>
          <w:p w14:paraId="4CAB9CE8" w14:textId="22749DD8" w:rsidR="00E85E14" w:rsidRDefault="00E85E14"/>
        </w:tc>
      </w:tr>
      <w:tr w:rsidR="00772C2F" w14:paraId="7A5EFE0A" w14:textId="77777777" w:rsidTr="00772C2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9F66" w14:textId="17559CD8" w:rsidR="00772C2F" w:rsidRDefault="00772C2F">
            <w:pPr>
              <w:rPr>
                <w:b/>
                <w:bCs/>
              </w:rPr>
            </w:pPr>
            <w:r>
              <w:rPr>
                <w:b/>
                <w:bCs/>
              </w:rPr>
              <w:t>Example Student #2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F3AF" w14:textId="16E2F799" w:rsidR="00772C2F" w:rsidRDefault="00772C2F">
            <w:r>
              <w:t>$</w:t>
            </w:r>
            <w:r w:rsidR="00B7066C">
              <w:t>5</w:t>
            </w:r>
            <w:r>
              <w:t>00 Pell Grant</w:t>
            </w:r>
          </w:p>
          <w:p w14:paraId="67C106D0" w14:textId="77777777" w:rsidR="004A148F" w:rsidRDefault="004A148F"/>
          <w:p w14:paraId="58273C11" w14:textId="57BB12DB" w:rsidR="00772C2F" w:rsidRDefault="00772C2F">
            <w:r>
              <w:t>$</w:t>
            </w:r>
            <w:r w:rsidR="00B7066C">
              <w:t>1,000</w:t>
            </w:r>
            <w:r>
              <w:t xml:space="preserve"> </w:t>
            </w:r>
            <w:r w:rsidR="00B7066C">
              <w:t>Regional</w:t>
            </w:r>
            <w:r>
              <w:t xml:space="preserve"> Scholarship</w:t>
            </w:r>
          </w:p>
          <w:p w14:paraId="7862FF17" w14:textId="77777777" w:rsidR="004A148F" w:rsidRDefault="004A148F"/>
          <w:p w14:paraId="74383A8E" w14:textId="56E9B34D" w:rsidR="00772C2F" w:rsidRDefault="00772C2F"/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4662" w14:textId="49B303F3" w:rsidR="00772C2F" w:rsidRDefault="00772C2F">
            <w:r>
              <w:t>$500 Pell Grant applies first</w:t>
            </w:r>
          </w:p>
          <w:p w14:paraId="631BB46F" w14:textId="77777777" w:rsidR="004A148F" w:rsidRDefault="004A148F"/>
          <w:p w14:paraId="1337ED8E" w14:textId="1BF2864F" w:rsidR="00772C2F" w:rsidRDefault="00772C2F">
            <w:r>
              <w:t>$</w:t>
            </w:r>
            <w:r w:rsidR="00B7066C">
              <w:t>1,0</w:t>
            </w:r>
            <w:r>
              <w:t xml:space="preserve">00 </w:t>
            </w:r>
            <w:r w:rsidR="00B7066C">
              <w:t>Regional</w:t>
            </w:r>
            <w:r>
              <w:t xml:space="preserve"> Scholarship applies next</w:t>
            </w:r>
          </w:p>
          <w:p w14:paraId="3DA8E4D6" w14:textId="42173F4B" w:rsidR="004A148F" w:rsidRDefault="004A148F">
            <w:pPr>
              <w:rPr>
                <w:b/>
                <w:bCs/>
              </w:rPr>
            </w:pPr>
          </w:p>
          <w:p w14:paraId="10E3FBBD" w14:textId="4455CEA6" w:rsidR="00B7066C" w:rsidRPr="00B7066C" w:rsidRDefault="00B7066C">
            <w:r w:rsidRPr="00B7066C">
              <w:t>$500 In-Demand Jobs Scholarship applies last</w:t>
            </w:r>
          </w:p>
          <w:p w14:paraId="2AE59398" w14:textId="77777777" w:rsidR="00B7066C" w:rsidRDefault="00B7066C">
            <w:pPr>
              <w:rPr>
                <w:b/>
                <w:bCs/>
              </w:rPr>
            </w:pPr>
          </w:p>
          <w:p w14:paraId="3474A808" w14:textId="08E1132A" w:rsidR="00772C2F" w:rsidRDefault="00772C2F">
            <w:r>
              <w:rPr>
                <w:b/>
                <w:bCs/>
              </w:rPr>
              <w:t>Leftover Funds for Books:</w:t>
            </w:r>
            <w:r>
              <w:t xml:space="preserve"> $250</w:t>
            </w:r>
          </w:p>
        </w:tc>
      </w:tr>
      <w:tr w:rsidR="00772C2F" w14:paraId="5B52A71D" w14:textId="77777777" w:rsidTr="00772C2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BC3F" w14:textId="77777777" w:rsidR="00772C2F" w:rsidRDefault="00772C2F">
            <w:pPr>
              <w:rPr>
                <w:b/>
                <w:bCs/>
              </w:rPr>
            </w:pPr>
            <w:r>
              <w:rPr>
                <w:b/>
                <w:bCs/>
              </w:rPr>
              <w:t>Example Student #3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850B" w14:textId="77777777" w:rsidR="00772C2F" w:rsidRDefault="00772C2F">
            <w:r>
              <w:t>$3,000 Pell Grant</w:t>
            </w:r>
          </w:p>
          <w:p w14:paraId="2C6A4F21" w14:textId="77777777" w:rsidR="004A148F" w:rsidRDefault="004A148F"/>
          <w:p w14:paraId="05D64A15" w14:textId="77777777" w:rsidR="004A148F" w:rsidRDefault="004A148F"/>
          <w:p w14:paraId="65B38D61" w14:textId="29DE0226" w:rsidR="00772C2F" w:rsidRPr="00B7066C" w:rsidRDefault="00B7066C" w:rsidP="00B7066C">
            <w:pPr>
              <w:jc w:val="center"/>
              <w:rPr>
                <w:b/>
                <w:bCs/>
              </w:rPr>
            </w:pPr>
            <w:r w:rsidRPr="00B7066C">
              <w:rPr>
                <w:b/>
                <w:bCs/>
              </w:rPr>
              <w:t>Not selected for In-Demand Jobs Scholarship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A778" w14:textId="2D7EE030" w:rsidR="00772C2F" w:rsidRDefault="00772C2F">
            <w:r>
              <w:t>$3,000 Pell Grant applies first and covers all tuition and fees</w:t>
            </w:r>
          </w:p>
          <w:p w14:paraId="75CB84A0" w14:textId="77777777" w:rsidR="004A148F" w:rsidRDefault="004A148F"/>
          <w:p w14:paraId="227C6948" w14:textId="08B1B57F" w:rsidR="00772C2F" w:rsidRDefault="00772C2F">
            <w:r>
              <w:t xml:space="preserve">No remaining balance due for </w:t>
            </w:r>
            <w:r w:rsidR="00B7066C">
              <w:t>In-Demand Jobs Scholarship</w:t>
            </w:r>
          </w:p>
          <w:p w14:paraId="19DFBBF6" w14:textId="77777777" w:rsidR="00772C2F" w:rsidRDefault="00772C2F"/>
          <w:p w14:paraId="373A86D0" w14:textId="77777777" w:rsidR="00772C2F" w:rsidRDefault="00772C2F">
            <w:r>
              <w:rPr>
                <w:b/>
                <w:bCs/>
              </w:rPr>
              <w:t>Leftover Funds for Books:</w:t>
            </w:r>
            <w:r>
              <w:t xml:space="preserve"> $1,000</w:t>
            </w:r>
          </w:p>
        </w:tc>
      </w:tr>
    </w:tbl>
    <w:p w14:paraId="7FFFBC8C" w14:textId="77777777" w:rsidR="00B7066C" w:rsidRDefault="00B7066C" w:rsidP="00B7066C">
      <w:pPr>
        <w:rPr>
          <w:rFonts w:ascii="Times New Roman" w:hAnsi="Times New Roman" w:cs="Times New Roman"/>
          <w:sz w:val="28"/>
          <w:szCs w:val="28"/>
        </w:rPr>
      </w:pPr>
    </w:p>
    <w:p w14:paraId="626EC9CC" w14:textId="77777777" w:rsidR="008B656E" w:rsidRDefault="008B6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E9B3C9" w14:textId="77777777" w:rsidR="008B656E" w:rsidRDefault="008B656E" w:rsidP="008B65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E2B8E1" w14:textId="13C6139B" w:rsidR="008B656E" w:rsidRPr="008B656E" w:rsidRDefault="008B656E" w:rsidP="008B65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56E">
        <w:rPr>
          <w:rFonts w:ascii="Times New Roman" w:hAnsi="Times New Roman" w:cs="Times New Roman"/>
          <w:b/>
          <w:bCs/>
          <w:sz w:val="28"/>
          <w:szCs w:val="28"/>
        </w:rPr>
        <w:t>Appendix: In-Demand Jobs Scholarship</w:t>
      </w:r>
    </w:p>
    <w:p w14:paraId="30EAE1AC" w14:textId="660EEB3C" w:rsidR="008B656E" w:rsidRDefault="008B656E" w:rsidP="008B65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56E">
        <w:rPr>
          <w:rFonts w:ascii="Times New Roman" w:hAnsi="Times New Roman" w:cs="Times New Roman"/>
          <w:b/>
          <w:bCs/>
          <w:sz w:val="28"/>
          <w:szCs w:val="28"/>
        </w:rPr>
        <w:t>Qualified Majors</w:t>
      </w:r>
    </w:p>
    <w:p w14:paraId="65633C2E" w14:textId="2B089351" w:rsidR="008B656E" w:rsidRDefault="008B656E" w:rsidP="008B65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1661CE" w14:textId="75BC173C" w:rsidR="008B656E" w:rsidRPr="00E85E14" w:rsidRDefault="008B656E" w:rsidP="008B65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5E14">
        <w:rPr>
          <w:rFonts w:ascii="Times New Roman" w:hAnsi="Times New Roman" w:cs="Times New Roman"/>
          <w:b/>
          <w:bCs/>
          <w:sz w:val="28"/>
          <w:szCs w:val="28"/>
        </w:rPr>
        <w:t>Qualified Programs in the Business &amp; Public Services Division:</w:t>
      </w:r>
    </w:p>
    <w:p w14:paraId="1CB2FC32" w14:textId="0774218A" w:rsidR="008B656E" w:rsidRPr="00E85E14" w:rsidRDefault="008B656E" w:rsidP="00E85E1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Computer Science (CS.S.AS)</w:t>
      </w:r>
    </w:p>
    <w:p w14:paraId="1981D445" w14:textId="6627299C" w:rsidR="008B656E" w:rsidRPr="00E85E14" w:rsidRDefault="008B656E" w:rsidP="00E85E1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Criminal Justice Science/Corrections (CJCO.S.AAS)</w:t>
      </w:r>
    </w:p>
    <w:p w14:paraId="24B92732" w14:textId="1E6F2CC8" w:rsidR="008B656E" w:rsidRPr="00E85E14" w:rsidRDefault="008B656E" w:rsidP="00E85E1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Criminal Justice Science/Law Enforcement (CJLE.S.AAS)</w:t>
      </w:r>
    </w:p>
    <w:p w14:paraId="6E21719E" w14:textId="1BA6749D" w:rsidR="008B656E" w:rsidRPr="00E85E14" w:rsidRDefault="008B656E" w:rsidP="00E85E1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Cyber Investigation Technology (CYIT.S.AAS)</w:t>
      </w:r>
    </w:p>
    <w:p w14:paraId="1410AD0B" w14:textId="7E03D035" w:rsidR="008B656E" w:rsidRPr="00E85E14" w:rsidRDefault="008B656E" w:rsidP="00E85E1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Fire Science Technology/Fire Administration (FAO.S.AAS)</w:t>
      </w:r>
    </w:p>
    <w:p w14:paraId="5ECB2F2C" w14:textId="77777777" w:rsidR="008B656E" w:rsidRPr="008B656E" w:rsidRDefault="008B656E" w:rsidP="008B656E">
      <w:pPr>
        <w:rPr>
          <w:rFonts w:ascii="Times New Roman" w:hAnsi="Times New Roman" w:cs="Times New Roman"/>
          <w:sz w:val="28"/>
          <w:szCs w:val="28"/>
        </w:rPr>
      </w:pPr>
    </w:p>
    <w:p w14:paraId="33DDA352" w14:textId="4F1A52ED" w:rsidR="008B656E" w:rsidRPr="00E85E14" w:rsidRDefault="008B656E" w:rsidP="008B65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5E14">
        <w:rPr>
          <w:rFonts w:ascii="Times New Roman" w:hAnsi="Times New Roman" w:cs="Times New Roman"/>
          <w:b/>
          <w:bCs/>
          <w:sz w:val="28"/>
          <w:szCs w:val="28"/>
        </w:rPr>
        <w:t>Qualified Programs in the Liberal Arts, Communication &amp; Social Sciences Division:</w:t>
      </w:r>
    </w:p>
    <w:p w14:paraId="58CF4FB0" w14:textId="3FEC2A8F" w:rsidR="008B656E" w:rsidRPr="00E85E14" w:rsidRDefault="008B656E" w:rsidP="00E85E1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Math Education (MED.S.AA)</w:t>
      </w:r>
    </w:p>
    <w:p w14:paraId="2430F70B" w14:textId="62298F55" w:rsidR="008B656E" w:rsidRPr="00E85E14" w:rsidRDefault="008B656E" w:rsidP="00E85E1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Elementary Education (ELEE.S.AA)</w:t>
      </w:r>
    </w:p>
    <w:p w14:paraId="05822E40" w14:textId="6F6C927B" w:rsidR="008B656E" w:rsidRPr="00E85E14" w:rsidRDefault="008B656E" w:rsidP="00E85E1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E85E14">
        <w:rPr>
          <w:rFonts w:ascii="Times New Roman" w:hAnsi="Times New Roman" w:cs="Times New Roman"/>
          <w:sz w:val="28"/>
          <w:szCs w:val="28"/>
          <w:lang w:val="es-MX"/>
        </w:rPr>
        <w:t>Digital Media Design (DMD.S.AAS) </w:t>
      </w:r>
    </w:p>
    <w:p w14:paraId="6E350B23" w14:textId="77777777" w:rsidR="008B656E" w:rsidRPr="008B656E" w:rsidRDefault="008B656E" w:rsidP="008B656E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03F93F45" w14:textId="1CE20B88" w:rsidR="008B656E" w:rsidRPr="00E85E14" w:rsidRDefault="008B656E" w:rsidP="008B65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5E14">
        <w:rPr>
          <w:rFonts w:ascii="Times New Roman" w:hAnsi="Times New Roman" w:cs="Times New Roman"/>
          <w:b/>
          <w:bCs/>
          <w:sz w:val="28"/>
          <w:szCs w:val="28"/>
        </w:rPr>
        <w:t>Qualified Programs in the Science, Math, &amp; Engineering Division:</w:t>
      </w:r>
    </w:p>
    <w:p w14:paraId="0BFCEFCB" w14:textId="26E130A8" w:rsidR="008B656E" w:rsidRPr="00E85E14" w:rsidRDefault="008B656E" w:rsidP="00E85E1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Automation &amp; Control Technology with Robotics (AMCT.S.AAS)</w:t>
      </w:r>
    </w:p>
    <w:p w14:paraId="0187FB4B" w14:textId="2814651D" w:rsidR="008B656E" w:rsidRPr="00E85E14" w:rsidRDefault="008B656E" w:rsidP="00E85E1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Aviation Airframe and Powerplant Maintenance Technology (AVIAO.S.AAS)</w:t>
      </w:r>
    </w:p>
    <w:p w14:paraId="58C016BB" w14:textId="3177D956" w:rsidR="008B656E" w:rsidRPr="00E85E14" w:rsidRDefault="008B656E" w:rsidP="00E85E1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Aviation Powerplant Maintenance Technology (AVIAP.S.AAS)</w:t>
      </w:r>
    </w:p>
    <w:p w14:paraId="731E72B6" w14:textId="7B9885E6" w:rsidR="008B656E" w:rsidRPr="00E85E14" w:rsidRDefault="008B656E" w:rsidP="00E85E1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Computer Aided Manufacturing/CNC Technology (CAMCT.S.AAS)</w:t>
      </w:r>
    </w:p>
    <w:p w14:paraId="72239618" w14:textId="2555B14E" w:rsidR="008B656E" w:rsidRPr="00E85E14" w:rsidRDefault="008B656E" w:rsidP="00E85E1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Computer Aided Manufacturing/Precision Machining (CAMPM.S.AAS)</w:t>
      </w:r>
    </w:p>
    <w:p w14:paraId="5A41F8CC" w14:textId="637FD4C7" w:rsidR="008B656E" w:rsidRPr="00E85E14" w:rsidRDefault="008B656E" w:rsidP="00E85E1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Electronics Engineering Technology (EET.S.AAS)</w:t>
      </w:r>
    </w:p>
    <w:p w14:paraId="2FF2A179" w14:textId="3A12AF29" w:rsidR="008B656E" w:rsidRPr="00E85E14" w:rsidRDefault="008B656E" w:rsidP="00E85E1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Internet of Things (IoT) Cyber Technician (CETT.S.AAS)</w:t>
      </w:r>
    </w:p>
    <w:p w14:paraId="030865C4" w14:textId="79D67BB4" w:rsidR="008B656E" w:rsidRPr="00E85E14" w:rsidRDefault="008B656E" w:rsidP="00E85E1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85E14">
        <w:rPr>
          <w:rFonts w:ascii="Times New Roman" w:hAnsi="Times New Roman" w:cs="Times New Roman"/>
          <w:sz w:val="28"/>
          <w:szCs w:val="28"/>
        </w:rPr>
        <w:t>Mechanical Engineering Technology</w:t>
      </w:r>
      <w:r w:rsidRPr="00E85E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5E14">
        <w:rPr>
          <w:rFonts w:ascii="Times New Roman" w:hAnsi="Times New Roman" w:cs="Times New Roman"/>
          <w:sz w:val="28"/>
          <w:szCs w:val="28"/>
        </w:rPr>
        <w:t>(MEGT.S.AAS)</w:t>
      </w:r>
    </w:p>
    <w:p w14:paraId="5E201399" w14:textId="3E9C8A5C" w:rsidR="003D544D" w:rsidRDefault="003D544D" w:rsidP="00B7066C">
      <w:pPr>
        <w:rPr>
          <w:rFonts w:ascii="Times New Roman" w:hAnsi="Times New Roman" w:cs="Times New Roman"/>
          <w:sz w:val="28"/>
          <w:szCs w:val="28"/>
        </w:rPr>
      </w:pPr>
      <w:r w:rsidRPr="00B70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84A28" w14:textId="77777777" w:rsidR="00E85E14" w:rsidRDefault="00E85E14" w:rsidP="00B706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CF6E4C" w14:textId="77777777" w:rsidR="00E85E14" w:rsidRDefault="00E85E14" w:rsidP="00B706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878B11" w14:textId="77777777" w:rsidR="00065E4C" w:rsidRDefault="00065E4C" w:rsidP="00B706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74CD5B" w14:textId="4E399149" w:rsidR="00E85E14" w:rsidRPr="00E85E14" w:rsidRDefault="00E85E14" w:rsidP="00B7066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5E14">
        <w:rPr>
          <w:rFonts w:ascii="Times New Roman" w:hAnsi="Times New Roman" w:cs="Times New Roman"/>
          <w:b/>
          <w:bCs/>
          <w:sz w:val="28"/>
          <w:szCs w:val="28"/>
        </w:rPr>
        <w:t>Qualified Programs in the Health Sciences Division:</w:t>
      </w:r>
    </w:p>
    <w:p w14:paraId="25A41545" w14:textId="23A887CE" w:rsidR="00E85E14" w:rsidRPr="00E85E14" w:rsidRDefault="00E85E14" w:rsidP="00E85E1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E85E14">
        <w:rPr>
          <w:rFonts w:ascii="Times New Roman" w:hAnsi="Times New Roman" w:cs="Times New Roman"/>
          <w:bCs/>
          <w:sz w:val="28"/>
          <w:szCs w:val="28"/>
        </w:rPr>
        <w:t>Mental Health Services (MHT.S.AAS)</w:t>
      </w:r>
    </w:p>
    <w:p w14:paraId="22D0B2D0" w14:textId="136EAA5A" w:rsidR="00E85E14" w:rsidRPr="00E85E14" w:rsidRDefault="00E85E14" w:rsidP="00E85E1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E85E14">
        <w:rPr>
          <w:rFonts w:ascii="Times New Roman" w:hAnsi="Times New Roman" w:cs="Times New Roman"/>
          <w:bCs/>
          <w:sz w:val="28"/>
          <w:szCs w:val="28"/>
        </w:rPr>
        <w:t>Addiction Services (MHTCD.S.AAS)</w:t>
      </w:r>
    </w:p>
    <w:p w14:paraId="3B6898A0" w14:textId="178A013C" w:rsidR="00E85E14" w:rsidRPr="00E85E14" w:rsidRDefault="00E85E14" w:rsidP="00E85E1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E85E14">
        <w:rPr>
          <w:rFonts w:ascii="Times New Roman" w:hAnsi="Times New Roman" w:cs="Times New Roman"/>
          <w:bCs/>
          <w:sz w:val="28"/>
          <w:szCs w:val="28"/>
        </w:rPr>
        <w:t>Electroneurodiagnostic Technology (END.S.AAS)</w:t>
      </w:r>
    </w:p>
    <w:p w14:paraId="36B3FB68" w14:textId="245E19AA" w:rsidR="00E85E14" w:rsidRPr="00E85E14" w:rsidRDefault="00E85E14" w:rsidP="00E85E1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E85E14">
        <w:rPr>
          <w:rFonts w:ascii="Times New Roman" w:hAnsi="Times New Roman" w:cs="Times New Roman"/>
          <w:bCs/>
          <w:sz w:val="28"/>
          <w:szCs w:val="28"/>
        </w:rPr>
        <w:t>Nursing (NUR.S.AAS)</w:t>
      </w:r>
    </w:p>
    <w:p w14:paraId="31C090FC" w14:textId="490B5172" w:rsidR="00E85E14" w:rsidRPr="00E85E14" w:rsidRDefault="00E85E14" w:rsidP="00E85E1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E85E14">
        <w:rPr>
          <w:rFonts w:ascii="Times New Roman" w:hAnsi="Times New Roman" w:cs="Times New Roman"/>
          <w:bCs/>
          <w:sz w:val="28"/>
          <w:szCs w:val="28"/>
        </w:rPr>
        <w:t>Respiratory Care (RET.S.AAS)</w:t>
      </w:r>
    </w:p>
    <w:p w14:paraId="4386E2F9" w14:textId="52404F37" w:rsidR="00E85E14" w:rsidRPr="00E85E14" w:rsidRDefault="00E85E14" w:rsidP="00E85E1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E85E14">
        <w:rPr>
          <w:rFonts w:ascii="Times New Roman" w:hAnsi="Times New Roman" w:cs="Times New Roman"/>
          <w:bCs/>
          <w:sz w:val="28"/>
          <w:szCs w:val="28"/>
        </w:rPr>
        <w:t>Medical Assistant Technology (MAS.S.AAS)</w:t>
      </w:r>
    </w:p>
    <w:p w14:paraId="31C396EB" w14:textId="0471A2A2" w:rsidR="00E85E14" w:rsidRPr="00E85E14" w:rsidRDefault="00E85E14" w:rsidP="00E85E14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E85E14">
        <w:rPr>
          <w:rFonts w:ascii="Times New Roman" w:hAnsi="Times New Roman" w:cs="Times New Roman"/>
          <w:bCs/>
          <w:sz w:val="28"/>
          <w:szCs w:val="28"/>
        </w:rPr>
        <w:t>One-year Medical Assistant Certificate (MAS.S.CRT)</w:t>
      </w:r>
    </w:p>
    <w:sectPr w:rsidR="00E85E14" w:rsidRPr="00E85E14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50C3" w14:textId="77777777" w:rsidR="003D2530" w:rsidRDefault="003D2530" w:rsidP="00E34F09">
      <w:pPr>
        <w:spacing w:after="0" w:line="240" w:lineRule="auto"/>
      </w:pPr>
      <w:r>
        <w:separator/>
      </w:r>
    </w:p>
  </w:endnote>
  <w:endnote w:type="continuationSeparator" w:id="0">
    <w:p w14:paraId="5D086A56" w14:textId="77777777" w:rsidR="003D2530" w:rsidRDefault="003D2530" w:rsidP="00E3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FA9E" w14:textId="77777777" w:rsidR="003D2530" w:rsidRDefault="003D2530" w:rsidP="00E34F09">
      <w:pPr>
        <w:spacing w:after="0" w:line="240" w:lineRule="auto"/>
      </w:pPr>
      <w:r>
        <w:separator/>
      </w:r>
    </w:p>
  </w:footnote>
  <w:footnote w:type="continuationSeparator" w:id="0">
    <w:p w14:paraId="4713D5B2" w14:textId="77777777" w:rsidR="003D2530" w:rsidRDefault="003D2530" w:rsidP="00E34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EB5A" w14:textId="6EC4EACD" w:rsidR="00521534" w:rsidRDefault="0052153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0AA32" wp14:editId="643DED0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69994" cy="536219"/>
          <wp:effectExtent l="0" t="0" r="1905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994" cy="536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5421"/>
    <w:multiLevelType w:val="hybridMultilevel"/>
    <w:tmpl w:val="6B6A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15F"/>
    <w:multiLevelType w:val="hybridMultilevel"/>
    <w:tmpl w:val="BF04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94ABB"/>
    <w:multiLevelType w:val="hybridMultilevel"/>
    <w:tmpl w:val="11CAB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4B9A"/>
    <w:multiLevelType w:val="hybridMultilevel"/>
    <w:tmpl w:val="29C2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94482"/>
    <w:multiLevelType w:val="hybridMultilevel"/>
    <w:tmpl w:val="C542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142AB"/>
    <w:multiLevelType w:val="hybridMultilevel"/>
    <w:tmpl w:val="57B88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93D94"/>
    <w:multiLevelType w:val="hybridMultilevel"/>
    <w:tmpl w:val="C9A2FD10"/>
    <w:lvl w:ilvl="0" w:tplc="504C09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D1697"/>
    <w:multiLevelType w:val="hybridMultilevel"/>
    <w:tmpl w:val="A4A0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817DD"/>
    <w:multiLevelType w:val="hybridMultilevel"/>
    <w:tmpl w:val="7E748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97010C"/>
    <w:multiLevelType w:val="hybridMultilevel"/>
    <w:tmpl w:val="B1F6A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57467"/>
    <w:multiLevelType w:val="hybridMultilevel"/>
    <w:tmpl w:val="0C70A334"/>
    <w:lvl w:ilvl="0" w:tplc="EDB04096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43647"/>
    <w:multiLevelType w:val="hybridMultilevel"/>
    <w:tmpl w:val="B476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7684C"/>
    <w:multiLevelType w:val="hybridMultilevel"/>
    <w:tmpl w:val="0A12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05B8E"/>
    <w:multiLevelType w:val="hybridMultilevel"/>
    <w:tmpl w:val="1E4A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40AAE"/>
    <w:multiLevelType w:val="hybridMultilevel"/>
    <w:tmpl w:val="1BAAA33E"/>
    <w:lvl w:ilvl="0" w:tplc="2534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9D5DAE"/>
    <w:multiLevelType w:val="hybridMultilevel"/>
    <w:tmpl w:val="2A14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301988">
    <w:abstractNumId w:val="11"/>
  </w:num>
  <w:num w:numId="2" w16cid:durableId="1983340429">
    <w:abstractNumId w:val="9"/>
  </w:num>
  <w:num w:numId="3" w16cid:durableId="313803126">
    <w:abstractNumId w:val="0"/>
  </w:num>
  <w:num w:numId="4" w16cid:durableId="445195805">
    <w:abstractNumId w:val="7"/>
  </w:num>
  <w:num w:numId="5" w16cid:durableId="1828859791">
    <w:abstractNumId w:val="2"/>
  </w:num>
  <w:num w:numId="6" w16cid:durableId="670375180">
    <w:abstractNumId w:val="8"/>
  </w:num>
  <w:num w:numId="7" w16cid:durableId="2100329422">
    <w:abstractNumId w:val="3"/>
  </w:num>
  <w:num w:numId="8" w16cid:durableId="1214536083">
    <w:abstractNumId w:val="5"/>
  </w:num>
  <w:num w:numId="9" w16cid:durableId="210577349">
    <w:abstractNumId w:val="14"/>
  </w:num>
  <w:num w:numId="10" w16cid:durableId="95057691">
    <w:abstractNumId w:val="6"/>
  </w:num>
  <w:num w:numId="11" w16cid:durableId="1363508505">
    <w:abstractNumId w:val="10"/>
  </w:num>
  <w:num w:numId="12" w16cid:durableId="1115637807">
    <w:abstractNumId w:val="15"/>
  </w:num>
  <w:num w:numId="13" w16cid:durableId="1256014481">
    <w:abstractNumId w:val="13"/>
  </w:num>
  <w:num w:numId="14" w16cid:durableId="1514345558">
    <w:abstractNumId w:val="12"/>
  </w:num>
  <w:num w:numId="15" w16cid:durableId="1337344171">
    <w:abstractNumId w:val="4"/>
  </w:num>
  <w:num w:numId="16" w16cid:durableId="196753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8A"/>
    <w:rsid w:val="0000204E"/>
    <w:rsid w:val="00011F1F"/>
    <w:rsid w:val="00054EA3"/>
    <w:rsid w:val="00065E4C"/>
    <w:rsid w:val="000A448C"/>
    <w:rsid w:val="000D3BFD"/>
    <w:rsid w:val="000D5C32"/>
    <w:rsid w:val="000F5A28"/>
    <w:rsid w:val="0013391C"/>
    <w:rsid w:val="00164C83"/>
    <w:rsid w:val="00183F87"/>
    <w:rsid w:val="00194DA7"/>
    <w:rsid w:val="001A0C95"/>
    <w:rsid w:val="001A413F"/>
    <w:rsid w:val="001D5620"/>
    <w:rsid w:val="001E11E6"/>
    <w:rsid w:val="002004FC"/>
    <w:rsid w:val="002219A0"/>
    <w:rsid w:val="00242D48"/>
    <w:rsid w:val="00246842"/>
    <w:rsid w:val="00252143"/>
    <w:rsid w:val="0026173A"/>
    <w:rsid w:val="00266E46"/>
    <w:rsid w:val="002B3FDC"/>
    <w:rsid w:val="002F79E9"/>
    <w:rsid w:val="0030554F"/>
    <w:rsid w:val="00312A38"/>
    <w:rsid w:val="00315E8C"/>
    <w:rsid w:val="0035396B"/>
    <w:rsid w:val="003937B2"/>
    <w:rsid w:val="003D2530"/>
    <w:rsid w:val="003D544D"/>
    <w:rsid w:val="003E63C8"/>
    <w:rsid w:val="00410A93"/>
    <w:rsid w:val="004218AE"/>
    <w:rsid w:val="00426A82"/>
    <w:rsid w:val="00447A64"/>
    <w:rsid w:val="00465F62"/>
    <w:rsid w:val="00466E0E"/>
    <w:rsid w:val="00470347"/>
    <w:rsid w:val="004A148F"/>
    <w:rsid w:val="004B54B6"/>
    <w:rsid w:val="004C5E88"/>
    <w:rsid w:val="00500DA8"/>
    <w:rsid w:val="00521372"/>
    <w:rsid w:val="00521534"/>
    <w:rsid w:val="0055219A"/>
    <w:rsid w:val="005564F6"/>
    <w:rsid w:val="00557FCB"/>
    <w:rsid w:val="00581B82"/>
    <w:rsid w:val="005D5E46"/>
    <w:rsid w:val="005E48E4"/>
    <w:rsid w:val="00644779"/>
    <w:rsid w:val="00661AB9"/>
    <w:rsid w:val="00665FA2"/>
    <w:rsid w:val="00675585"/>
    <w:rsid w:val="006837DC"/>
    <w:rsid w:val="00696E6C"/>
    <w:rsid w:val="006A7BFC"/>
    <w:rsid w:val="006B19AE"/>
    <w:rsid w:val="006B3891"/>
    <w:rsid w:val="006E7F05"/>
    <w:rsid w:val="006F22A9"/>
    <w:rsid w:val="0072337C"/>
    <w:rsid w:val="00734CEC"/>
    <w:rsid w:val="007444DD"/>
    <w:rsid w:val="007604B7"/>
    <w:rsid w:val="007611F3"/>
    <w:rsid w:val="00764133"/>
    <w:rsid w:val="00772C2F"/>
    <w:rsid w:val="00782945"/>
    <w:rsid w:val="007B42CE"/>
    <w:rsid w:val="00806272"/>
    <w:rsid w:val="008129A2"/>
    <w:rsid w:val="00831C7D"/>
    <w:rsid w:val="00832C0D"/>
    <w:rsid w:val="00883E07"/>
    <w:rsid w:val="00892B71"/>
    <w:rsid w:val="008A1362"/>
    <w:rsid w:val="008B656E"/>
    <w:rsid w:val="008B7467"/>
    <w:rsid w:val="00920CEC"/>
    <w:rsid w:val="009527AA"/>
    <w:rsid w:val="0096408D"/>
    <w:rsid w:val="0096691B"/>
    <w:rsid w:val="00977812"/>
    <w:rsid w:val="009C54B4"/>
    <w:rsid w:val="009D1BA0"/>
    <w:rsid w:val="009E657F"/>
    <w:rsid w:val="009F1AB6"/>
    <w:rsid w:val="00A04C01"/>
    <w:rsid w:val="00A22096"/>
    <w:rsid w:val="00A46C34"/>
    <w:rsid w:val="00A55448"/>
    <w:rsid w:val="00A97AE2"/>
    <w:rsid w:val="00AA1A98"/>
    <w:rsid w:val="00AD47F0"/>
    <w:rsid w:val="00B151B1"/>
    <w:rsid w:val="00B505FF"/>
    <w:rsid w:val="00B7066C"/>
    <w:rsid w:val="00B73ABD"/>
    <w:rsid w:val="00BB1399"/>
    <w:rsid w:val="00BF6BC0"/>
    <w:rsid w:val="00C16D61"/>
    <w:rsid w:val="00C71F8E"/>
    <w:rsid w:val="00CC63EC"/>
    <w:rsid w:val="00CC6A22"/>
    <w:rsid w:val="00CD4D2B"/>
    <w:rsid w:val="00CE72D4"/>
    <w:rsid w:val="00D11193"/>
    <w:rsid w:val="00D332BD"/>
    <w:rsid w:val="00D62E9F"/>
    <w:rsid w:val="00D64A99"/>
    <w:rsid w:val="00D84A9F"/>
    <w:rsid w:val="00D8742B"/>
    <w:rsid w:val="00DA1D6A"/>
    <w:rsid w:val="00DB3775"/>
    <w:rsid w:val="00DC4946"/>
    <w:rsid w:val="00DC7C2C"/>
    <w:rsid w:val="00DE75DC"/>
    <w:rsid w:val="00E2095E"/>
    <w:rsid w:val="00E34F09"/>
    <w:rsid w:val="00E72917"/>
    <w:rsid w:val="00E74938"/>
    <w:rsid w:val="00E85E14"/>
    <w:rsid w:val="00E92731"/>
    <w:rsid w:val="00EB77B8"/>
    <w:rsid w:val="00EC5276"/>
    <w:rsid w:val="00EF6C89"/>
    <w:rsid w:val="00F3180C"/>
    <w:rsid w:val="00F379BA"/>
    <w:rsid w:val="00F66F8A"/>
    <w:rsid w:val="00F764B1"/>
    <w:rsid w:val="00FB7679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E54C6"/>
  <w15:docId w15:val="{81458A78-57F9-4DFF-851D-D629900C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3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37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0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C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4D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4C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C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F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09"/>
  </w:style>
  <w:style w:type="paragraph" w:styleId="Footer">
    <w:name w:val="footer"/>
    <w:basedOn w:val="Normal"/>
    <w:link w:val="FooterChar"/>
    <w:uiPriority w:val="99"/>
    <w:unhideWhenUsed/>
    <w:rsid w:val="00E34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09"/>
  </w:style>
  <w:style w:type="table" w:styleId="TableGrid">
    <w:name w:val="Table Grid"/>
    <w:basedOn w:val="TableNormal"/>
    <w:uiPriority w:val="39"/>
    <w:rsid w:val="00772C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nclair.academicworks.com/opportunities/1547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nclair.academicworks.com/opportunities/1547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inclair.edu/scholarship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inclair.edu/admissions/fafsa-worksho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cicchetti\OneDrive%20-%20Sinclair%20Community%20College\Desktop\Scholarship%20Proposal%20S2F%2010%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01c9c6-d5aa-4339-a372-6f2edbead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86A562AD613439F97BD1885184AF0" ma:contentTypeVersion="15" ma:contentTypeDescription="Create a new document." ma:contentTypeScope="" ma:versionID="96c2b87d8d000478a9318009107255f0">
  <xsd:schema xmlns:xsd="http://www.w3.org/2001/XMLSchema" xmlns:xs="http://www.w3.org/2001/XMLSchema" xmlns:p="http://schemas.microsoft.com/office/2006/metadata/properties" xmlns:ns3="33a2818b-aebd-4f1a-9630-4cd180259d3f" xmlns:ns4="2701c9c6-d5aa-4339-a372-6f2edbeadf7c" targetNamespace="http://schemas.microsoft.com/office/2006/metadata/properties" ma:root="true" ma:fieldsID="4033d6812ab3f04c118238fa34c5f390" ns3:_="" ns4:_="">
    <xsd:import namespace="33a2818b-aebd-4f1a-9630-4cd180259d3f"/>
    <xsd:import namespace="2701c9c6-d5aa-4339-a372-6f2edbead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2818b-aebd-4f1a-9630-4cd180259d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c9c6-d5aa-4339-a372-6f2edbead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7D4C3-C4B9-41E4-A723-005106763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1D4186-F2D0-474F-8559-B4792F64E5FC}">
  <ds:schemaRefs>
    <ds:schemaRef ds:uri="http://schemas.microsoft.com/office/2006/metadata/properties"/>
    <ds:schemaRef ds:uri="http://schemas.microsoft.com/office/infopath/2007/PartnerControls"/>
    <ds:schemaRef ds:uri="2701c9c6-d5aa-4339-a372-6f2edbeadf7c"/>
  </ds:schemaRefs>
</ds:datastoreItem>
</file>

<file path=customXml/itemProps3.xml><?xml version="1.0" encoding="utf-8"?>
<ds:datastoreItem xmlns:ds="http://schemas.openxmlformats.org/officeDocument/2006/customXml" ds:itemID="{17182174-5C47-4254-9F1D-56F3297DA6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F0C2F-B75F-4C75-AB8E-B930E10E0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2818b-aebd-4f1a-9630-4cd180259d3f"/>
    <ds:schemaRef ds:uri="2701c9c6-d5aa-4339-a372-6f2edbead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Scholarship Proposal S2F 10 21</Template>
  <TotalTime>5</TotalTime>
  <Pages>5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Cicchetti, Elizabeth</dc:creator>
  <cp:keywords/>
  <dc:description/>
  <cp:lastModifiedBy>Gonzalez, Katherine</cp:lastModifiedBy>
  <cp:revision>9</cp:revision>
  <dcterms:created xsi:type="dcterms:W3CDTF">2025-02-27T20:07:00Z</dcterms:created>
  <dcterms:modified xsi:type="dcterms:W3CDTF">2025-02-27T21:17:00Z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0x010100CCF86A562AD613439F97BD1885184AF0</vt:lpwstr>
  </property>
</Properties>
</file>