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3BD" w:rsidRPr="003043BD" w:rsidRDefault="003043BD" w:rsidP="003043BD">
      <w:pPr>
        <w:spacing w:after="0"/>
        <w:rPr>
          <w:rStyle w:val="fontstyle01"/>
          <w:rFonts w:asciiTheme="minorHAnsi" w:hAnsiTheme="minorHAnsi"/>
          <w:sz w:val="22"/>
          <w:szCs w:val="22"/>
        </w:rPr>
      </w:pPr>
      <w:r w:rsidRPr="003043BD">
        <w:rPr>
          <w:rStyle w:val="fontstyle01"/>
          <w:rFonts w:asciiTheme="minorHAnsi" w:hAnsiTheme="minorHAnsi"/>
          <w:sz w:val="22"/>
          <w:szCs w:val="22"/>
        </w:rPr>
        <w:t>C</w:t>
      </w:r>
      <w:r w:rsidRPr="003043BD">
        <w:rPr>
          <w:rStyle w:val="fontstyle01"/>
          <w:rFonts w:asciiTheme="minorHAnsi" w:hAnsiTheme="minorHAnsi"/>
          <w:sz w:val="22"/>
          <w:szCs w:val="22"/>
        </w:rPr>
        <w:t>areer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3043BD">
        <w:rPr>
          <w:rStyle w:val="fontstyle01"/>
          <w:rFonts w:asciiTheme="minorHAnsi" w:hAnsiTheme="minorHAnsi"/>
          <w:sz w:val="22"/>
          <w:szCs w:val="22"/>
        </w:rPr>
        <w:t>Technical Assurance Guides</w:t>
      </w:r>
      <w:r>
        <w:rPr>
          <w:rStyle w:val="fontstyle01"/>
          <w:rFonts w:asciiTheme="minorHAnsi" w:hAnsiTheme="minorHAnsi"/>
          <w:sz w:val="22"/>
          <w:szCs w:val="22"/>
        </w:rPr>
        <w:t xml:space="preserve"> (CTAGs)</w:t>
      </w:r>
      <w:bookmarkStart w:id="0" w:name="_GoBack"/>
      <w:bookmarkEnd w:id="0"/>
    </w:p>
    <w:p w:rsidR="00205EEE" w:rsidRPr="003043BD" w:rsidRDefault="003043BD" w:rsidP="003043BD">
      <w:pPr>
        <w:spacing w:after="0"/>
      </w:pPr>
      <w:r w:rsidRPr="003043BD">
        <w:rPr>
          <w:b/>
          <w:bCs/>
          <w:color w:val="231F20"/>
        </w:rPr>
        <w:br/>
      </w:r>
      <w:r w:rsidRPr="003043BD">
        <w:rPr>
          <w:rStyle w:val="fontstyle21"/>
          <w:rFonts w:asciiTheme="minorHAnsi" w:hAnsiTheme="minorHAnsi"/>
        </w:rPr>
        <w:t>Collaboration among the Ohio Department of Higher Education, the Ohio Department of</w:t>
      </w:r>
      <w:r w:rsidRPr="003043BD">
        <w:rPr>
          <w:color w:val="231F20"/>
        </w:rPr>
        <w:br/>
      </w:r>
      <w:r w:rsidRPr="003043BD">
        <w:rPr>
          <w:rStyle w:val="fontstyle21"/>
          <w:rFonts w:asciiTheme="minorHAnsi" w:hAnsiTheme="minorHAnsi"/>
        </w:rPr>
        <w:t>Education, and other key stakeholders led to the development of policies and procedures to</w:t>
      </w:r>
      <w:r w:rsidRPr="003043BD">
        <w:rPr>
          <w:color w:val="231F20"/>
        </w:rPr>
        <w:br/>
      </w:r>
      <w:r w:rsidRPr="003043BD">
        <w:rPr>
          <w:rStyle w:val="fontstyle21"/>
          <w:rFonts w:asciiTheme="minorHAnsi" w:hAnsiTheme="minorHAnsi"/>
        </w:rPr>
        <w:t xml:space="preserve">create statewide career-technical discipline </w:t>
      </w:r>
      <w:r w:rsidRPr="003043BD">
        <w:rPr>
          <w:rStyle w:val="fontstyle21"/>
          <w:rFonts w:asciiTheme="minorHAnsi" w:hAnsiTheme="minorHAnsi"/>
        </w:rPr>
        <w:t>specific</w:t>
      </w:r>
      <w:r w:rsidRPr="003043BD">
        <w:rPr>
          <w:rStyle w:val="fontstyle21"/>
          <w:rFonts w:asciiTheme="minorHAnsi" w:hAnsiTheme="minorHAnsi"/>
        </w:rPr>
        <w:t xml:space="preserve"> articulation agreements and further ensure</w:t>
      </w:r>
      <w:r w:rsidRPr="003043BD">
        <w:rPr>
          <w:color w:val="231F20"/>
        </w:rPr>
        <w:br/>
      </w:r>
      <w:r w:rsidRPr="003043BD">
        <w:rPr>
          <w:rStyle w:val="fontstyle21"/>
          <w:rFonts w:asciiTheme="minorHAnsi" w:hAnsiTheme="minorHAnsi"/>
        </w:rPr>
        <w:t>that students completing coursework at an adult or secondary career-technical institution can</w:t>
      </w:r>
      <w:r w:rsidRPr="003043BD">
        <w:rPr>
          <w:color w:val="231F20"/>
        </w:rPr>
        <w:br/>
      </w:r>
      <w:r w:rsidRPr="003043BD">
        <w:rPr>
          <w:rStyle w:val="fontstyle21"/>
          <w:rFonts w:asciiTheme="minorHAnsi" w:hAnsiTheme="minorHAnsi"/>
        </w:rPr>
        <w:t>articulate and transfer agreed-upon technical courses/programs to any Ohio public institution of</w:t>
      </w:r>
      <w:r w:rsidRPr="003043BD">
        <w:rPr>
          <w:color w:val="231F20"/>
        </w:rPr>
        <w:br/>
      </w:r>
      <w:r w:rsidRPr="003043BD">
        <w:rPr>
          <w:rStyle w:val="fontstyle21"/>
          <w:rFonts w:asciiTheme="minorHAnsi" w:hAnsiTheme="minorHAnsi"/>
        </w:rPr>
        <w:t>higher education and among Ohio public institutions of higher education “without unnecessary</w:t>
      </w:r>
      <w:r w:rsidRPr="003043BD">
        <w:rPr>
          <w:color w:val="231F20"/>
        </w:rPr>
        <w:br/>
      </w:r>
      <w:r w:rsidRPr="003043BD">
        <w:rPr>
          <w:rStyle w:val="fontstyle21"/>
          <w:rFonts w:asciiTheme="minorHAnsi" w:hAnsiTheme="minorHAnsi"/>
        </w:rPr>
        <w:t>duplication or institutional barriers.”</w:t>
      </w:r>
      <w:r w:rsidRPr="003043BD">
        <w:rPr>
          <w:color w:val="231F20"/>
        </w:rPr>
        <w:br/>
      </w:r>
      <w:r w:rsidRPr="003043BD">
        <w:rPr>
          <w:rStyle w:val="fontstyle21"/>
          <w:rFonts w:asciiTheme="minorHAnsi" w:hAnsiTheme="minorHAnsi"/>
        </w:rPr>
        <w:t>Career-Technical Assurance Guides (CTAGs) are statewide articulation agreements that</w:t>
      </w:r>
      <w:r w:rsidRPr="003043BD">
        <w:rPr>
          <w:color w:val="231F20"/>
        </w:rPr>
        <w:br/>
      </w:r>
      <w:r w:rsidRPr="003043BD">
        <w:rPr>
          <w:rStyle w:val="fontstyle21"/>
          <w:rFonts w:asciiTheme="minorHAnsi" w:hAnsiTheme="minorHAnsi"/>
        </w:rPr>
        <w:t>guarantee the recognition of learning which occurs at public adult and secondary career-technical</w:t>
      </w:r>
      <w:r w:rsidRPr="003043BD">
        <w:rPr>
          <w:color w:val="231F20"/>
        </w:rPr>
        <w:br/>
      </w:r>
      <w:r w:rsidRPr="003043BD">
        <w:rPr>
          <w:rStyle w:val="fontstyle21"/>
          <w:rFonts w:asciiTheme="minorHAnsi" w:hAnsiTheme="minorHAnsi"/>
        </w:rPr>
        <w:t>institutions and have the opportunity for the award of college credit toward technical courses/</w:t>
      </w:r>
      <w:r w:rsidRPr="003043BD">
        <w:rPr>
          <w:color w:val="231F20"/>
        </w:rPr>
        <w:br/>
      </w:r>
      <w:r w:rsidRPr="003043BD">
        <w:rPr>
          <w:rStyle w:val="fontstyle21"/>
          <w:rFonts w:asciiTheme="minorHAnsi" w:hAnsiTheme="minorHAnsi"/>
        </w:rPr>
        <w:t>programs at any public higher education institution. CTAGs serve as advising tools, identifying</w:t>
      </w:r>
      <w:r w:rsidRPr="003043BD">
        <w:rPr>
          <w:color w:val="231F20"/>
        </w:rPr>
        <w:br/>
      </w:r>
      <w:r w:rsidRPr="003043BD">
        <w:rPr>
          <w:rStyle w:val="fontstyle21"/>
          <w:rFonts w:asciiTheme="minorHAnsi" w:hAnsiTheme="minorHAnsi"/>
        </w:rPr>
        <w:t>the statewide content guarantee and describing other conditions or obligations (e.g., program</w:t>
      </w:r>
      <w:r w:rsidRPr="003043BD">
        <w:rPr>
          <w:color w:val="231F20"/>
        </w:rPr>
        <w:br/>
      </w:r>
      <w:r w:rsidRPr="003043BD">
        <w:rPr>
          <w:rStyle w:val="fontstyle21"/>
          <w:rFonts w:asciiTheme="minorHAnsi" w:hAnsiTheme="minorHAnsi"/>
        </w:rPr>
        <w:t>accreditation or industry credential) associated with the guarantee.</w:t>
      </w:r>
      <w:r w:rsidRPr="003043BD">
        <w:rPr>
          <w:color w:val="231F20"/>
        </w:rPr>
        <w:br/>
      </w:r>
      <w:r w:rsidRPr="003043BD">
        <w:rPr>
          <w:rStyle w:val="fontstyle21"/>
          <w:rFonts w:asciiTheme="minorHAnsi" w:hAnsiTheme="minorHAnsi"/>
        </w:rPr>
        <w:t xml:space="preserve">A complete list of approved CTAG courses for Sinclair can be viewed at: </w:t>
      </w:r>
      <w:r w:rsidRPr="003043BD">
        <w:rPr>
          <w:rStyle w:val="fontstyle31"/>
          <w:rFonts w:asciiTheme="minorHAnsi" w:hAnsiTheme="minorHAnsi"/>
        </w:rPr>
        <w:t>https://reports-cems.</w:t>
      </w:r>
      <w:r w:rsidRPr="003043BD">
        <w:rPr>
          <w:b/>
          <w:bCs/>
          <w:color w:val="231F20"/>
        </w:rPr>
        <w:br/>
      </w:r>
      <w:r w:rsidRPr="003043BD">
        <w:rPr>
          <w:rStyle w:val="fontstyle31"/>
          <w:rFonts w:asciiTheme="minorHAnsi" w:hAnsiTheme="minorHAnsi"/>
        </w:rPr>
        <w:t>transfercredit.ohio.gov</w:t>
      </w:r>
    </w:p>
    <w:sectPr w:rsidR="00205EEE" w:rsidRPr="00304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am-Bold">
    <w:altName w:val="Times New Roman"/>
    <w:panose1 w:val="00000000000000000000"/>
    <w:charset w:val="00"/>
    <w:family w:val="roman"/>
    <w:notTrueType/>
    <w:pitch w:val="default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MinionPro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BD"/>
    <w:rsid w:val="00205EEE"/>
    <w:rsid w:val="0030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0B049-3E23-4DDD-9201-50A1BAC6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043BD"/>
    <w:rPr>
      <w:rFonts w:ascii="Gotham-Bold" w:hAnsi="Gotham-Bold" w:hint="default"/>
      <w:b/>
      <w:bCs/>
      <w:i w:val="0"/>
      <w:iCs w:val="0"/>
      <w:color w:val="231F20"/>
      <w:sz w:val="28"/>
      <w:szCs w:val="28"/>
    </w:rPr>
  </w:style>
  <w:style w:type="character" w:customStyle="1" w:styleId="fontstyle21">
    <w:name w:val="fontstyle21"/>
    <w:basedOn w:val="DefaultParagraphFont"/>
    <w:rsid w:val="003043BD"/>
    <w:rPr>
      <w:rFonts w:ascii="MinionPro-Regular" w:hAnsi="MinionPro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basedOn w:val="DefaultParagraphFont"/>
    <w:rsid w:val="003043BD"/>
    <w:rPr>
      <w:rFonts w:ascii="MinionPro-Bold" w:hAnsi="MinionPro-Bold" w:hint="default"/>
      <w:b/>
      <w:bCs/>
      <w:i w:val="0"/>
      <w:iCs w:val="0"/>
      <w:color w:val="231F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Flesher, Christie</dc:creator>
  <cp:keywords/>
  <dc:description/>
  <cp:lastModifiedBy>Flesher, Christie</cp:lastModifiedBy>
  <cp:revision>1</cp:revision>
  <dcterms:created xsi:type="dcterms:W3CDTF">2017-07-06T15:57:00Z</dcterms:created>
  <dcterms:modified xsi:type="dcterms:W3CDTF">2017-07-06T15:59:00Z</dcterms:modified>
</cp:coreProperties>
</file>