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56B" w:rsidRPr="00F60941" w:rsidRDefault="009A356B" w:rsidP="009A356B">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9A356B" w:rsidRDefault="009A356B" w:rsidP="009A356B">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2014-15</w:t>
      </w:r>
    </w:p>
    <w:p w:rsidR="009A356B" w:rsidRDefault="009A356B" w:rsidP="009A356B">
      <w:pPr>
        <w:jc w:val="center"/>
        <w:rPr>
          <w:rFonts w:ascii="Arial" w:hAnsi="Arial" w:cs="Arial"/>
          <w:b/>
          <w:color w:val="000000" w:themeColor="text1"/>
        </w:rPr>
      </w:pPr>
    </w:p>
    <w:p w:rsidR="009A356B" w:rsidRPr="00CD2613" w:rsidRDefault="009A356B" w:rsidP="009A356B">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9A356B" w:rsidRDefault="009A356B" w:rsidP="009A356B">
      <w:pPr>
        <w:jc w:val="center"/>
        <w:rPr>
          <w:rFonts w:ascii="Arial" w:hAnsi="Arial" w:cs="Arial"/>
          <w:b/>
          <w:color w:val="000000" w:themeColor="text1"/>
        </w:rPr>
      </w:pPr>
    </w:p>
    <w:p w:rsidR="009A356B" w:rsidRPr="00CD2613" w:rsidRDefault="009A356B" w:rsidP="009A356B">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1A1879">
        <w:rPr>
          <w:rFonts w:ascii="Arial" w:hAnsi="Arial" w:cs="Arial"/>
          <w:color w:val="000000" w:themeColor="text1"/>
          <w:u w:val="single"/>
        </w:rPr>
        <w:t xml:space="preserve">0575 – Industrial Engineering, </w:t>
      </w:r>
      <w:r w:rsidR="00C50A91">
        <w:rPr>
          <w:rFonts w:ascii="Arial" w:hAnsi="Arial" w:cs="Arial"/>
          <w:color w:val="000000" w:themeColor="text1"/>
          <w:u w:val="single"/>
        </w:rPr>
        <w:t>0</w:t>
      </w:r>
      <w:r w:rsidR="00632AF3">
        <w:rPr>
          <w:rFonts w:ascii="Arial" w:hAnsi="Arial" w:cs="Arial"/>
          <w:color w:val="000000" w:themeColor="text1"/>
          <w:u w:val="single"/>
        </w:rPr>
        <w:t>5</w:t>
      </w:r>
      <w:r w:rsidR="00C50A91">
        <w:rPr>
          <w:rFonts w:ascii="Arial" w:hAnsi="Arial" w:cs="Arial"/>
          <w:color w:val="000000" w:themeColor="text1"/>
          <w:u w:val="single"/>
        </w:rPr>
        <w:t xml:space="preserve">76 – </w:t>
      </w:r>
      <w:r w:rsidR="00632AF3">
        <w:rPr>
          <w:rFonts w:ascii="Arial" w:hAnsi="Arial" w:cs="Arial"/>
          <w:color w:val="000000" w:themeColor="text1"/>
          <w:u w:val="single"/>
        </w:rPr>
        <w:t>Operations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2AF3">
        <w:rPr>
          <w:rFonts w:ascii="Arial" w:hAnsi="Arial" w:cs="Arial"/>
          <w:color w:val="000000" w:themeColor="text1"/>
        </w:rPr>
        <w:t>11</w:t>
      </w:r>
      <w:r>
        <w:rPr>
          <w:rFonts w:ascii="Arial" w:hAnsi="Arial" w:cs="Arial"/>
          <w:color w:val="000000" w:themeColor="text1"/>
        </w:rPr>
        <w:t>-</w:t>
      </w:r>
      <w:r w:rsidR="00A36BF7">
        <w:rPr>
          <w:rFonts w:ascii="Arial" w:hAnsi="Arial" w:cs="Arial"/>
          <w:color w:val="000000" w:themeColor="text1"/>
        </w:rPr>
        <w:t>20</w:t>
      </w:r>
      <w:r w:rsidR="00632AF3">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632AF3">
        <w:rPr>
          <w:rFonts w:ascii="Arial" w:hAnsi="Arial" w:cs="Arial"/>
          <w:color w:val="000000" w:themeColor="text1"/>
        </w:rPr>
        <w:t>6</w:t>
      </w:r>
      <w:r>
        <w:rPr>
          <w:rFonts w:ascii="Arial" w:hAnsi="Arial" w:cs="Arial"/>
          <w:color w:val="000000" w:themeColor="text1"/>
        </w:rPr>
        <w:t>-201</w:t>
      </w:r>
      <w:r w:rsidR="00632AF3">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noProof/>
        </w:rPr>
      </w:pPr>
    </w:p>
    <w:p w:rsidR="00D43EAF" w:rsidRDefault="00D43EAF" w:rsidP="00585766">
      <w:pPr>
        <w:rPr>
          <w:rFonts w:ascii="Arial" w:hAnsi="Arial" w:cs="Arial"/>
          <w:noProof/>
          <w:color w:val="000000" w:themeColor="text1"/>
        </w:rPr>
      </w:pPr>
      <w:r>
        <w:rPr>
          <w:noProof/>
        </w:rPr>
        <w:drawing>
          <wp:inline distT="0" distB="0" distL="0" distR="0" wp14:anchorId="4FF13614" wp14:editId="6C6422D3">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noProof/>
          <w:color w:val="000000" w:themeColor="text1"/>
        </w:rPr>
      </w:pPr>
    </w:p>
    <w:p w:rsidR="005A2D5A" w:rsidRDefault="005A2D5A" w:rsidP="00585766">
      <w:pPr>
        <w:rPr>
          <w:rFonts w:ascii="Arial" w:hAnsi="Arial" w:cs="Arial"/>
          <w:noProof/>
          <w:color w:val="000000" w:themeColor="text1"/>
        </w:rPr>
      </w:pPr>
    </w:p>
    <w:p w:rsidR="00585766" w:rsidRDefault="00585766" w:rsidP="003534C4">
      <w:pPr>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3D7AD4" w:rsidRDefault="003D7AD4"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3D7AD4" w:rsidRPr="003D1829" w:rsidRDefault="003D1829" w:rsidP="006A40B7">
      <w:pPr>
        <w:spacing w:after="200" w:line="276" w:lineRule="auto"/>
        <w:rPr>
          <w:rFonts w:ascii="Arial" w:hAnsi="Arial" w:cs="Arial"/>
          <w:b/>
          <w:color w:val="000000" w:themeColor="text1"/>
          <w:u w:val="single"/>
        </w:rPr>
      </w:pPr>
      <w:r w:rsidRPr="003D1829">
        <w:rPr>
          <w:rFonts w:ascii="Arial" w:hAnsi="Arial" w:cs="Arial"/>
          <w:b/>
          <w:color w:val="000000" w:themeColor="text1"/>
          <w:u w:val="single"/>
        </w:rPr>
        <w:lastRenderedPageBreak/>
        <w:t>Completion Trends</w:t>
      </w:r>
    </w:p>
    <w:p w:rsidR="001F6B43" w:rsidRDefault="001F6B43" w:rsidP="006A40B7">
      <w:pPr>
        <w:spacing w:after="200" w:line="276" w:lineRule="auto"/>
        <w:rPr>
          <w:rFonts w:ascii="Arial" w:hAnsi="Arial" w:cs="Arial"/>
          <w:color w:val="000000" w:themeColor="text1"/>
        </w:rPr>
      </w:pPr>
    </w:p>
    <w:p w:rsidR="001F6B43" w:rsidRDefault="001F6B43" w:rsidP="006A40B7">
      <w:pPr>
        <w:spacing w:after="200" w:line="276" w:lineRule="auto"/>
        <w:rPr>
          <w:rFonts w:ascii="Arial" w:hAnsi="Arial" w:cs="Arial"/>
          <w:color w:val="000000" w:themeColor="text1"/>
        </w:rPr>
      </w:pPr>
      <w:r>
        <w:rPr>
          <w:rFonts w:ascii="Arial" w:hAnsi="Arial" w:cs="Arial"/>
          <w:color w:val="000000" w:themeColor="text1"/>
        </w:rPr>
        <w:t xml:space="preserve">The Operations Technology (OPT) </w:t>
      </w:r>
      <w:r w:rsidR="00801F01">
        <w:rPr>
          <w:rFonts w:ascii="Arial" w:hAnsi="Arial" w:cs="Arial"/>
          <w:color w:val="000000" w:themeColor="text1"/>
        </w:rPr>
        <w:t>d</w:t>
      </w:r>
      <w:r>
        <w:rPr>
          <w:rFonts w:ascii="Arial" w:hAnsi="Arial" w:cs="Arial"/>
          <w:color w:val="000000" w:themeColor="text1"/>
        </w:rPr>
        <w:t xml:space="preserve">epartment </w:t>
      </w:r>
      <w:r w:rsidR="00801F01">
        <w:rPr>
          <w:rFonts w:ascii="Arial" w:hAnsi="Arial" w:cs="Arial"/>
          <w:color w:val="000000" w:themeColor="text1"/>
        </w:rPr>
        <w:t xml:space="preserve">was previously known as the Industrial Engineering Technology (IET) department.  In 2007, the transition was made from IET to OPT, although for many years there were students completing the IET degrees.  Both the OPT (0576) and IET (0575) programs and graduates are being included in this annual update. </w:t>
      </w:r>
      <w:r>
        <w:rPr>
          <w:rFonts w:ascii="Arial" w:hAnsi="Arial" w:cs="Arial"/>
          <w:color w:val="000000" w:themeColor="text1"/>
        </w:rPr>
        <w:t xml:space="preserve"> </w:t>
      </w:r>
    </w:p>
    <w:p w:rsidR="00B754A9" w:rsidRDefault="001F6B43" w:rsidP="006A40B7">
      <w:pPr>
        <w:spacing w:after="200" w:line="276" w:lineRule="auto"/>
        <w:rPr>
          <w:rFonts w:ascii="Arial" w:hAnsi="Arial" w:cs="Arial"/>
          <w:color w:val="000000" w:themeColor="text1"/>
        </w:rPr>
      </w:pPr>
      <w:r>
        <w:rPr>
          <w:rFonts w:ascii="Arial" w:hAnsi="Arial" w:cs="Arial"/>
          <w:color w:val="000000" w:themeColor="text1"/>
        </w:rPr>
        <w:t>The OPT</w:t>
      </w:r>
      <w:r w:rsidR="00295874">
        <w:rPr>
          <w:rFonts w:ascii="Arial" w:hAnsi="Arial" w:cs="Arial"/>
          <w:color w:val="000000" w:themeColor="text1"/>
        </w:rPr>
        <w:t xml:space="preserve"> </w:t>
      </w:r>
      <w:r w:rsidR="00B754A9">
        <w:rPr>
          <w:rFonts w:ascii="Arial" w:hAnsi="Arial" w:cs="Arial"/>
          <w:color w:val="000000" w:themeColor="text1"/>
        </w:rPr>
        <w:t xml:space="preserve">department experienced a spike in completions in FY 10-11.  This can be attributed to a couple factors.  First, there was a push to get students through the system before the semester conversion.  But also, FY 10-11 coincided with the height of activity from displaced workers, and their various assistance programs.  So there seems to be assignable causes for the elevated numbers in FY 10-11.  </w:t>
      </w:r>
    </w:p>
    <w:p w:rsidR="00295874" w:rsidRDefault="00B754A9" w:rsidP="006A40B7">
      <w:pPr>
        <w:spacing w:after="200" w:line="276" w:lineRule="auto"/>
        <w:rPr>
          <w:rFonts w:ascii="Arial" w:hAnsi="Arial" w:cs="Arial"/>
          <w:color w:val="000000" w:themeColor="text1"/>
        </w:rPr>
      </w:pPr>
      <w:r>
        <w:rPr>
          <w:rFonts w:ascii="Arial" w:hAnsi="Arial" w:cs="Arial"/>
          <w:color w:val="000000" w:themeColor="text1"/>
        </w:rPr>
        <w:t>We’ve seen a decline in the number of completions since that spike in FY</w:t>
      </w:r>
      <w:r w:rsidR="00295874">
        <w:rPr>
          <w:rFonts w:ascii="Arial" w:hAnsi="Arial" w:cs="Arial"/>
          <w:color w:val="000000" w:themeColor="text1"/>
        </w:rPr>
        <w:t xml:space="preserve">-10-11, although it is not as dramatic as the graph would indicate, if we discount the FY 10-11 numbers due to the assignable causes.  Even so, the department is concerned about the declining numbers of OPT completions, with three straight years of decline.  </w:t>
      </w:r>
    </w:p>
    <w:p w:rsidR="00B754A9" w:rsidRPr="00B754A9" w:rsidRDefault="00DA7620" w:rsidP="006A40B7">
      <w:pPr>
        <w:spacing w:after="200" w:line="276" w:lineRule="auto"/>
        <w:rPr>
          <w:rFonts w:ascii="Arial" w:hAnsi="Arial" w:cs="Arial"/>
          <w:color w:val="000000" w:themeColor="text1"/>
        </w:rPr>
      </w:pPr>
      <w:r>
        <w:rPr>
          <w:rFonts w:ascii="Arial" w:hAnsi="Arial" w:cs="Arial"/>
          <w:color w:val="000000" w:themeColor="text1"/>
        </w:rPr>
        <w:t xml:space="preserve">The OPT department has always participated in marketing and outreach opportunities such as high school events, college open houses, </w:t>
      </w:r>
      <w:r w:rsidR="00417A95">
        <w:rPr>
          <w:rFonts w:ascii="Arial" w:hAnsi="Arial" w:cs="Arial"/>
          <w:color w:val="000000" w:themeColor="text1"/>
        </w:rPr>
        <w:t xml:space="preserve">Tech Fest, </w:t>
      </w:r>
      <w:r>
        <w:rPr>
          <w:rFonts w:ascii="Arial" w:hAnsi="Arial" w:cs="Arial"/>
          <w:color w:val="000000" w:themeColor="text1"/>
        </w:rPr>
        <w:t xml:space="preserve">and </w:t>
      </w:r>
      <w:r w:rsidR="00417A95">
        <w:rPr>
          <w:rFonts w:ascii="Arial" w:hAnsi="Arial" w:cs="Arial"/>
          <w:color w:val="000000" w:themeColor="text1"/>
        </w:rPr>
        <w:t xml:space="preserve">Tech Prep events.  We have an active partnership with the University of Dayton, and many of our graduates transfer there in either Industrial Engineering Technology or Global Manufacturing Systems. We have an active Industrial Advisory Committee that provides program guidance and validates the appropriateness of our curriculum. These activities are crucial for making sure we have the right program and for maintaining our presence in the community and attracting new students.  Despite these efforts, we continue to see declining numbers, both in completion and enrollment. </w:t>
      </w:r>
      <w:r w:rsidR="00295874">
        <w:rPr>
          <w:rFonts w:ascii="Arial" w:hAnsi="Arial" w:cs="Arial"/>
          <w:color w:val="000000" w:themeColor="text1"/>
        </w:rPr>
        <w:t>Looking at it optimistically, we may be seeing a “leveling off” of those completion numbers</w:t>
      </w:r>
      <w:r w:rsidR="002C54D6">
        <w:rPr>
          <w:rFonts w:ascii="Arial" w:hAnsi="Arial" w:cs="Arial"/>
          <w:color w:val="000000" w:themeColor="text1"/>
        </w:rPr>
        <w:t>, where we’ve struck a sort of equilibrium</w:t>
      </w:r>
      <w:r w:rsidR="00295874">
        <w:rPr>
          <w:rFonts w:ascii="Arial" w:hAnsi="Arial" w:cs="Arial"/>
          <w:color w:val="000000" w:themeColor="text1"/>
        </w:rPr>
        <w:t xml:space="preserve">.  </w:t>
      </w:r>
      <w:r>
        <w:rPr>
          <w:rFonts w:ascii="Arial" w:hAnsi="Arial" w:cs="Arial"/>
          <w:color w:val="000000" w:themeColor="text1"/>
        </w:rPr>
        <w:t>We will continue to monitor the situation.</w:t>
      </w:r>
      <w:r w:rsidR="00295874">
        <w:rPr>
          <w:rFonts w:ascii="Arial" w:hAnsi="Arial" w:cs="Arial"/>
          <w:color w:val="000000" w:themeColor="text1"/>
        </w:rPr>
        <w:t xml:space="preserve"> </w:t>
      </w:r>
      <w:r w:rsidR="00B754A9">
        <w:rPr>
          <w:rFonts w:ascii="Arial" w:hAnsi="Arial" w:cs="Arial"/>
          <w:color w:val="000000" w:themeColor="text1"/>
        </w:rPr>
        <w:t xml:space="preserve">  </w:t>
      </w:r>
    </w:p>
    <w:p w:rsidR="003D1829" w:rsidRDefault="003D1829"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3D1829" w:rsidRDefault="003D1829" w:rsidP="006A40B7">
      <w:pPr>
        <w:spacing w:after="200" w:line="276" w:lineRule="auto"/>
        <w:rPr>
          <w:rFonts w:ascii="Arial" w:hAnsi="Arial" w:cs="Arial"/>
          <w:b/>
          <w:color w:val="000000" w:themeColor="text1"/>
        </w:rPr>
      </w:pPr>
    </w:p>
    <w:p w:rsidR="00417A95" w:rsidRDefault="00417A95" w:rsidP="006A40B7">
      <w:pPr>
        <w:spacing w:after="200" w:line="276" w:lineRule="auto"/>
        <w:rPr>
          <w:rFonts w:ascii="Arial" w:hAnsi="Arial" w:cs="Arial"/>
          <w:b/>
          <w:color w:val="000000" w:themeColor="text1"/>
        </w:rPr>
      </w:pPr>
    </w:p>
    <w:p w:rsidR="00417A95" w:rsidRDefault="00417A95" w:rsidP="006A40B7">
      <w:pPr>
        <w:spacing w:after="200" w:line="276" w:lineRule="auto"/>
        <w:rPr>
          <w:rFonts w:ascii="Arial" w:hAnsi="Arial" w:cs="Arial"/>
          <w:b/>
          <w:color w:val="000000" w:themeColor="text1"/>
        </w:rPr>
      </w:pPr>
    </w:p>
    <w:p w:rsidR="00417A95" w:rsidRDefault="00417A95" w:rsidP="006A40B7">
      <w:pPr>
        <w:spacing w:after="200" w:line="276" w:lineRule="auto"/>
        <w:rPr>
          <w:rFonts w:ascii="Arial" w:hAnsi="Arial" w:cs="Arial"/>
          <w:b/>
          <w:color w:val="000000" w:themeColor="text1"/>
        </w:rPr>
      </w:pPr>
    </w:p>
    <w:p w:rsidR="00417A95" w:rsidRDefault="00417A95" w:rsidP="006A40B7">
      <w:pPr>
        <w:spacing w:after="200" w:line="276" w:lineRule="auto"/>
        <w:rPr>
          <w:rFonts w:ascii="Arial" w:hAnsi="Arial" w:cs="Arial"/>
          <w:b/>
          <w:color w:val="000000" w:themeColor="text1"/>
        </w:rPr>
      </w:pPr>
    </w:p>
    <w:p w:rsidR="00417A95" w:rsidRDefault="00417A95" w:rsidP="006A40B7">
      <w:pPr>
        <w:spacing w:after="200" w:line="276" w:lineRule="auto"/>
        <w:rPr>
          <w:rFonts w:ascii="Arial" w:hAnsi="Arial" w:cs="Arial"/>
          <w:b/>
          <w:color w:val="000000" w:themeColor="text1"/>
        </w:rPr>
      </w:pPr>
    </w:p>
    <w:p w:rsidR="00585766" w:rsidRPr="001D3E1D" w:rsidRDefault="00585766" w:rsidP="006A40B7">
      <w:pPr>
        <w:spacing w:after="200" w:line="276" w:lineRule="auto"/>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147571" w:rsidP="00585766">
      <w:pPr>
        <w:rPr>
          <w:rFonts w:ascii="Arial" w:hAnsi="Arial" w:cs="Arial"/>
          <w:color w:val="000000" w:themeColor="text1"/>
        </w:rPr>
      </w:pPr>
      <w:r>
        <w:rPr>
          <w:noProof/>
        </w:rPr>
        <w:drawing>
          <wp:inline distT="0" distB="0" distL="0" distR="0" wp14:anchorId="6BFCA252" wp14:editId="6625F5B4">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F417C8" w:rsidRPr="008258DA" w:rsidRDefault="00F417C8" w:rsidP="00F417C8">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50A91" w:rsidRPr="00585766" w:rsidRDefault="00C50A91" w:rsidP="00585766">
      <w:pPr>
        <w:rPr>
          <w:rFonts w:ascii="Arial" w:hAnsi="Arial" w:cs="Arial"/>
          <w:color w:val="000000" w:themeColor="text1"/>
        </w:rPr>
      </w:pPr>
    </w:p>
    <w:p w:rsidR="008258DA" w:rsidRDefault="008258DA" w:rsidP="008258DA">
      <w:pPr>
        <w:rPr>
          <w:rFonts w:ascii="Arial" w:hAnsi="Arial" w:cs="Arial"/>
          <w:color w:val="000000" w:themeColor="text1"/>
        </w:rPr>
      </w:pPr>
    </w:p>
    <w:p w:rsidR="00417A95" w:rsidRPr="00417A95" w:rsidRDefault="00417A95" w:rsidP="008258DA">
      <w:pPr>
        <w:rPr>
          <w:rFonts w:ascii="Arial" w:hAnsi="Arial" w:cs="Arial"/>
          <w:b/>
          <w:color w:val="000000" w:themeColor="text1"/>
          <w:u w:val="single"/>
        </w:rPr>
      </w:pPr>
      <w:r w:rsidRPr="00417A95">
        <w:rPr>
          <w:rFonts w:ascii="Arial" w:hAnsi="Arial" w:cs="Arial"/>
          <w:b/>
          <w:color w:val="000000" w:themeColor="text1"/>
          <w:u w:val="single"/>
        </w:rPr>
        <w:t>Success Trends</w:t>
      </w:r>
    </w:p>
    <w:p w:rsidR="00417A95" w:rsidRDefault="00417A95" w:rsidP="008258DA">
      <w:pPr>
        <w:rPr>
          <w:rFonts w:ascii="Arial" w:hAnsi="Arial" w:cs="Arial"/>
          <w:color w:val="000000" w:themeColor="text1"/>
        </w:rPr>
      </w:pPr>
    </w:p>
    <w:p w:rsidR="00F417C8" w:rsidRDefault="008343AA" w:rsidP="00162764">
      <w:pPr>
        <w:spacing w:after="200" w:line="276" w:lineRule="auto"/>
        <w:rPr>
          <w:rFonts w:ascii="Arial" w:hAnsi="Arial" w:cs="Arial"/>
          <w:color w:val="000000" w:themeColor="text1"/>
        </w:rPr>
      </w:pPr>
      <w:r>
        <w:rPr>
          <w:rFonts w:ascii="Arial" w:hAnsi="Arial" w:cs="Arial"/>
          <w:color w:val="000000" w:themeColor="text1"/>
        </w:rPr>
        <w:t>The success data for the OPT department remains strong, with numbers well above the division and college wide averages.</w:t>
      </w:r>
      <w:r w:rsidR="00F417C8">
        <w:rPr>
          <w:rFonts w:ascii="Arial" w:hAnsi="Arial" w:cs="Arial"/>
          <w:color w:val="000000" w:themeColor="text1"/>
        </w:rPr>
        <w:t xml:space="preserve">  One factor that is influencing the OPT success rates is our history of faculty-student advising.  For over 20 years, The OPT faculty have worked directly with students to address academic problems, assist in scheduling courses, and assist in long range planning for degree completion.  This type of assistance also finds its way into the classrooms, where faculty work with students to maximize course success.  </w:t>
      </w:r>
    </w:p>
    <w:p w:rsidR="00C7004F" w:rsidRDefault="00C7004F" w:rsidP="00162764">
      <w:pPr>
        <w:spacing w:after="200" w:line="276" w:lineRule="auto"/>
        <w:rPr>
          <w:rFonts w:ascii="Arial" w:hAnsi="Arial" w:cs="Arial"/>
          <w:color w:val="000000" w:themeColor="text1"/>
        </w:rPr>
      </w:pPr>
      <w:r>
        <w:rPr>
          <w:rFonts w:ascii="Arial" w:hAnsi="Arial" w:cs="Arial"/>
          <w:color w:val="000000" w:themeColor="text1"/>
        </w:rPr>
        <w:t>High enrollment courses in the department include OPT 1100 (Tooling and Machining Metrology), OPT 1101 (Introduction to Operations), OPT 2211 (Industrial Risk Management), OPT 2240 (Six Sigma Green Belt), and OPT 2251 (Supply Chain Operations and Logistics).  The success rates for those course are listed in the table below</w:t>
      </w:r>
      <w:r w:rsidR="002452F9">
        <w:rPr>
          <w:rFonts w:ascii="Arial" w:hAnsi="Arial" w:cs="Arial"/>
          <w:color w:val="000000" w:themeColor="text1"/>
        </w:rPr>
        <w:t>, along with their corresponding pre-semester courses</w:t>
      </w:r>
      <w:r>
        <w:rPr>
          <w:rFonts w:ascii="Arial" w:hAnsi="Arial" w:cs="Arial"/>
          <w:color w:val="000000" w:themeColor="text1"/>
        </w:rPr>
        <w:t>.</w:t>
      </w:r>
    </w:p>
    <w:tbl>
      <w:tblPr>
        <w:tblStyle w:val="TableGrid"/>
        <w:tblW w:w="0" w:type="auto"/>
        <w:tblLook w:val="04A0" w:firstRow="1" w:lastRow="0" w:firstColumn="1" w:lastColumn="0" w:noHBand="0" w:noVBand="1"/>
      </w:tblPr>
      <w:tblGrid>
        <w:gridCol w:w="1873"/>
        <w:gridCol w:w="1869"/>
        <w:gridCol w:w="1869"/>
        <w:gridCol w:w="1869"/>
        <w:gridCol w:w="1870"/>
      </w:tblGrid>
      <w:tr w:rsidR="002452F9" w:rsidTr="002452F9">
        <w:tc>
          <w:tcPr>
            <w:tcW w:w="1915" w:type="dxa"/>
          </w:tcPr>
          <w:p w:rsidR="002452F9" w:rsidRDefault="002452F9" w:rsidP="00162764">
            <w:pPr>
              <w:spacing w:after="200" w:line="276" w:lineRule="auto"/>
              <w:rPr>
                <w:rFonts w:ascii="Arial" w:hAnsi="Arial" w:cs="Arial"/>
                <w:color w:val="000000" w:themeColor="text1"/>
              </w:rPr>
            </w:pPr>
          </w:p>
        </w:tc>
        <w:tc>
          <w:tcPr>
            <w:tcW w:w="1915" w:type="dxa"/>
          </w:tcPr>
          <w:p w:rsidR="002452F9" w:rsidRDefault="002452F9" w:rsidP="002452F9">
            <w:pPr>
              <w:spacing w:after="200" w:line="276" w:lineRule="auto"/>
              <w:jc w:val="center"/>
              <w:rPr>
                <w:rFonts w:ascii="Arial" w:hAnsi="Arial" w:cs="Arial"/>
                <w:color w:val="000000" w:themeColor="text1"/>
              </w:rPr>
            </w:pPr>
            <w:r>
              <w:rPr>
                <w:rFonts w:ascii="Arial" w:hAnsi="Arial" w:cs="Arial"/>
                <w:color w:val="000000" w:themeColor="text1"/>
              </w:rPr>
              <w:t>FY 10-11</w:t>
            </w:r>
          </w:p>
        </w:tc>
        <w:tc>
          <w:tcPr>
            <w:tcW w:w="1915" w:type="dxa"/>
          </w:tcPr>
          <w:p w:rsidR="002452F9" w:rsidRDefault="002452F9" w:rsidP="002452F9">
            <w:pPr>
              <w:spacing w:after="200" w:line="276" w:lineRule="auto"/>
              <w:jc w:val="center"/>
              <w:rPr>
                <w:rFonts w:ascii="Arial" w:hAnsi="Arial" w:cs="Arial"/>
                <w:color w:val="000000" w:themeColor="text1"/>
              </w:rPr>
            </w:pPr>
            <w:r>
              <w:rPr>
                <w:rFonts w:ascii="Arial" w:hAnsi="Arial" w:cs="Arial"/>
                <w:color w:val="000000" w:themeColor="text1"/>
              </w:rPr>
              <w:t>FY 11-12</w:t>
            </w:r>
          </w:p>
        </w:tc>
        <w:tc>
          <w:tcPr>
            <w:tcW w:w="1915" w:type="dxa"/>
          </w:tcPr>
          <w:p w:rsidR="002452F9" w:rsidRDefault="002452F9" w:rsidP="002452F9">
            <w:pPr>
              <w:spacing w:after="200" w:line="276" w:lineRule="auto"/>
              <w:jc w:val="center"/>
              <w:rPr>
                <w:rFonts w:ascii="Arial" w:hAnsi="Arial" w:cs="Arial"/>
                <w:color w:val="000000" w:themeColor="text1"/>
              </w:rPr>
            </w:pPr>
            <w:r>
              <w:rPr>
                <w:rFonts w:ascii="Arial" w:hAnsi="Arial" w:cs="Arial"/>
                <w:color w:val="000000" w:themeColor="text1"/>
              </w:rPr>
              <w:t>FY 12-13</w:t>
            </w:r>
          </w:p>
        </w:tc>
        <w:tc>
          <w:tcPr>
            <w:tcW w:w="1916" w:type="dxa"/>
          </w:tcPr>
          <w:p w:rsidR="002452F9" w:rsidRDefault="002452F9" w:rsidP="002452F9">
            <w:pPr>
              <w:spacing w:after="200" w:line="276" w:lineRule="auto"/>
              <w:jc w:val="center"/>
              <w:rPr>
                <w:rFonts w:ascii="Arial" w:hAnsi="Arial" w:cs="Arial"/>
                <w:color w:val="000000" w:themeColor="text1"/>
              </w:rPr>
            </w:pPr>
            <w:r>
              <w:rPr>
                <w:rFonts w:ascii="Arial" w:hAnsi="Arial" w:cs="Arial"/>
                <w:color w:val="000000" w:themeColor="text1"/>
              </w:rPr>
              <w:t>FY 13-14</w:t>
            </w:r>
          </w:p>
        </w:tc>
      </w:tr>
      <w:tr w:rsidR="002452F9" w:rsidTr="002452F9">
        <w:tc>
          <w:tcPr>
            <w:tcW w:w="1915" w:type="dxa"/>
          </w:tcPr>
          <w:p w:rsidR="002452F9" w:rsidRPr="002452F9" w:rsidRDefault="002452F9" w:rsidP="002452F9">
            <w:pPr>
              <w:pStyle w:val="NoSpacing"/>
              <w:rPr>
                <w:rFonts w:ascii="Arial" w:hAnsi="Arial" w:cs="Arial"/>
              </w:rPr>
            </w:pPr>
            <w:r w:rsidRPr="002452F9">
              <w:rPr>
                <w:rFonts w:ascii="Arial" w:hAnsi="Arial" w:cs="Arial"/>
              </w:rPr>
              <w:t xml:space="preserve">OPT 1100 </w:t>
            </w:r>
          </w:p>
          <w:p w:rsidR="002452F9" w:rsidRPr="002452F9" w:rsidRDefault="002452F9" w:rsidP="002452F9">
            <w:pPr>
              <w:pStyle w:val="NoSpacing"/>
              <w:rPr>
                <w:rFonts w:ascii="Arial" w:hAnsi="Arial" w:cs="Arial"/>
              </w:rPr>
            </w:pPr>
            <w:r w:rsidRPr="002452F9">
              <w:rPr>
                <w:rFonts w:ascii="Arial" w:hAnsi="Arial" w:cs="Arial"/>
              </w:rPr>
              <w:t>&amp; 100</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71.7</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79.4</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80.0</w:t>
            </w:r>
          </w:p>
        </w:tc>
        <w:tc>
          <w:tcPr>
            <w:tcW w:w="1916"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76.3</w:t>
            </w:r>
          </w:p>
        </w:tc>
      </w:tr>
      <w:tr w:rsidR="002452F9" w:rsidTr="002452F9">
        <w:tc>
          <w:tcPr>
            <w:tcW w:w="1915" w:type="dxa"/>
          </w:tcPr>
          <w:p w:rsidR="002452F9" w:rsidRPr="002452F9" w:rsidRDefault="002452F9" w:rsidP="002452F9">
            <w:pPr>
              <w:pStyle w:val="NoSpacing"/>
              <w:rPr>
                <w:rFonts w:ascii="Arial" w:hAnsi="Arial" w:cs="Arial"/>
              </w:rPr>
            </w:pPr>
            <w:r w:rsidRPr="002452F9">
              <w:rPr>
                <w:rFonts w:ascii="Arial" w:hAnsi="Arial" w:cs="Arial"/>
              </w:rPr>
              <w:t xml:space="preserve">OPT 1101 </w:t>
            </w:r>
          </w:p>
          <w:p w:rsidR="002452F9" w:rsidRDefault="002452F9" w:rsidP="002452F9">
            <w:pPr>
              <w:pStyle w:val="NoSpacing"/>
              <w:rPr>
                <w:rFonts w:ascii="Arial" w:hAnsi="Arial" w:cs="Arial"/>
                <w:color w:val="000000" w:themeColor="text1"/>
              </w:rPr>
            </w:pPr>
            <w:r w:rsidRPr="002452F9">
              <w:rPr>
                <w:rFonts w:ascii="Arial" w:hAnsi="Arial" w:cs="Arial"/>
                <w:color w:val="000000" w:themeColor="text1"/>
              </w:rPr>
              <w:t>&amp; 101</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80.2</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77.6</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92.5</w:t>
            </w:r>
          </w:p>
        </w:tc>
        <w:tc>
          <w:tcPr>
            <w:tcW w:w="1916"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80.5</w:t>
            </w:r>
          </w:p>
        </w:tc>
      </w:tr>
      <w:tr w:rsidR="002452F9" w:rsidTr="002452F9">
        <w:tc>
          <w:tcPr>
            <w:tcW w:w="1915" w:type="dxa"/>
          </w:tcPr>
          <w:p w:rsidR="002452F9" w:rsidRPr="002452F9" w:rsidRDefault="002452F9" w:rsidP="002452F9">
            <w:pPr>
              <w:pStyle w:val="NoSpacing"/>
              <w:rPr>
                <w:rFonts w:ascii="Arial" w:hAnsi="Arial" w:cs="Arial"/>
              </w:rPr>
            </w:pPr>
            <w:r w:rsidRPr="002452F9">
              <w:rPr>
                <w:rFonts w:ascii="Arial" w:hAnsi="Arial" w:cs="Arial"/>
              </w:rPr>
              <w:lastRenderedPageBreak/>
              <w:t>OPT 2211</w:t>
            </w:r>
          </w:p>
          <w:p w:rsidR="002452F9" w:rsidRPr="002452F9" w:rsidRDefault="002452F9" w:rsidP="002452F9">
            <w:pPr>
              <w:pStyle w:val="NoSpacing"/>
              <w:rPr>
                <w:rFonts w:ascii="Arial" w:hAnsi="Arial" w:cs="Arial"/>
              </w:rPr>
            </w:pPr>
            <w:r w:rsidRPr="002452F9">
              <w:rPr>
                <w:rFonts w:ascii="Arial" w:hAnsi="Arial" w:cs="Arial"/>
              </w:rPr>
              <w:t>&amp; 211</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83.6</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94.9</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90.5</w:t>
            </w:r>
          </w:p>
        </w:tc>
        <w:tc>
          <w:tcPr>
            <w:tcW w:w="1916"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92.7</w:t>
            </w:r>
          </w:p>
        </w:tc>
      </w:tr>
      <w:tr w:rsidR="002452F9" w:rsidTr="002452F9">
        <w:tc>
          <w:tcPr>
            <w:tcW w:w="1915" w:type="dxa"/>
          </w:tcPr>
          <w:p w:rsidR="002452F9" w:rsidRDefault="002452F9" w:rsidP="002452F9">
            <w:pPr>
              <w:pStyle w:val="NoSpacing"/>
              <w:rPr>
                <w:rFonts w:ascii="Arial" w:hAnsi="Arial" w:cs="Arial"/>
              </w:rPr>
            </w:pPr>
            <w:r>
              <w:rPr>
                <w:rFonts w:ascii="Arial" w:hAnsi="Arial" w:cs="Arial"/>
              </w:rPr>
              <w:t>OPT 2240</w:t>
            </w:r>
          </w:p>
          <w:p w:rsidR="002452F9" w:rsidRPr="002452F9" w:rsidRDefault="002452F9" w:rsidP="002452F9">
            <w:pPr>
              <w:pStyle w:val="NoSpacing"/>
              <w:rPr>
                <w:rFonts w:ascii="Arial" w:hAnsi="Arial" w:cs="Arial"/>
              </w:rPr>
            </w:pPr>
            <w:r>
              <w:rPr>
                <w:rFonts w:ascii="Arial" w:hAnsi="Arial" w:cs="Arial"/>
              </w:rPr>
              <w:t>&amp; 240</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94.1</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93.3</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87.7</w:t>
            </w:r>
          </w:p>
        </w:tc>
        <w:tc>
          <w:tcPr>
            <w:tcW w:w="1916"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90.5</w:t>
            </w:r>
          </w:p>
        </w:tc>
      </w:tr>
      <w:tr w:rsidR="002452F9" w:rsidTr="002452F9">
        <w:tc>
          <w:tcPr>
            <w:tcW w:w="1915" w:type="dxa"/>
          </w:tcPr>
          <w:p w:rsidR="002452F9" w:rsidRDefault="002452F9" w:rsidP="002452F9">
            <w:pPr>
              <w:pStyle w:val="NoSpacing"/>
              <w:rPr>
                <w:rFonts w:ascii="Arial" w:hAnsi="Arial" w:cs="Arial"/>
              </w:rPr>
            </w:pPr>
            <w:r>
              <w:rPr>
                <w:rFonts w:ascii="Arial" w:hAnsi="Arial" w:cs="Arial"/>
              </w:rPr>
              <w:t>OPT 2251</w:t>
            </w:r>
          </w:p>
          <w:p w:rsidR="002452F9" w:rsidRPr="002452F9" w:rsidRDefault="002452F9" w:rsidP="002452F9">
            <w:pPr>
              <w:pStyle w:val="NoSpacing"/>
              <w:rPr>
                <w:rFonts w:ascii="Arial" w:hAnsi="Arial" w:cs="Arial"/>
              </w:rPr>
            </w:pPr>
            <w:r>
              <w:rPr>
                <w:rFonts w:ascii="Arial" w:hAnsi="Arial" w:cs="Arial"/>
              </w:rPr>
              <w:t>&amp; 251</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100</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80</w:t>
            </w:r>
          </w:p>
        </w:tc>
        <w:tc>
          <w:tcPr>
            <w:tcW w:w="1915"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64.7</w:t>
            </w:r>
          </w:p>
        </w:tc>
        <w:tc>
          <w:tcPr>
            <w:tcW w:w="1916" w:type="dxa"/>
          </w:tcPr>
          <w:p w:rsidR="002452F9" w:rsidRDefault="002452F9" w:rsidP="005E6F23">
            <w:pPr>
              <w:spacing w:after="200" w:line="276" w:lineRule="auto"/>
              <w:jc w:val="center"/>
              <w:rPr>
                <w:rFonts w:ascii="Arial" w:hAnsi="Arial" w:cs="Arial"/>
                <w:color w:val="000000" w:themeColor="text1"/>
              </w:rPr>
            </w:pPr>
            <w:r>
              <w:rPr>
                <w:rFonts w:ascii="Arial" w:hAnsi="Arial" w:cs="Arial"/>
                <w:color w:val="000000" w:themeColor="text1"/>
              </w:rPr>
              <w:t>88.8</w:t>
            </w:r>
          </w:p>
        </w:tc>
      </w:tr>
    </w:tbl>
    <w:p w:rsidR="006A7810" w:rsidRDefault="008343AA" w:rsidP="00162764">
      <w:pPr>
        <w:spacing w:after="200" w:line="276" w:lineRule="auto"/>
        <w:rPr>
          <w:rFonts w:ascii="Arial" w:hAnsi="Arial" w:cs="Arial"/>
          <w:color w:val="000000" w:themeColor="text1"/>
        </w:rPr>
      </w:pPr>
      <w:r>
        <w:rPr>
          <w:rFonts w:ascii="Arial" w:hAnsi="Arial" w:cs="Arial"/>
          <w:color w:val="000000" w:themeColor="text1"/>
        </w:rPr>
        <w:t xml:space="preserve">  </w:t>
      </w:r>
    </w:p>
    <w:p w:rsidR="002452F9" w:rsidRDefault="002452F9" w:rsidP="00162764">
      <w:pPr>
        <w:spacing w:after="200" w:line="276" w:lineRule="auto"/>
        <w:rPr>
          <w:rFonts w:ascii="Arial" w:hAnsi="Arial" w:cs="Arial"/>
          <w:color w:val="000000" w:themeColor="text1"/>
        </w:rPr>
      </w:pPr>
      <w:r>
        <w:rPr>
          <w:rFonts w:ascii="Arial" w:hAnsi="Arial" w:cs="Arial"/>
          <w:color w:val="000000" w:themeColor="text1"/>
        </w:rPr>
        <w:t>Of the highest enrollment courses in OPT, OPT 100</w:t>
      </w:r>
      <w:r w:rsidR="00B44486">
        <w:rPr>
          <w:rFonts w:ascii="Arial" w:hAnsi="Arial" w:cs="Arial"/>
          <w:color w:val="000000" w:themeColor="text1"/>
        </w:rPr>
        <w:t xml:space="preserve"> has the lowest success rates, although its numbers are near the college-wide average.  OPT 1100 is an introductory course that is used by the CAM department for their machining students in their first semester.  Often, students in the machining program find out during the first semester that the program is not to their liking, and their academic performance suffers.</w:t>
      </w:r>
    </w:p>
    <w:p w:rsidR="00B44486" w:rsidRDefault="00B44486" w:rsidP="00162764">
      <w:pPr>
        <w:spacing w:after="200" w:line="276" w:lineRule="auto"/>
        <w:rPr>
          <w:rFonts w:ascii="Arial" w:hAnsi="Arial" w:cs="Arial"/>
          <w:color w:val="000000" w:themeColor="text1"/>
        </w:rPr>
      </w:pPr>
      <w:r>
        <w:rPr>
          <w:rFonts w:ascii="Arial" w:hAnsi="Arial" w:cs="Arial"/>
          <w:color w:val="000000" w:themeColor="text1"/>
        </w:rPr>
        <w:t>Of the highest enrollment courses in OPT, OPT 2251 has the most fluctuation, with a high of 100% in FY 10-11 and a low of 64.7% in FY 12-13.  OPT 2251 is a relatively new course, being initially developed just before the semester conversion.  In the early years of the course, there were not many students enrolled, so those success numbers can be misleading.  The 64.7% success rate in FY 12-13 is concerning, but that also coincides with the first year that the course was offered online.  The low success rate can be attributed to the general diffi</w:t>
      </w:r>
      <w:r w:rsidR="008C107A">
        <w:rPr>
          <w:rFonts w:ascii="Arial" w:hAnsi="Arial" w:cs="Arial"/>
          <w:color w:val="000000" w:themeColor="text1"/>
        </w:rPr>
        <w:t>culty of online courses.  In FY 13-14, the course started being offered as a synchronous video course in the prison system as part of a Supply Chain Management Certificate.  Historically, the prison system has good success rates, which accounts for the positive bounce in success rate numbers up to 88.8% in FY 13-14.</w:t>
      </w:r>
    </w:p>
    <w:p w:rsidR="008C107A" w:rsidRDefault="008C107A" w:rsidP="00162764">
      <w:pPr>
        <w:spacing w:after="200" w:line="276" w:lineRule="auto"/>
        <w:rPr>
          <w:rFonts w:ascii="Arial" w:hAnsi="Arial" w:cs="Arial"/>
          <w:color w:val="000000" w:themeColor="text1"/>
        </w:rPr>
      </w:pPr>
      <w:r>
        <w:rPr>
          <w:rFonts w:ascii="Arial" w:hAnsi="Arial" w:cs="Arial"/>
          <w:color w:val="000000" w:themeColor="text1"/>
        </w:rPr>
        <w:t>Courses used extensively by other departments include OPT 1100 (used by Computer Aided Manufacturing), OPT 2211 (used by Automotive), and OPT 2251 (used by Management).  These courses have been discussed above, as they are also part of our high enrollment courses.</w:t>
      </w:r>
    </w:p>
    <w:p w:rsidR="00417A95" w:rsidRDefault="00417A95" w:rsidP="00162764">
      <w:pPr>
        <w:spacing w:after="200" w:line="276" w:lineRule="auto"/>
        <w:rPr>
          <w:rFonts w:ascii="Arial" w:hAnsi="Arial" w:cs="Arial"/>
          <w:color w:val="000000" w:themeColor="text1"/>
        </w:rPr>
      </w:pPr>
    </w:p>
    <w:p w:rsidR="00F417C8" w:rsidRDefault="00F417C8" w:rsidP="00162764">
      <w:pPr>
        <w:spacing w:after="200" w:line="276" w:lineRule="auto"/>
        <w:rPr>
          <w:rFonts w:ascii="Arial" w:hAnsi="Arial" w:cs="Arial"/>
          <w:color w:val="000000" w:themeColor="text1"/>
        </w:rPr>
      </w:pPr>
    </w:p>
    <w:p w:rsidR="00F417C8" w:rsidRDefault="00F417C8" w:rsidP="00162764">
      <w:pPr>
        <w:spacing w:after="200" w:line="276" w:lineRule="auto"/>
        <w:rPr>
          <w:rFonts w:ascii="Arial" w:hAnsi="Arial" w:cs="Arial"/>
          <w:color w:val="000000" w:themeColor="text1"/>
        </w:rPr>
      </w:pPr>
    </w:p>
    <w:p w:rsidR="00F417C8" w:rsidRDefault="00F417C8" w:rsidP="00162764">
      <w:pPr>
        <w:spacing w:after="200" w:line="276" w:lineRule="auto"/>
        <w:rPr>
          <w:rFonts w:ascii="Arial" w:hAnsi="Arial" w:cs="Arial"/>
          <w:color w:val="000000" w:themeColor="text1"/>
        </w:rPr>
      </w:pPr>
    </w:p>
    <w:p w:rsidR="00F417C8" w:rsidRDefault="00F417C8" w:rsidP="00F417C8">
      <w:pPr>
        <w:rPr>
          <w:rFonts w:ascii="Arial" w:hAnsi="Arial" w:cs="Arial"/>
          <w:color w:val="000000" w:themeColor="text1"/>
        </w:rPr>
      </w:pPr>
      <w:r w:rsidRPr="008258DA">
        <w:rPr>
          <w:rFonts w:ascii="Arial" w:hAnsi="Arial" w:cs="Arial"/>
          <w:color w:val="000000" w:themeColor="text1"/>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F417C8" w:rsidRDefault="00F417C8" w:rsidP="00F417C8">
      <w:pPr>
        <w:rPr>
          <w:rFonts w:ascii="Arial" w:hAnsi="Arial" w:cs="Arial"/>
          <w:color w:val="000000" w:themeColor="text1"/>
        </w:rPr>
      </w:pPr>
    </w:p>
    <w:p w:rsidR="00F417C8" w:rsidRDefault="00F417C8" w:rsidP="00162764">
      <w:pPr>
        <w:spacing w:after="200" w:line="276" w:lineRule="auto"/>
        <w:rPr>
          <w:rFonts w:ascii="Arial" w:hAnsi="Arial" w:cs="Arial"/>
          <w:color w:val="000000" w:themeColor="text1"/>
        </w:rPr>
      </w:pPr>
    </w:p>
    <w:p w:rsidR="002C54D6" w:rsidRDefault="002C54D6" w:rsidP="00162764">
      <w:pPr>
        <w:spacing w:after="200" w:line="276" w:lineRule="auto"/>
        <w:rPr>
          <w:rFonts w:ascii="Arial" w:hAnsi="Arial" w:cs="Arial"/>
          <w:color w:val="000000" w:themeColor="text1"/>
        </w:rPr>
      </w:pPr>
      <w:r>
        <w:rPr>
          <w:rFonts w:ascii="Arial" w:hAnsi="Arial" w:cs="Arial"/>
          <w:color w:val="000000" w:themeColor="text1"/>
        </w:rPr>
        <w:lastRenderedPageBreak/>
        <w:t xml:space="preserve">When last year’s OPT Annual Update was written, the University of Dayton had announced that they were eliminating their Engineering Technology programs.  This was going to have an adverse effect on the OPT </w:t>
      </w:r>
      <w:r w:rsidR="006F2F48">
        <w:rPr>
          <w:rFonts w:ascii="Arial" w:hAnsi="Arial" w:cs="Arial"/>
          <w:color w:val="000000" w:themeColor="text1"/>
        </w:rPr>
        <w:t>program at Sinclair, since many of our graduates go on to UD to get their bachelor’s degrees, and the UD partnership was always a selling point for prospective students.  Fortunately, UD has reversed its decision and will continue its long tradition of Engineering Technology education.  Several factors came into play for that decision including a new Dean, strong industry and alumni support, and strong backing from faculty and staff.  UD’s decision to keep Engineering Technology is good news for all of Sinclair’s engineering technology programs.</w:t>
      </w:r>
    </w:p>
    <w:p w:rsidR="00F417C8" w:rsidRDefault="00F417C8" w:rsidP="00162764">
      <w:pPr>
        <w:spacing w:after="200" w:line="276" w:lineRule="auto"/>
        <w:rPr>
          <w:rFonts w:ascii="Arial" w:hAnsi="Arial" w:cs="Arial"/>
          <w:color w:val="000000" w:themeColor="text1"/>
        </w:rPr>
      </w:pPr>
    </w:p>
    <w:p w:rsidR="00F417C8" w:rsidRDefault="00F417C8" w:rsidP="00162764">
      <w:pPr>
        <w:spacing w:after="200" w:line="276" w:lineRule="auto"/>
        <w:rPr>
          <w:rFonts w:ascii="Arial" w:hAnsi="Arial" w:cs="Arial"/>
          <w:color w:val="000000" w:themeColor="text1"/>
        </w:rPr>
        <w:sectPr w:rsidR="00F417C8"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A36BF7">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36BF7" w:rsidTr="00A36BF7">
        <w:trPr>
          <w:trHeight w:val="1399"/>
        </w:trPr>
        <w:tc>
          <w:tcPr>
            <w:tcW w:w="3951" w:type="dxa"/>
          </w:tcPr>
          <w:p w:rsidR="00A36BF7" w:rsidRPr="008430B3" w:rsidRDefault="00A36BF7" w:rsidP="00B171D4">
            <w:pPr>
              <w:tabs>
                <w:tab w:val="left" w:pos="1080"/>
              </w:tabs>
              <w:ind w:left="504"/>
              <w:rPr>
                <w:rFonts w:ascii="Arial" w:hAnsi="Arial" w:cs="Arial"/>
                <w:u w:val="single"/>
              </w:rPr>
            </w:pPr>
            <w:r>
              <w:rPr>
                <w:rFonts w:ascii="Arial" w:hAnsi="Arial" w:cs="Arial"/>
                <w:u w:val="single"/>
              </w:rPr>
              <w:t>Transition</w:t>
            </w:r>
            <w:r w:rsidRPr="008430B3">
              <w:rPr>
                <w:rFonts w:ascii="Arial" w:hAnsi="Arial" w:cs="Arial"/>
                <w:u w:val="single"/>
              </w:rPr>
              <w:t xml:space="preserve"> to Semesters</w:t>
            </w:r>
          </w:p>
          <w:p w:rsidR="00A36BF7" w:rsidRDefault="00A36BF7" w:rsidP="00B171D4">
            <w:pPr>
              <w:tabs>
                <w:tab w:val="left" w:pos="1080"/>
              </w:tabs>
              <w:ind w:left="504"/>
              <w:rPr>
                <w:rFonts w:ascii="Arial" w:hAnsi="Arial" w:cs="Arial"/>
              </w:rPr>
            </w:pPr>
            <w:r>
              <w:rPr>
                <w:rFonts w:ascii="Arial" w:hAnsi="Arial" w:cs="Arial"/>
              </w:rPr>
              <w:t>To do this, we analyzed every degree program, certificate program and course offering. We have eliminated courses which had little activity the past few years</w:t>
            </w:r>
            <w:r>
              <w:rPr>
                <w:rFonts w:ascii="Arial" w:hAnsi="Arial" w:cs="Arial"/>
                <w:color w:val="FF0000"/>
              </w:rPr>
              <w:t>.</w:t>
            </w:r>
            <w:r>
              <w:rPr>
                <w:rFonts w:ascii="Arial" w:hAnsi="Arial" w:cs="Arial"/>
              </w:rPr>
              <w:t xml:space="preserve">  We combined others in line with recommendations from our advisory committee to ensure that the program outcomes meet the needs of the community. We added content to certain courses to enhance our industry partners’ needs, and we created a course in quality control (OPT 1112 -World Class Quality Systems and Procedures) to ensure that students get a basic understanding of the quality process and procedures needed in today’s business environment. The higher level quality courses (OPT 2221, 2225, 2267) that provide more in-depth exploration of a topic have been kept as electives and are part of our Quality Control certificate, which will help with enrollment.</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6B2F1C">
              <w:fldChar w:fldCharType="begin">
                <w:ffData>
                  <w:name w:val="Check1"/>
                  <w:enabled/>
                  <w:calcOnExit w:val="0"/>
                  <w:checkBox>
                    <w:sizeAuto/>
                    <w:default w:val="0"/>
                  </w:checkBox>
                </w:ffData>
              </w:fldChar>
            </w:r>
            <w:r w:rsidR="004E1DCA">
              <w:instrText xml:space="preserve"> FORMCHECKBOX </w:instrText>
            </w:r>
            <w:r w:rsidR="001F6B43">
              <w:fldChar w:fldCharType="separate"/>
            </w:r>
            <w:r w:rsidR="006B2F1C">
              <w:fldChar w:fldCharType="end"/>
            </w:r>
            <w:bookmarkEnd w:id="0"/>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Default="006B2F1C" w:rsidP="00162764">
            <w:r>
              <w:rPr>
                <w:rFonts w:ascii="Arial" w:hAnsi="Arial" w:cs="Arial"/>
                <w:b/>
                <w:color w:val="000000" w:themeColor="text1"/>
              </w:rPr>
              <w:fldChar w:fldCharType="begin">
                <w:ffData>
                  <w:name w:val="Text1"/>
                  <w:enabled/>
                  <w:calcOnExit w:val="0"/>
                  <w:textInput/>
                </w:ffData>
              </w:fldChar>
            </w:r>
            <w:r w:rsidR="00162764">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Pr>
                <w:rFonts w:ascii="Arial" w:hAnsi="Arial" w:cs="Arial"/>
                <w:b/>
                <w:color w:val="000000" w:themeColor="text1"/>
              </w:rPr>
              <w:fldChar w:fldCharType="end"/>
            </w:r>
          </w:p>
        </w:tc>
      </w:tr>
      <w:tr w:rsidR="00A36BF7" w:rsidTr="00A36BF7">
        <w:trPr>
          <w:trHeight w:val="1399"/>
        </w:trPr>
        <w:tc>
          <w:tcPr>
            <w:tcW w:w="3951" w:type="dxa"/>
          </w:tcPr>
          <w:p w:rsidR="00A36BF7" w:rsidRPr="00A2769F" w:rsidRDefault="00A36BF7" w:rsidP="00B171D4">
            <w:pPr>
              <w:tabs>
                <w:tab w:val="left" w:pos="1080"/>
              </w:tabs>
              <w:ind w:left="504"/>
              <w:rPr>
                <w:rFonts w:ascii="Arial" w:hAnsi="Arial" w:cs="Arial"/>
              </w:rPr>
            </w:pPr>
            <w:r w:rsidRPr="00A2769F">
              <w:rPr>
                <w:rFonts w:ascii="Arial" w:hAnsi="Arial" w:cs="Arial"/>
                <w:u w:val="single"/>
              </w:rPr>
              <w:t>Revamped the</w:t>
            </w:r>
            <w:r>
              <w:rPr>
                <w:rFonts w:ascii="Arial" w:hAnsi="Arial" w:cs="Arial"/>
                <w:u w:val="single"/>
              </w:rPr>
              <w:t xml:space="preserve"> OPT</w:t>
            </w:r>
            <w:r w:rsidRPr="00A2769F">
              <w:rPr>
                <w:rFonts w:ascii="Arial" w:hAnsi="Arial" w:cs="Arial"/>
                <w:u w:val="single"/>
              </w:rPr>
              <w:t xml:space="preserve"> Advisory Committee</w:t>
            </w:r>
            <w:r w:rsidRPr="00A2769F">
              <w:rPr>
                <w:rFonts w:ascii="Arial" w:hAnsi="Arial" w:cs="Arial"/>
              </w:rPr>
              <w:tab/>
            </w:r>
          </w:p>
          <w:p w:rsidR="00A36BF7" w:rsidRPr="00A2769F" w:rsidRDefault="00A36BF7" w:rsidP="00B171D4">
            <w:pPr>
              <w:tabs>
                <w:tab w:val="left" w:pos="1080"/>
              </w:tabs>
              <w:ind w:left="504"/>
              <w:rPr>
                <w:rFonts w:ascii="Arial" w:hAnsi="Arial" w:cs="Arial"/>
              </w:rPr>
            </w:pPr>
            <w:r w:rsidRPr="00A2769F">
              <w:rPr>
                <w:rFonts w:ascii="Arial" w:hAnsi="Arial" w:cs="Arial"/>
              </w:rPr>
              <w:t>Due to the changes in focus, we have added more non-manufacturing represent</w:t>
            </w:r>
            <w:r>
              <w:rPr>
                <w:rFonts w:ascii="Arial" w:hAnsi="Arial" w:cs="Arial"/>
              </w:rPr>
              <w:t xml:space="preserve">atives on this committee. We have also added </w:t>
            </w:r>
            <w:r w:rsidRPr="00A2769F">
              <w:rPr>
                <w:rFonts w:ascii="Arial" w:hAnsi="Arial" w:cs="Arial"/>
              </w:rPr>
              <w:t xml:space="preserve">recent graduates of the </w:t>
            </w:r>
            <w:r>
              <w:rPr>
                <w:rFonts w:ascii="Arial" w:hAnsi="Arial" w:cs="Arial"/>
              </w:rPr>
              <w:t xml:space="preserve">OPT </w:t>
            </w:r>
            <w:r w:rsidRPr="00A2769F">
              <w:rPr>
                <w:rFonts w:ascii="Arial" w:hAnsi="Arial" w:cs="Arial"/>
              </w:rPr>
              <w:t>program</w:t>
            </w:r>
            <w:r>
              <w:rPr>
                <w:rFonts w:ascii="Arial" w:hAnsi="Arial" w:cs="Arial"/>
              </w:rPr>
              <w:t>.  They bring valuable information about how well our programs prepare them for the workplace</w:t>
            </w:r>
            <w:r w:rsidRPr="00A2769F">
              <w:rPr>
                <w:rFonts w:ascii="Arial" w:hAnsi="Arial" w:cs="Arial"/>
              </w:rPr>
              <w:t>.</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Box>
                </w:ffData>
              </w:fldChar>
            </w:r>
            <w:r w:rsidR="004E1DCA">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Pr="00111AA3" w:rsidRDefault="00111AA3" w:rsidP="00162764">
            <w:r w:rsidRPr="00111AA3">
              <w:rPr>
                <w:rFonts w:ascii="Arial" w:hAnsi="Arial" w:cs="Arial"/>
                <w:color w:val="000000" w:themeColor="text1"/>
              </w:rPr>
              <w:t>Our Advisory Committee c</w:t>
            </w:r>
            <w:r w:rsidR="00043293">
              <w:rPr>
                <w:rFonts w:ascii="Arial" w:hAnsi="Arial" w:cs="Arial"/>
                <w:color w:val="000000" w:themeColor="text1"/>
              </w:rPr>
              <w:t xml:space="preserve">ontinues to have high industry </w:t>
            </w:r>
            <w:r w:rsidRPr="005F7BC1">
              <w:rPr>
                <w:rFonts w:ascii="Arial" w:hAnsi="Arial" w:cs="Arial"/>
              </w:rPr>
              <w:t>participation</w:t>
            </w:r>
            <w:r w:rsidRPr="00111AA3">
              <w:rPr>
                <w:rFonts w:ascii="Arial" w:hAnsi="Arial" w:cs="Arial"/>
                <w:color w:val="000000" w:themeColor="text1"/>
              </w:rPr>
              <w:t xml:space="preserve"> and we are continuing to update and keep it current.</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Certificates</w:t>
            </w:r>
          </w:p>
          <w:p w:rsidR="00A36BF7" w:rsidRPr="00A2769F" w:rsidRDefault="00A36BF7" w:rsidP="00B171D4">
            <w:pPr>
              <w:tabs>
                <w:tab w:val="left" w:pos="1080"/>
              </w:tabs>
              <w:ind w:left="504"/>
              <w:rPr>
                <w:rFonts w:ascii="Arial" w:hAnsi="Arial" w:cs="Arial"/>
              </w:rPr>
            </w:pPr>
            <w:r w:rsidRPr="00A2769F">
              <w:rPr>
                <w:rFonts w:ascii="Arial" w:hAnsi="Arial" w:cs="Arial"/>
              </w:rPr>
              <w:t>We</w:t>
            </w:r>
            <w:r>
              <w:rPr>
                <w:rFonts w:ascii="Arial" w:hAnsi="Arial" w:cs="Arial"/>
              </w:rPr>
              <w:t xml:space="preserve"> will offer under semesters </w:t>
            </w:r>
            <w:r w:rsidRPr="00A2769F">
              <w:rPr>
                <w:rFonts w:ascii="Arial" w:hAnsi="Arial" w:cs="Arial"/>
              </w:rPr>
              <w:t>th</w:t>
            </w:r>
            <w:r>
              <w:rPr>
                <w:rFonts w:ascii="Arial" w:hAnsi="Arial" w:cs="Arial"/>
              </w:rPr>
              <w:t>os</w:t>
            </w:r>
            <w:r w:rsidRPr="00A2769F">
              <w:rPr>
                <w:rFonts w:ascii="Arial" w:hAnsi="Arial" w:cs="Arial"/>
              </w:rPr>
              <w:t xml:space="preserve">e certificates we </w:t>
            </w:r>
            <w:r>
              <w:rPr>
                <w:rFonts w:ascii="Arial" w:hAnsi="Arial" w:cs="Arial"/>
              </w:rPr>
              <w:t>offer</w:t>
            </w:r>
            <w:r w:rsidRPr="00A2769F">
              <w:rPr>
                <w:rFonts w:ascii="Arial" w:hAnsi="Arial" w:cs="Arial"/>
              </w:rPr>
              <w:t xml:space="preserve"> under quarters and will use this as a strategy to </w:t>
            </w:r>
            <w:r>
              <w:rPr>
                <w:rFonts w:ascii="Arial" w:hAnsi="Arial" w:cs="Arial"/>
              </w:rPr>
              <w:t>recruit</w:t>
            </w:r>
            <w:r w:rsidRPr="00A2769F">
              <w:rPr>
                <w:rFonts w:ascii="Arial" w:hAnsi="Arial" w:cs="Arial"/>
              </w:rPr>
              <w:t xml:space="preserve"> more adult students </w:t>
            </w:r>
            <w:r>
              <w:rPr>
                <w:rFonts w:ascii="Arial" w:hAnsi="Arial" w:cs="Arial"/>
              </w:rPr>
              <w:t>into the program.  And hopefully this will encourage</w:t>
            </w:r>
            <w:r w:rsidRPr="00A2769F">
              <w:rPr>
                <w:rFonts w:ascii="Arial" w:hAnsi="Arial" w:cs="Arial"/>
              </w:rPr>
              <w:t xml:space="preserve"> more companies to send </w:t>
            </w:r>
            <w:r>
              <w:rPr>
                <w:rFonts w:ascii="Arial" w:hAnsi="Arial" w:cs="Arial"/>
              </w:rPr>
              <w:t>employees</w:t>
            </w:r>
            <w:r w:rsidRPr="00A2769F">
              <w:rPr>
                <w:rFonts w:ascii="Arial" w:hAnsi="Arial" w:cs="Arial"/>
              </w:rPr>
              <w:t xml:space="preserve"> for additional</w:t>
            </w:r>
            <w:r>
              <w:rPr>
                <w:rFonts w:ascii="Arial" w:hAnsi="Arial" w:cs="Arial"/>
              </w:rPr>
              <w:t xml:space="preserve"> or continuing</w:t>
            </w:r>
            <w:r w:rsidRPr="00A2769F">
              <w:rPr>
                <w:rFonts w:ascii="Arial" w:hAnsi="Arial" w:cs="Arial"/>
              </w:rPr>
              <w:t xml:space="preserve"> education.</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Box>
                </w:ffData>
              </w:fldChar>
            </w:r>
            <w:r w:rsidR="004E1DCA">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Default="00111AA3" w:rsidP="00162764">
            <w:r w:rsidRPr="00111AA3">
              <w:rPr>
                <w:rFonts w:ascii="Arial" w:hAnsi="Arial" w:cs="Arial"/>
                <w:color w:val="000000" w:themeColor="text1"/>
              </w:rPr>
              <w:t>Our focus is shifting towards adults seeking skills to enhance their employability. We are working with companies that we know offer tuition reimbursement. This is where many of our current students come from</w:t>
            </w:r>
            <w:r>
              <w:rPr>
                <w:rFonts w:ascii="Arial" w:hAnsi="Arial" w:cs="Arial"/>
                <w:b/>
                <w:color w:val="000000" w:themeColor="text1"/>
              </w:rPr>
              <w:t>.</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Learning Centers</w:t>
            </w:r>
          </w:p>
          <w:p w:rsidR="00A36BF7" w:rsidRDefault="00A36BF7" w:rsidP="00B171D4">
            <w:pPr>
              <w:tabs>
                <w:tab w:val="left" w:pos="1080"/>
              </w:tabs>
              <w:ind w:left="504"/>
              <w:rPr>
                <w:rFonts w:ascii="Arial" w:hAnsi="Arial" w:cs="Arial"/>
              </w:rPr>
            </w:pPr>
            <w:r w:rsidRPr="00A2769F">
              <w:rPr>
                <w:rFonts w:ascii="Arial" w:hAnsi="Arial" w:cs="Arial"/>
              </w:rPr>
              <w:t xml:space="preserve">We are pursuing the opportunities of </w:t>
            </w:r>
            <w:r>
              <w:rPr>
                <w:rFonts w:ascii="Arial" w:hAnsi="Arial" w:cs="Arial"/>
              </w:rPr>
              <w:t>offer</w:t>
            </w:r>
            <w:r w:rsidRPr="00A2769F">
              <w:rPr>
                <w:rFonts w:ascii="Arial" w:hAnsi="Arial" w:cs="Arial"/>
              </w:rPr>
              <w:t xml:space="preserve">ing OPT classes at </w:t>
            </w:r>
            <w:r>
              <w:rPr>
                <w:rFonts w:ascii="Arial" w:hAnsi="Arial" w:cs="Arial"/>
              </w:rPr>
              <w:t>two of Sinclair’s Learning Centers, p</w:t>
            </w:r>
            <w:r w:rsidRPr="00A2769F">
              <w:rPr>
                <w:rFonts w:ascii="Arial" w:hAnsi="Arial" w:cs="Arial"/>
              </w:rPr>
              <w:t xml:space="preserve">articularly </w:t>
            </w:r>
            <w:r>
              <w:rPr>
                <w:rFonts w:ascii="Arial" w:hAnsi="Arial" w:cs="Arial"/>
              </w:rPr>
              <w:t>Courseview and</w:t>
            </w:r>
            <w:r w:rsidRPr="00A2769F">
              <w:rPr>
                <w:rFonts w:ascii="Arial" w:hAnsi="Arial" w:cs="Arial"/>
              </w:rPr>
              <w:t xml:space="preserve"> Preble Count</w:t>
            </w:r>
            <w:r>
              <w:rPr>
                <w:rFonts w:ascii="Arial" w:hAnsi="Arial" w:cs="Arial"/>
              </w:rPr>
              <w:t>y</w:t>
            </w:r>
            <w:r w:rsidRPr="00A2769F">
              <w:rPr>
                <w:rFonts w:ascii="Arial" w:hAnsi="Arial" w:cs="Arial"/>
              </w:rPr>
              <w:t xml:space="preserve">. </w:t>
            </w:r>
            <w:r>
              <w:rPr>
                <w:rFonts w:ascii="Arial" w:hAnsi="Arial" w:cs="Arial"/>
              </w:rPr>
              <w:t xml:space="preserve"> T</w:t>
            </w:r>
            <w:r w:rsidRPr="00A2769F">
              <w:rPr>
                <w:rFonts w:ascii="Arial" w:hAnsi="Arial" w:cs="Arial"/>
              </w:rPr>
              <w:t xml:space="preserve">hey </w:t>
            </w:r>
            <w:r>
              <w:rPr>
                <w:rFonts w:ascii="Arial" w:hAnsi="Arial" w:cs="Arial"/>
              </w:rPr>
              <w:t>offer</w:t>
            </w:r>
            <w:r w:rsidRPr="00A2769F">
              <w:rPr>
                <w:rFonts w:ascii="Arial" w:hAnsi="Arial" w:cs="Arial"/>
              </w:rPr>
              <w:t xml:space="preserve"> potential for growth of the program. </w:t>
            </w:r>
            <w:r>
              <w:rPr>
                <w:rFonts w:ascii="Arial" w:hAnsi="Arial" w:cs="Arial"/>
              </w:rPr>
              <w:t xml:space="preserve"> In particular, we will address this issue with our OPT Advisory Committee members who are from Warren County.</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E32194">
              <w:fldChar w:fldCharType="begin">
                <w:ffData>
                  <w:name w:val=""/>
                  <w:enabled/>
                  <w:calcOnExit w:val="0"/>
                  <w:checkBox>
                    <w:sizeAuto/>
                    <w:default w:val="1"/>
                  </w:checkBox>
                </w:ffData>
              </w:fldChar>
            </w:r>
            <w:r w:rsidR="00E32194">
              <w:instrText xml:space="preserve"> FORMCHECKBOX </w:instrText>
            </w:r>
            <w:r w:rsidR="001F6B43">
              <w:fldChar w:fldCharType="separate"/>
            </w:r>
            <w:r w:rsidR="00E32194">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E32194" w:rsidP="00043293">
            <w:r>
              <w:rPr>
                <w:rFonts w:ascii="Arial" w:hAnsi="Arial" w:cs="Arial"/>
                <w:color w:val="000000" w:themeColor="text1"/>
              </w:rPr>
              <w:t>After working for years with the Sinclair Learning Centers, especially Courseview and Preble, the OPT department is running its first Learning Center course – an OPT 1100 (Metrology) at Preble</w:t>
            </w:r>
            <w:r w:rsidR="00A963AB" w:rsidRPr="00A963AB">
              <w:rPr>
                <w:rFonts w:ascii="Arial" w:hAnsi="Arial" w:cs="Arial"/>
                <w:color w:val="000000" w:themeColor="text1"/>
              </w:rPr>
              <w:t>.</w:t>
            </w:r>
            <w:r>
              <w:rPr>
                <w:rFonts w:ascii="Arial" w:hAnsi="Arial" w:cs="Arial"/>
                <w:color w:val="000000" w:themeColor="text1"/>
              </w:rPr>
              <w:t xml:space="preserve">  We are also working closely with </w:t>
            </w:r>
            <w:r w:rsidR="00411630">
              <w:rPr>
                <w:rFonts w:ascii="Arial" w:hAnsi="Arial" w:cs="Arial"/>
                <w:color w:val="000000" w:themeColor="text1"/>
              </w:rPr>
              <w:t>the Courseview campus and its Warren County Manufacturing Roundtable.</w:t>
            </w:r>
            <w:r>
              <w:rPr>
                <w:rFonts w:ascii="Arial" w:hAnsi="Arial" w:cs="Arial"/>
                <w:color w:val="000000" w:themeColor="text1"/>
              </w:rPr>
              <w:t xml:space="preserve"> </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Additional Articulation Agreements</w:t>
            </w:r>
          </w:p>
          <w:p w:rsidR="00A36BF7" w:rsidRPr="00A2769F" w:rsidRDefault="00A36BF7" w:rsidP="00B171D4">
            <w:pPr>
              <w:tabs>
                <w:tab w:val="left" w:pos="1080"/>
              </w:tabs>
              <w:ind w:left="504"/>
              <w:rPr>
                <w:rFonts w:ascii="Arial" w:hAnsi="Arial" w:cs="Arial"/>
              </w:rPr>
            </w:pPr>
            <w:r w:rsidRPr="00A2769F">
              <w:rPr>
                <w:rFonts w:ascii="Arial" w:hAnsi="Arial" w:cs="Arial"/>
              </w:rPr>
              <w:t>We currently have a</w:t>
            </w:r>
            <w:r>
              <w:rPr>
                <w:rFonts w:ascii="Arial" w:hAnsi="Arial" w:cs="Arial"/>
              </w:rPr>
              <w:t xml:space="preserve">n </w:t>
            </w:r>
            <w:r w:rsidRPr="00A2769F">
              <w:rPr>
                <w:rFonts w:ascii="Arial" w:hAnsi="Arial" w:cs="Arial"/>
              </w:rPr>
              <w:t>agreement</w:t>
            </w:r>
            <w:r>
              <w:rPr>
                <w:rFonts w:ascii="Arial" w:hAnsi="Arial" w:cs="Arial"/>
              </w:rPr>
              <w:t xml:space="preserve"> </w:t>
            </w:r>
            <w:r w:rsidRPr="00A2769F">
              <w:rPr>
                <w:rFonts w:ascii="Arial" w:hAnsi="Arial" w:cs="Arial"/>
              </w:rPr>
              <w:t>with UD</w:t>
            </w:r>
            <w:r>
              <w:rPr>
                <w:rFonts w:ascii="Arial" w:hAnsi="Arial" w:cs="Arial"/>
              </w:rPr>
              <w:t xml:space="preserve"> on the OPTIO program that will</w:t>
            </w:r>
            <w:r w:rsidRPr="00A2769F">
              <w:rPr>
                <w:rFonts w:ascii="Arial" w:hAnsi="Arial" w:cs="Arial"/>
              </w:rPr>
              <w:t xml:space="preserve"> continue. </w:t>
            </w:r>
            <w:r>
              <w:rPr>
                <w:rFonts w:ascii="Arial" w:hAnsi="Arial" w:cs="Arial"/>
              </w:rPr>
              <w:t xml:space="preserve"> We also have an agreement for the base OPT program with </w:t>
            </w:r>
            <w:r w:rsidRPr="00A2769F">
              <w:rPr>
                <w:rFonts w:ascii="Arial" w:hAnsi="Arial" w:cs="Arial"/>
              </w:rPr>
              <w:t>Purdue</w:t>
            </w:r>
            <w:r>
              <w:rPr>
                <w:rFonts w:ascii="Arial" w:hAnsi="Arial" w:cs="Arial"/>
              </w:rPr>
              <w:t xml:space="preserve"> University</w:t>
            </w:r>
            <w:r w:rsidRPr="00A2769F">
              <w:rPr>
                <w:rFonts w:ascii="Arial" w:hAnsi="Arial" w:cs="Arial"/>
              </w:rPr>
              <w:t>-Richmond</w:t>
            </w:r>
            <w:r>
              <w:rPr>
                <w:rFonts w:ascii="Arial" w:hAnsi="Arial" w:cs="Arial"/>
              </w:rPr>
              <w:t xml:space="preserve"> in their Organization and Leadership Program.  </w:t>
            </w:r>
            <w:r w:rsidRPr="00A2769F">
              <w:rPr>
                <w:rFonts w:ascii="Arial" w:hAnsi="Arial" w:cs="Arial"/>
              </w:rPr>
              <w:t>We have made initial contact with Ohio University and are</w:t>
            </w:r>
            <w:r>
              <w:rPr>
                <w:rFonts w:ascii="Arial" w:hAnsi="Arial" w:cs="Arial"/>
              </w:rPr>
              <w:t xml:space="preserve"> actively</w:t>
            </w:r>
            <w:r w:rsidRPr="00A2769F">
              <w:rPr>
                <w:rFonts w:ascii="Arial" w:hAnsi="Arial" w:cs="Arial"/>
              </w:rPr>
              <w:t xml:space="preserve"> pursuing that opportunit</w:t>
            </w:r>
            <w:r>
              <w:rPr>
                <w:rFonts w:ascii="Arial" w:hAnsi="Arial" w:cs="Arial"/>
              </w:rPr>
              <w:t>y</w:t>
            </w:r>
            <w:r w:rsidRPr="00A2769F">
              <w:rPr>
                <w:rFonts w:ascii="Arial" w:hAnsi="Arial" w:cs="Arial"/>
              </w:rPr>
              <w:t>.</w:t>
            </w:r>
            <w:r>
              <w:rPr>
                <w:rFonts w:ascii="Arial" w:hAnsi="Arial" w:cs="Arial"/>
              </w:rPr>
              <w:t xml:space="preserve">  We will continue to seek other partners. </w:t>
            </w:r>
            <w:r w:rsidRPr="00A2769F">
              <w:rPr>
                <w:rFonts w:ascii="Arial" w:hAnsi="Arial" w:cs="Arial"/>
              </w:rPr>
              <w:t xml:space="preserve"> </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411630">
              <w:fldChar w:fldCharType="begin">
                <w:ffData>
                  <w:name w:val=""/>
                  <w:enabled/>
                  <w:calcOnExit w:val="0"/>
                  <w:checkBox>
                    <w:sizeAuto/>
                    <w:default w:val="1"/>
                  </w:checkBox>
                </w:ffData>
              </w:fldChar>
            </w:r>
            <w:r w:rsidR="00411630">
              <w:instrText xml:space="preserve"> FORMCHECKBOX </w:instrText>
            </w:r>
            <w:r w:rsidR="001F6B43">
              <w:fldChar w:fldCharType="separate"/>
            </w:r>
            <w:r w:rsidR="00411630">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411630" w:rsidP="00043293">
            <w:r>
              <w:rPr>
                <w:rFonts w:ascii="Arial" w:hAnsi="Arial" w:cs="Arial"/>
                <w:color w:val="000000" w:themeColor="text1"/>
              </w:rPr>
              <w:t>Sinclair and UD have committed to revisiting and updating the articulation agreement between Sinclair’s OPT program and UD’s Industrial Engineering Technology program.  We plan to meet in the spring of 2015.</w:t>
            </w:r>
            <w:r w:rsidR="00A963AB" w:rsidRPr="00A963AB">
              <w:rPr>
                <w:rFonts w:ascii="Arial" w:hAnsi="Arial" w:cs="Arial"/>
                <w:color w:val="000000" w:themeColor="text1"/>
              </w:rPr>
              <w:t xml:space="preserve"> </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More Minority Students and Women into the Program</w:t>
            </w:r>
          </w:p>
          <w:p w:rsidR="00A36BF7" w:rsidRPr="00A2769F" w:rsidRDefault="00A36BF7" w:rsidP="00B171D4">
            <w:pPr>
              <w:tabs>
                <w:tab w:val="left" w:pos="1080"/>
              </w:tabs>
              <w:ind w:left="504"/>
              <w:rPr>
                <w:rFonts w:ascii="Arial" w:hAnsi="Arial" w:cs="Arial"/>
              </w:rPr>
            </w:pPr>
            <w:r>
              <w:rPr>
                <w:rFonts w:ascii="Arial" w:hAnsi="Arial" w:cs="Arial"/>
              </w:rPr>
              <w:t>Appendix F illustrates</w:t>
            </w:r>
            <w:r w:rsidRPr="00A2769F">
              <w:rPr>
                <w:rFonts w:ascii="Arial" w:hAnsi="Arial" w:cs="Arial"/>
              </w:rPr>
              <w:t xml:space="preserve"> that the vast majority of </w:t>
            </w:r>
            <w:r>
              <w:rPr>
                <w:rFonts w:ascii="Arial" w:hAnsi="Arial" w:cs="Arial"/>
              </w:rPr>
              <w:t xml:space="preserve">OPT </w:t>
            </w:r>
            <w:r w:rsidRPr="00A2769F">
              <w:rPr>
                <w:rFonts w:ascii="Arial" w:hAnsi="Arial" w:cs="Arial"/>
              </w:rPr>
              <w:t xml:space="preserve">students are white males. We </w:t>
            </w:r>
            <w:r>
              <w:rPr>
                <w:rFonts w:ascii="Arial" w:hAnsi="Arial" w:cs="Arial"/>
              </w:rPr>
              <w:t>will continue to work with</w:t>
            </w:r>
            <w:r w:rsidRPr="00A2769F">
              <w:rPr>
                <w:rFonts w:ascii="Arial" w:hAnsi="Arial" w:cs="Arial"/>
              </w:rPr>
              <w:t xml:space="preserve"> with local </w:t>
            </w:r>
            <w:r>
              <w:rPr>
                <w:rFonts w:ascii="Arial" w:hAnsi="Arial" w:cs="Arial"/>
              </w:rPr>
              <w:t>h</w:t>
            </w:r>
            <w:r w:rsidRPr="00A2769F">
              <w:rPr>
                <w:rFonts w:ascii="Arial" w:hAnsi="Arial" w:cs="Arial"/>
              </w:rPr>
              <w:t xml:space="preserve">igh </w:t>
            </w:r>
            <w:r>
              <w:rPr>
                <w:rFonts w:ascii="Arial" w:hAnsi="Arial" w:cs="Arial"/>
              </w:rPr>
              <w:t>s</w:t>
            </w:r>
            <w:r w:rsidRPr="00A2769F">
              <w:rPr>
                <w:rFonts w:ascii="Arial" w:hAnsi="Arial" w:cs="Arial"/>
              </w:rPr>
              <w:t>chools, particularly</w:t>
            </w:r>
            <w:r>
              <w:rPr>
                <w:rFonts w:ascii="Arial" w:hAnsi="Arial" w:cs="Arial"/>
              </w:rPr>
              <w:t xml:space="preserve"> the </w:t>
            </w:r>
            <w:r w:rsidRPr="00A2769F">
              <w:rPr>
                <w:rFonts w:ascii="Arial" w:hAnsi="Arial" w:cs="Arial"/>
              </w:rPr>
              <w:t>Ponitz</w:t>
            </w:r>
            <w:r>
              <w:rPr>
                <w:rFonts w:ascii="Arial" w:hAnsi="Arial" w:cs="Arial"/>
              </w:rPr>
              <w:t xml:space="preserve"> Career Technology Center, to attract</w:t>
            </w:r>
            <w:r w:rsidRPr="00A2769F">
              <w:rPr>
                <w:rFonts w:ascii="Arial" w:hAnsi="Arial" w:cs="Arial"/>
              </w:rPr>
              <w:t xml:space="preserve"> more minorities</w:t>
            </w:r>
            <w:r>
              <w:rPr>
                <w:rFonts w:ascii="Arial" w:hAnsi="Arial" w:cs="Arial"/>
              </w:rPr>
              <w:t xml:space="preserve"> </w:t>
            </w:r>
            <w:r w:rsidRPr="00A2769F">
              <w:rPr>
                <w:rFonts w:ascii="Arial" w:hAnsi="Arial" w:cs="Arial"/>
              </w:rPr>
              <w:t>and</w:t>
            </w:r>
            <w:r>
              <w:rPr>
                <w:rFonts w:ascii="Arial" w:hAnsi="Arial" w:cs="Arial"/>
              </w:rPr>
              <w:t xml:space="preserve"> will continue to</w:t>
            </w:r>
            <w:r w:rsidRPr="00A2769F">
              <w:rPr>
                <w:rFonts w:ascii="Arial" w:hAnsi="Arial" w:cs="Arial"/>
              </w:rPr>
              <w:t xml:space="preserve"> work with WISTEM to attract more women into the </w:t>
            </w:r>
            <w:r>
              <w:rPr>
                <w:rFonts w:ascii="Arial" w:hAnsi="Arial" w:cs="Arial"/>
              </w:rPr>
              <w:t>p</w:t>
            </w:r>
            <w:r w:rsidRPr="00A2769F">
              <w:rPr>
                <w:rFonts w:ascii="Arial" w:hAnsi="Arial" w:cs="Arial"/>
              </w:rPr>
              <w:t>rogram</w:t>
            </w:r>
            <w:r>
              <w:rPr>
                <w:rFonts w:ascii="Arial" w:hAnsi="Arial" w:cs="Arial"/>
              </w:rPr>
              <w:t>s</w:t>
            </w:r>
            <w:r w:rsidRPr="00A2769F">
              <w:rPr>
                <w:rFonts w:ascii="Arial" w:hAnsi="Arial" w:cs="Arial"/>
              </w:rPr>
              <w:t>.</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3E3D47">
              <w:fldChar w:fldCharType="begin">
                <w:ffData>
                  <w:name w:val=""/>
                  <w:enabled/>
                  <w:calcOnExit w:val="0"/>
                  <w:checkBox>
                    <w:sizeAuto/>
                    <w:default w:val="1"/>
                  </w:checkBox>
                </w:ffData>
              </w:fldChar>
            </w:r>
            <w:r w:rsidR="003E3D47">
              <w:instrText xml:space="preserve"> FORMCHECKBOX </w:instrText>
            </w:r>
            <w:r w:rsidR="001F6B43">
              <w:fldChar w:fldCharType="separate"/>
            </w:r>
            <w:r w:rsidR="003E3D47">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A963AB" w:rsidP="00043293">
            <w:r w:rsidRPr="00A963AB">
              <w:rPr>
                <w:rFonts w:ascii="Arial" w:hAnsi="Arial" w:cs="Arial"/>
                <w:color w:val="000000" w:themeColor="text1"/>
              </w:rPr>
              <w:t>We are doing both items mentioned and have a recruiting program aimed at more women and minorities. Still the results are not showing much progress.</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rPr>
            </w:pPr>
            <w:r w:rsidRPr="00A2769F">
              <w:rPr>
                <w:rFonts w:ascii="Arial" w:hAnsi="Arial" w:cs="Arial"/>
                <w:u w:val="single"/>
              </w:rPr>
              <w:t>More involvement with DRMA and their Extreme BOTS competition</w:t>
            </w:r>
            <w:r w:rsidRPr="00A2769F">
              <w:rPr>
                <w:rFonts w:ascii="Arial" w:hAnsi="Arial" w:cs="Arial"/>
              </w:rPr>
              <w:t>.</w:t>
            </w:r>
          </w:p>
          <w:p w:rsidR="00A36BF7" w:rsidRPr="00A2769F" w:rsidRDefault="00A36BF7" w:rsidP="00B171D4">
            <w:pPr>
              <w:tabs>
                <w:tab w:val="left" w:pos="1080"/>
              </w:tabs>
              <w:ind w:left="504"/>
              <w:rPr>
                <w:rFonts w:ascii="Arial" w:hAnsi="Arial" w:cs="Arial"/>
              </w:rPr>
            </w:pPr>
            <w:r>
              <w:rPr>
                <w:rFonts w:ascii="Arial" w:hAnsi="Arial" w:cs="Arial"/>
              </w:rPr>
              <w:t>We are a member of the DRMA (Dayton Region Manufacturers Association) and are involved with their Extreme Bots competition.</w:t>
            </w:r>
            <w:r w:rsidR="003E3D47">
              <w:rPr>
                <w:rFonts w:ascii="Arial" w:hAnsi="Arial" w:cs="Arial"/>
              </w:rPr>
              <w:t xml:space="preserve"> </w:t>
            </w:r>
            <w:r w:rsidRPr="00A2769F">
              <w:rPr>
                <w:rFonts w:ascii="Arial" w:hAnsi="Arial" w:cs="Arial"/>
              </w:rPr>
              <w:t>This</w:t>
            </w:r>
            <w:r>
              <w:rPr>
                <w:rFonts w:ascii="Arial" w:hAnsi="Arial" w:cs="Arial"/>
              </w:rPr>
              <w:t xml:space="preserve"> competition is designed </w:t>
            </w:r>
            <w:r w:rsidRPr="00A2769F">
              <w:rPr>
                <w:rFonts w:ascii="Arial" w:hAnsi="Arial" w:cs="Arial"/>
              </w:rPr>
              <w:t xml:space="preserve">to interest students in careers in manufacturing. </w:t>
            </w:r>
            <w:r>
              <w:rPr>
                <w:rFonts w:ascii="Arial" w:hAnsi="Arial" w:cs="Arial"/>
              </w:rPr>
              <w:t xml:space="preserve"> I</w:t>
            </w:r>
            <w:r w:rsidRPr="00A2769F">
              <w:rPr>
                <w:rFonts w:ascii="Arial" w:hAnsi="Arial" w:cs="Arial"/>
              </w:rPr>
              <w:t xml:space="preserve">n addition to </w:t>
            </w:r>
            <w:r>
              <w:rPr>
                <w:rFonts w:ascii="Arial" w:hAnsi="Arial" w:cs="Arial"/>
              </w:rPr>
              <w:t>be</w:t>
            </w:r>
            <w:r w:rsidRPr="00A2769F">
              <w:rPr>
                <w:rFonts w:ascii="Arial" w:hAnsi="Arial" w:cs="Arial"/>
              </w:rPr>
              <w:t>ing a “fun” activity, the participants see a connection to a career, particularly in the Industrial Engineering Technology/Quality field.</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3E3D47">
              <w:fldChar w:fldCharType="begin">
                <w:ffData>
                  <w:name w:val=""/>
                  <w:enabled/>
                  <w:calcOnExit w:val="0"/>
                  <w:checkBox>
                    <w:sizeAuto/>
                    <w:default w:val="1"/>
                  </w:checkBox>
                </w:ffData>
              </w:fldChar>
            </w:r>
            <w:r w:rsidR="003E3D47">
              <w:instrText xml:space="preserve"> FORMCHECKBOX </w:instrText>
            </w:r>
            <w:r w:rsidR="001F6B43">
              <w:fldChar w:fldCharType="separate"/>
            </w:r>
            <w:r w:rsidR="003E3D47">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E3D47">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3E3D47">
              <w:fldChar w:fldCharType="begin">
                <w:ffData>
                  <w:name w:val=""/>
                  <w:enabled/>
                  <w:calcOnExit w:val="0"/>
                  <w:checkBox>
                    <w:sizeAuto/>
                    <w:default w:val="0"/>
                  </w:checkBox>
                </w:ffData>
              </w:fldChar>
            </w:r>
            <w:r w:rsidR="003E3D47">
              <w:instrText xml:space="preserve"> FORMCHECKBOX </w:instrText>
            </w:r>
            <w:r w:rsidR="001F6B43">
              <w:fldChar w:fldCharType="separate"/>
            </w:r>
            <w:r w:rsidR="003E3D47">
              <w:fldChar w:fldCharType="end"/>
            </w:r>
          </w:p>
        </w:tc>
        <w:tc>
          <w:tcPr>
            <w:tcW w:w="6632" w:type="dxa"/>
          </w:tcPr>
          <w:p w:rsidR="00A36BF7" w:rsidRPr="00043293" w:rsidRDefault="003E3D47" w:rsidP="003E3D47">
            <w:pPr>
              <w:rPr>
                <w:rFonts w:ascii="Arial" w:hAnsi="Arial" w:cs="Arial"/>
              </w:rPr>
            </w:pPr>
            <w:r>
              <w:rPr>
                <w:rFonts w:ascii="Arial" w:hAnsi="Arial" w:cs="Arial"/>
              </w:rPr>
              <w:t xml:space="preserve">The BOTS competition is now run by a non-profit organization, MADEinOHIO.  The OPT program is still involved with both the BOTS competition and DRMA, as well as the national Manufacturing Day in October.  </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Currently the semester curriculum in programs in this department are at the maximum of 73 credit hours and well above the 60 credit hours that would constitute a two-year, full-time program.  The department should consider scaling back the program requirements where appropriate to facilitate completion of the degree program by students.  This work, of course, should take into careful consideration how to offer a strong program without compromising quality of student learning and their professional preparedness. </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3E3D47">
              <w:fldChar w:fldCharType="begin">
                <w:ffData>
                  <w:name w:val=""/>
                  <w:enabled/>
                  <w:calcOnExit w:val="0"/>
                  <w:checkBox>
                    <w:sizeAuto/>
                    <w:default w:val="1"/>
                  </w:checkBox>
                </w:ffData>
              </w:fldChar>
            </w:r>
            <w:r w:rsidR="003E3D47">
              <w:instrText xml:space="preserve"> FORMCHECKBOX </w:instrText>
            </w:r>
            <w:r w:rsidR="001F6B43">
              <w:fldChar w:fldCharType="separate"/>
            </w:r>
            <w:r w:rsidR="003E3D47">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637591">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A963AB" w:rsidRDefault="00FC743D" w:rsidP="00162764">
            <w:r>
              <w:rPr>
                <w:rFonts w:ascii="Arial" w:hAnsi="Arial" w:cs="Arial"/>
                <w:color w:val="000000" w:themeColor="text1"/>
              </w:rPr>
              <w:t>The OPT has submitted changes to reduce the total credit hours to under 65 hours, to be effective in the fall of 2015.  Furthermore, we are developing plans to get below 60 hours.</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The department is encouraged to enhance its assessment of program outcomes.  The department has considerable professional expertise in continuous quality improvement and thus could serve as a model for other departments on the collection of data on student learning outcomes, the analysis of this data, and the use of results to further improve the quality of student learning.   While anecdotal information from students is a valued qualitative source of information about students’ experience in OPT, there is a need for a much more focused and systematic approach to evidence of student learning outcomes, an issue also cited in the TAC/ABET review.</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637591">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Default="00A963AB" w:rsidP="00162764">
            <w:r w:rsidRPr="00111AA3">
              <w:rPr>
                <w:rFonts w:ascii="Arial" w:hAnsi="Arial" w:cs="Arial"/>
                <w:color w:val="000000" w:themeColor="text1"/>
              </w:rPr>
              <w:t>We have developed rubrics, tied outcomes to tests and specific questions per the ETAC/ABET criteria</w:t>
            </w:r>
            <w:r w:rsidR="00111AA3" w:rsidRPr="00111AA3">
              <w:rPr>
                <w:rFonts w:ascii="Arial" w:hAnsi="Arial" w:cs="Arial"/>
                <w:color w:val="000000" w:themeColor="text1"/>
              </w:rPr>
              <w:t>. This is a work in progress that has been somewhat hampered by loss of faculty, but is one of our priorities. We feel we have good data on our key</w:t>
            </w:r>
            <w:r w:rsidR="00111AA3">
              <w:rPr>
                <w:rFonts w:ascii="Arial" w:hAnsi="Arial" w:cs="Arial"/>
                <w:b/>
                <w:color w:val="000000" w:themeColor="text1"/>
              </w:rPr>
              <w:t xml:space="preserve"> </w:t>
            </w:r>
            <w:r w:rsidR="00111AA3" w:rsidRPr="00111AA3">
              <w:rPr>
                <w:rFonts w:ascii="Arial" w:hAnsi="Arial" w:cs="Arial"/>
                <w:color w:val="000000" w:themeColor="text1"/>
              </w:rPr>
              <w:t>courses and we will continue to</w:t>
            </w:r>
            <w:r w:rsidR="00111AA3">
              <w:rPr>
                <w:rFonts w:ascii="Arial" w:hAnsi="Arial" w:cs="Arial"/>
                <w:b/>
                <w:color w:val="000000" w:themeColor="text1"/>
              </w:rPr>
              <w:t xml:space="preserve"> </w:t>
            </w:r>
            <w:r w:rsidR="00111AA3" w:rsidRPr="00111AA3">
              <w:rPr>
                <w:rFonts w:ascii="Arial" w:hAnsi="Arial" w:cs="Arial"/>
                <w:color w:val="000000" w:themeColor="text1"/>
              </w:rPr>
              <w:t>refine these data gathering methods.</w:t>
            </w:r>
            <w:r w:rsidR="00111AA3">
              <w:rPr>
                <w:rFonts w:ascii="Arial" w:hAnsi="Arial" w:cs="Arial"/>
                <w:b/>
                <w:color w:val="000000" w:themeColor="text1"/>
              </w:rPr>
              <w:t xml:space="preserve"> </w:t>
            </w:r>
          </w:p>
        </w:tc>
      </w:tr>
      <w:tr w:rsidR="005F7BC1" w:rsidRPr="005F7BC1"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The department is encouraged to explore options to allow students the ability to maintain employment while working to complete their degree programs.  Flexibility in scheduling may be called for to make this a reality for some of our students in these programs who also work full-time.</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
                  <w:enabled/>
                  <w:calcOnExit w:val="0"/>
                  <w:checkBox>
                    <w:sizeAuto/>
                    <w:default w:val="1"/>
                  </w:checkBox>
                </w:ffData>
              </w:fldChar>
            </w:r>
            <w:r w:rsidR="003534C4">
              <w:instrText xml:space="preserve"> FORMCHECKBOX </w:instrText>
            </w:r>
            <w:r w:rsidR="001F6B43">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1F6B43">
              <w:fldChar w:fldCharType="separate"/>
            </w:r>
            <w:r w:rsidR="006B2F1C">
              <w:fldChar w:fldCharType="end"/>
            </w:r>
          </w:p>
        </w:tc>
        <w:tc>
          <w:tcPr>
            <w:tcW w:w="6480" w:type="dxa"/>
          </w:tcPr>
          <w:p w:rsidR="00A36BF7" w:rsidRPr="005F7BC1" w:rsidRDefault="003534C4" w:rsidP="003723B7">
            <w:pPr>
              <w:rPr>
                <w:rFonts w:ascii="Arial" w:hAnsi="Arial" w:cs="Arial"/>
              </w:rPr>
            </w:pPr>
            <w:r w:rsidRPr="005F7BC1">
              <w:rPr>
                <w:rFonts w:ascii="Arial" w:hAnsi="Arial" w:cs="Arial"/>
              </w:rPr>
              <w:t xml:space="preserve">This has always occurred in our </w:t>
            </w:r>
            <w:r w:rsidR="003723B7" w:rsidRPr="005F7BC1">
              <w:rPr>
                <w:rFonts w:ascii="Arial" w:hAnsi="Arial" w:cs="Arial"/>
              </w:rPr>
              <w:t>p</w:t>
            </w:r>
            <w:r w:rsidRPr="005F7BC1">
              <w:rPr>
                <w:rFonts w:ascii="Arial" w:hAnsi="Arial" w:cs="Arial"/>
              </w:rPr>
              <w:t>rogram as we try to offer classes that make it easier for students to enroll in classes while maint</w:t>
            </w:r>
            <w:r w:rsidR="00817647" w:rsidRPr="005F7BC1">
              <w:rPr>
                <w:rFonts w:ascii="Arial" w:hAnsi="Arial" w:cs="Arial"/>
              </w:rPr>
              <w:t xml:space="preserve">aining full or </w:t>
            </w:r>
            <w:r w:rsidR="003723B7" w:rsidRPr="005F7BC1">
              <w:rPr>
                <w:rFonts w:ascii="Arial" w:hAnsi="Arial" w:cs="Arial"/>
              </w:rPr>
              <w:t>p</w:t>
            </w:r>
            <w:r w:rsidR="00817647" w:rsidRPr="005F7BC1">
              <w:rPr>
                <w:rFonts w:ascii="Arial" w:hAnsi="Arial" w:cs="Arial"/>
              </w:rPr>
              <w:t>art-time employ</w:t>
            </w:r>
            <w:r w:rsidRPr="005F7BC1">
              <w:rPr>
                <w:rFonts w:ascii="Arial" w:hAnsi="Arial" w:cs="Arial"/>
              </w:rPr>
              <w:t>ment.</w:t>
            </w:r>
            <w:r w:rsidR="00817647" w:rsidRPr="005F7BC1">
              <w:rPr>
                <w:rFonts w:ascii="Arial" w:hAnsi="Arial" w:cs="Arial"/>
              </w:rPr>
              <w:t xml:space="preserve"> We have discovered by surveying students that we not only need to provide day and evening classes, but also consider students who work second shift and need to be through by 1:00 PM. This is having us offer more morning classes. We have run some Saturday classes to broaden our reach to stud</w:t>
            </w:r>
            <w:r w:rsidR="00C23E8B" w:rsidRPr="005F7BC1">
              <w:rPr>
                <w:rFonts w:ascii="Arial" w:hAnsi="Arial" w:cs="Arial"/>
              </w:rPr>
              <w:t>ents, but these have not proven popular.</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The department has recognized the need to educate students on the opportunities in the field and to combat the misperceptions that there are no jobs in manufacturing.  The department is encouraged to explore the use of institutional resources in getting this message out, which may include Marketing, Career Services, and other areas in the institution.  It may be a good idea to develop talking points about the program that could be shared in different venues as a means of attracting students to the OPT programs.</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637591">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FC743D" w:rsidRDefault="00FC743D" w:rsidP="003723B7">
            <w:pPr>
              <w:rPr>
                <w:rFonts w:ascii="Arial" w:hAnsi="Arial" w:cs="Arial"/>
                <w:color w:val="000000" w:themeColor="text1"/>
              </w:rPr>
            </w:pPr>
            <w:r>
              <w:rPr>
                <w:rFonts w:ascii="Arial" w:hAnsi="Arial" w:cs="Arial"/>
                <w:color w:val="000000" w:themeColor="text1"/>
              </w:rPr>
              <w:t>We are involved with a new, national effort called “Manufacturing Day,” where manufacturing companies open their doors to area high school classes and try to promote a better understanding of today’s manufacturing employment opportunities.</w:t>
            </w:r>
          </w:p>
          <w:p w:rsidR="00FC743D" w:rsidRDefault="00FC743D" w:rsidP="003723B7">
            <w:pPr>
              <w:rPr>
                <w:rFonts w:ascii="Arial" w:hAnsi="Arial" w:cs="Arial"/>
                <w:color w:val="000000" w:themeColor="text1"/>
              </w:rPr>
            </w:pPr>
          </w:p>
          <w:p w:rsidR="00A36BF7" w:rsidRPr="00111AA3" w:rsidRDefault="00111AA3" w:rsidP="003723B7">
            <w:r w:rsidRPr="00111AA3">
              <w:rPr>
                <w:rFonts w:ascii="Arial" w:hAnsi="Arial" w:cs="Arial"/>
                <w:color w:val="000000" w:themeColor="text1"/>
              </w:rPr>
              <w:t xml:space="preserve">We have created </w:t>
            </w:r>
            <w:r w:rsidR="00F94A4C">
              <w:rPr>
                <w:rFonts w:ascii="Arial" w:hAnsi="Arial" w:cs="Arial"/>
                <w:color w:val="000000" w:themeColor="text1"/>
              </w:rPr>
              <w:t xml:space="preserve">an </w:t>
            </w:r>
            <w:r w:rsidRPr="00111AA3">
              <w:rPr>
                <w:rFonts w:ascii="Arial" w:hAnsi="Arial" w:cs="Arial"/>
                <w:color w:val="000000" w:themeColor="text1"/>
              </w:rPr>
              <w:t xml:space="preserve">OPT banner, tablecloths and have a new recruiting tape from </w:t>
            </w:r>
            <w:r w:rsidR="003723B7" w:rsidRPr="005F7BC1">
              <w:rPr>
                <w:rFonts w:ascii="Arial" w:hAnsi="Arial" w:cs="Arial"/>
              </w:rPr>
              <w:t>IIE (</w:t>
            </w:r>
            <w:r w:rsidRPr="00111AA3">
              <w:rPr>
                <w:rFonts w:ascii="Arial" w:hAnsi="Arial" w:cs="Arial"/>
                <w:color w:val="000000" w:themeColor="text1"/>
              </w:rPr>
              <w:t>Institute of Industrial Engineer</w:t>
            </w:r>
            <w:r w:rsidR="004A0164">
              <w:rPr>
                <w:rFonts w:ascii="Arial" w:hAnsi="Arial" w:cs="Arial"/>
                <w:color w:val="000000" w:themeColor="text1"/>
              </w:rPr>
              <w:t>s). We have brochures and are b</w:t>
            </w:r>
            <w:r w:rsidRPr="00111AA3">
              <w:rPr>
                <w:rFonts w:ascii="Arial" w:hAnsi="Arial" w:cs="Arial"/>
                <w:color w:val="000000" w:themeColor="text1"/>
              </w:rPr>
              <w:t>uying some “keepsakes” to keep the OPT name in front of potential students. We are sharing these points with many of the areas mentioned.</w:t>
            </w:r>
            <w:r w:rsidR="00FC743D">
              <w:rPr>
                <w:rFonts w:ascii="Arial" w:hAnsi="Arial" w:cs="Arial"/>
                <w:color w:val="000000" w:themeColor="text1"/>
              </w:rPr>
              <w:t xml:space="preserve">  </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Similarly, the department should work to increase its profile on campus.  The department’s expertise in continuous quality improvement could be applied to a number of campus processes, and such opportunities could provide students with practical experience and also raise the department’s profile on campus.</w:t>
            </w:r>
          </w:p>
          <w:p w:rsidR="00A36BF7" w:rsidRPr="00654C15" w:rsidRDefault="00A36BF7" w:rsidP="00D07030">
            <w:pPr>
              <w:pStyle w:val="ListParagraph"/>
              <w:ind w:left="0"/>
              <w:rPr>
                <w:rFonts w:ascii="Arial" w:hAnsi="Arial" w:cs="Arial"/>
                <w:color w:val="000000" w:themeColor="text1"/>
              </w:rPr>
            </w:pPr>
          </w:p>
        </w:tc>
        <w:tc>
          <w:tcPr>
            <w:tcW w:w="2700" w:type="dxa"/>
          </w:tcPr>
          <w:p w:rsidR="00A36BF7" w:rsidRDefault="00A36BF7" w:rsidP="00D07030">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D07030">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111AA3" w:rsidRDefault="00111AA3" w:rsidP="00162764">
            <w:r w:rsidRPr="00111AA3">
              <w:rPr>
                <w:rFonts w:ascii="Arial" w:hAnsi="Arial" w:cs="Arial"/>
                <w:color w:val="000000" w:themeColor="text1"/>
              </w:rPr>
              <w:t>This is on our schedule, but due to lack of personnel, this has taken a back-seat to other initiatives.</w:t>
            </w:r>
            <w:r w:rsidR="00FC743D">
              <w:rPr>
                <w:rFonts w:ascii="Arial" w:hAnsi="Arial" w:cs="Arial"/>
                <w:color w:val="000000" w:themeColor="text1"/>
              </w:rPr>
              <w:t xml:space="preserve">  10 years ago, the OPT department had 6 tenure track faculty.  Now we have one.</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high success rates in OPT courses indicate that the department is doing some things that are extremely effective – how can these things be shared and replicated in other departments?  The department is encouraged to explore approaches to sharing the techniques that are working so well for them with other departments, perhaps through workshops or Fall Faculty Professional Development Day.  </w:t>
            </w:r>
          </w:p>
          <w:p w:rsidR="00A36BF7" w:rsidRPr="00654C15" w:rsidRDefault="00A36BF7" w:rsidP="00D07030">
            <w:pPr>
              <w:pStyle w:val="ListParagraph"/>
              <w:ind w:left="0"/>
              <w:rPr>
                <w:rFonts w:ascii="Arial" w:hAnsi="Arial" w:cs="Arial"/>
                <w:color w:val="000000" w:themeColor="text1"/>
              </w:rPr>
            </w:pPr>
          </w:p>
        </w:tc>
        <w:tc>
          <w:tcPr>
            <w:tcW w:w="2700" w:type="dxa"/>
          </w:tcPr>
          <w:p w:rsidR="00A36BF7" w:rsidRDefault="00A36BF7" w:rsidP="00D07030">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D07030">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While we feel proud of our success rates, we don’t feel we are doing anything that many other departments are not already doing. Part of our course success rates have to do with the fact that many students are more mature, have a basic understanding of the concepts  or are already working in the field and need degrees or certificates to further their careers. Also the fact that many of our students a</w:t>
            </w:r>
            <w:r w:rsidR="00FC743D">
              <w:rPr>
                <w:rFonts w:ascii="Arial" w:hAnsi="Arial" w:cs="Arial"/>
                <w:color w:val="000000" w:themeColor="text1"/>
              </w:rPr>
              <w:t>re being paid to attend classes</w:t>
            </w:r>
            <w:r w:rsidRPr="006E14B5">
              <w:rPr>
                <w:rFonts w:ascii="Arial" w:hAnsi="Arial" w:cs="Arial"/>
                <w:color w:val="000000" w:themeColor="text1"/>
              </w:rPr>
              <w:t>,</w:t>
            </w:r>
            <w:r w:rsidR="00FC743D">
              <w:rPr>
                <w:rFonts w:ascii="Arial" w:hAnsi="Arial" w:cs="Arial"/>
                <w:color w:val="000000" w:themeColor="text1"/>
              </w:rPr>
              <w:t xml:space="preserve"> </w:t>
            </w:r>
            <w:r w:rsidRPr="006E14B5">
              <w:rPr>
                <w:rFonts w:ascii="Arial" w:hAnsi="Arial" w:cs="Arial"/>
                <w:color w:val="000000" w:themeColor="text1"/>
              </w:rPr>
              <w:t>and need to make a certain grade encourages completion and higher achievements.</w:t>
            </w:r>
          </w:p>
        </w:tc>
      </w:tr>
      <w:tr w:rsidR="00A36BF7" w:rsidRPr="0037786D" w:rsidTr="00D07030">
        <w:tc>
          <w:tcPr>
            <w:tcW w:w="3708" w:type="dxa"/>
          </w:tcPr>
          <w:p w:rsidR="00A36BF7" w:rsidRDefault="00A36BF7" w:rsidP="003534C4">
            <w:pPr>
              <w:pStyle w:val="ListParagraph"/>
              <w:ind w:left="0"/>
              <w:rPr>
                <w:rFonts w:ascii="Arial" w:hAnsi="Arial" w:cs="Arial"/>
                <w:color w:val="000000" w:themeColor="text1"/>
              </w:rPr>
            </w:pPr>
          </w:p>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self-study submitted for this review focused on </w:t>
            </w:r>
            <w:r w:rsidR="00F94A4C">
              <w:rPr>
                <w:rFonts w:ascii="Arial" w:hAnsi="Arial" w:cs="Arial"/>
                <w:bCs/>
                <w:color w:val="000000"/>
              </w:rPr>
              <w:t>E</w:t>
            </w:r>
            <w:r w:rsidRPr="00B171D4">
              <w:rPr>
                <w:rFonts w:ascii="Arial" w:hAnsi="Arial" w:cs="Arial"/>
                <w:bCs/>
                <w:color w:val="000000"/>
              </w:rPr>
              <w:t xml:space="preserve">TAC/ABET general education outcomes.  Accreditation requirements are crucial, and the department needs to be able to demonstrate it is meeting the </w:t>
            </w:r>
            <w:r w:rsidR="00F17103">
              <w:rPr>
                <w:rFonts w:ascii="Arial" w:hAnsi="Arial" w:cs="Arial"/>
                <w:bCs/>
                <w:color w:val="000000"/>
              </w:rPr>
              <w:t>E</w:t>
            </w:r>
            <w:r w:rsidRPr="00B171D4">
              <w:rPr>
                <w:rFonts w:ascii="Arial" w:hAnsi="Arial" w:cs="Arial"/>
                <w:bCs/>
                <w:color w:val="000000"/>
              </w:rPr>
              <w:t xml:space="preserve">TAC/ABET general education assessment requirements, but Sinclair’s General Education outcomes also must be met.   The department is encouraged to explicitly map out the relationships between </w:t>
            </w:r>
            <w:r w:rsidR="00F17103">
              <w:rPr>
                <w:rFonts w:ascii="Arial" w:hAnsi="Arial" w:cs="Arial"/>
                <w:bCs/>
                <w:color w:val="000000"/>
              </w:rPr>
              <w:t>E</w:t>
            </w:r>
            <w:r w:rsidRPr="00B171D4">
              <w:rPr>
                <w:rFonts w:ascii="Arial" w:hAnsi="Arial" w:cs="Arial"/>
                <w:bCs/>
                <w:color w:val="000000"/>
              </w:rPr>
              <w:t>TAC/ABET and Sinclair general education outcomes and ensure that they are addressing both in their assessment efforts.</w:t>
            </w:r>
          </w:p>
          <w:p w:rsidR="00A36BF7" w:rsidRPr="00B171D4" w:rsidRDefault="00A36BF7" w:rsidP="00B171D4"/>
        </w:tc>
        <w:tc>
          <w:tcPr>
            <w:tcW w:w="2700"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We are in progress of updating our rubrics to reflect Gen Ed competencies and mapping them to outcomes via the ETAC/ABET matrix. The fact that most of our classes require team projects and formal presentations, encourage communications and writing skills. These projects also demand critical thinking skills. We have been working on these for many years. The rubrics and redefined matrix will spell out clearly where and how these outcomes are being met.</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department’s mission statement should be revised to be more crisp, concise, and focused. Communicating more clearly the purpose and expertise of the department can be valuable in promoting wider understanding on campus and off of the expertise and programs of the department. </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Mission stateme</w:t>
            </w:r>
            <w:r w:rsidR="00FC743D">
              <w:rPr>
                <w:rFonts w:ascii="Arial" w:hAnsi="Arial" w:cs="Arial"/>
                <w:color w:val="000000" w:themeColor="text1"/>
              </w:rPr>
              <w:t xml:space="preserve">nt has been revised. </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The department is encouraged to work with RAR to increase the data it has on graduates and industry trends.  Ohio Department of Jobs and Family Services data can provide information on graduate employment and earnings, and Career Coach data can provide information on industry trends.  RAR is an excellent resource in accessing both of these sources of data.</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D169D2" w:rsidRDefault="00D169D2" w:rsidP="00162764">
            <w:r w:rsidRPr="00D169D2">
              <w:rPr>
                <w:rFonts w:ascii="Arial" w:hAnsi="Arial" w:cs="Arial"/>
                <w:color w:val="000000" w:themeColor="text1"/>
              </w:rPr>
              <w:t>We are in contact with the groups mentioned and are trying to build a good data base.</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The department is benefitting from its work with its Advisory Committee, and it is encouraged to keep the committee fresh, replacing inactive members as the need arises.</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FC743D">
              <w:fldChar w:fldCharType="begin">
                <w:ffData>
                  <w:name w:val=""/>
                  <w:enabled/>
                  <w:calcOnExit w:val="0"/>
                  <w:checkBox>
                    <w:sizeAuto/>
                    <w:default w:val="1"/>
                  </w:checkBox>
                </w:ffData>
              </w:fldChar>
            </w:r>
            <w:r w:rsidR="00FC743D">
              <w:instrText xml:space="preserve"> FORMCHECKBOX </w:instrText>
            </w:r>
            <w:r w:rsidR="001F6B43">
              <w:fldChar w:fldCharType="separate"/>
            </w:r>
            <w:r w:rsidR="00FC743D">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291E85" w:rsidRDefault="00D169D2" w:rsidP="003723B7">
            <w:r w:rsidRPr="00291E85">
              <w:rPr>
                <w:rFonts w:ascii="Arial" w:hAnsi="Arial" w:cs="Arial"/>
                <w:color w:val="000000" w:themeColor="text1"/>
              </w:rPr>
              <w:t>As mentioned above, we feel our Advisory Committee is one of our real strengths. They work throughout the year assistin</w:t>
            </w:r>
            <w:r w:rsidR="00291E85" w:rsidRPr="00291E85">
              <w:rPr>
                <w:rFonts w:ascii="Arial" w:hAnsi="Arial" w:cs="Arial"/>
                <w:color w:val="000000" w:themeColor="text1"/>
              </w:rPr>
              <w:t>g in our</w:t>
            </w:r>
            <w:r w:rsidRPr="00291E85">
              <w:rPr>
                <w:rFonts w:ascii="Arial" w:hAnsi="Arial" w:cs="Arial"/>
                <w:color w:val="000000" w:themeColor="text1"/>
              </w:rPr>
              <w:t xml:space="preserve"> </w:t>
            </w:r>
            <w:r w:rsidR="003723B7" w:rsidRPr="005F7BC1">
              <w:rPr>
                <w:rFonts w:ascii="Arial" w:hAnsi="Arial" w:cs="Arial"/>
              </w:rPr>
              <w:t>p</w:t>
            </w:r>
            <w:r w:rsidRPr="005F7BC1">
              <w:rPr>
                <w:rFonts w:ascii="Arial" w:hAnsi="Arial" w:cs="Arial"/>
              </w:rPr>
              <w:t>rogram,</w:t>
            </w:r>
            <w:r w:rsidRPr="00291E85">
              <w:rPr>
                <w:rFonts w:ascii="Arial" w:hAnsi="Arial" w:cs="Arial"/>
                <w:color w:val="000000" w:themeColor="text1"/>
              </w:rPr>
              <w:t xml:space="preserve"> especially in recruiting. We are adding more graduates from our </w:t>
            </w:r>
            <w:r w:rsidR="003723B7" w:rsidRPr="005F7BC1">
              <w:rPr>
                <w:rFonts w:ascii="Arial" w:hAnsi="Arial" w:cs="Arial"/>
              </w:rPr>
              <w:t>p</w:t>
            </w:r>
            <w:r w:rsidRPr="005F7BC1">
              <w:rPr>
                <w:rFonts w:ascii="Arial" w:hAnsi="Arial" w:cs="Arial"/>
              </w:rPr>
              <w:t>rogram</w:t>
            </w:r>
            <w:r w:rsidRPr="003723B7">
              <w:rPr>
                <w:rFonts w:ascii="Arial" w:hAnsi="Arial" w:cs="Arial"/>
                <w:color w:val="FF0000"/>
              </w:rPr>
              <w:t xml:space="preserve"> </w:t>
            </w:r>
            <w:r w:rsidRPr="00291E85">
              <w:rPr>
                <w:rFonts w:ascii="Arial" w:hAnsi="Arial" w:cs="Arial"/>
                <w:color w:val="000000" w:themeColor="text1"/>
              </w:rPr>
              <w:t xml:space="preserve">onto the </w:t>
            </w:r>
            <w:r w:rsidR="003723B7" w:rsidRPr="005F7BC1">
              <w:rPr>
                <w:rFonts w:ascii="Arial" w:hAnsi="Arial" w:cs="Arial"/>
              </w:rPr>
              <w:t>c</w:t>
            </w:r>
            <w:r w:rsidRPr="005F7BC1">
              <w:rPr>
                <w:rFonts w:ascii="Arial" w:hAnsi="Arial" w:cs="Arial"/>
              </w:rPr>
              <w:t>ommittee</w:t>
            </w:r>
            <w:r w:rsidR="00291E85" w:rsidRPr="005F7BC1">
              <w:rPr>
                <w:rFonts w:ascii="Arial" w:hAnsi="Arial" w:cs="Arial"/>
              </w:rPr>
              <w:t xml:space="preserve"> </w:t>
            </w:r>
            <w:r w:rsidR="00196C32">
              <w:rPr>
                <w:rFonts w:ascii="Arial" w:hAnsi="Arial" w:cs="Arial"/>
                <w:color w:val="000000" w:themeColor="text1"/>
              </w:rPr>
              <w:t>to get fresh</w:t>
            </w:r>
            <w:r w:rsidR="00291E85" w:rsidRPr="00291E85">
              <w:rPr>
                <w:rFonts w:ascii="Arial" w:hAnsi="Arial" w:cs="Arial"/>
                <w:color w:val="000000" w:themeColor="text1"/>
              </w:rPr>
              <w:t xml:space="preserve">, new perspectives of what we could improve. They are </w:t>
            </w:r>
            <w:r w:rsidR="003723B7" w:rsidRPr="005F7BC1">
              <w:rPr>
                <w:rFonts w:ascii="Arial" w:hAnsi="Arial" w:cs="Arial"/>
              </w:rPr>
              <w:t>also</w:t>
            </w:r>
            <w:r w:rsidR="00291E85" w:rsidRPr="003723B7">
              <w:rPr>
                <w:rFonts w:ascii="Arial" w:hAnsi="Arial" w:cs="Arial"/>
                <w:color w:val="FF0000"/>
              </w:rPr>
              <w:t xml:space="preserve"> </w:t>
            </w:r>
            <w:r w:rsidR="00291E85" w:rsidRPr="00291E85">
              <w:rPr>
                <w:rFonts w:ascii="Arial" w:hAnsi="Arial" w:cs="Arial"/>
                <w:color w:val="000000" w:themeColor="text1"/>
              </w:rPr>
              <w:t xml:space="preserve">excited about helping the </w:t>
            </w:r>
            <w:r w:rsidR="003723B7" w:rsidRPr="005F7BC1">
              <w:rPr>
                <w:rFonts w:ascii="Arial" w:hAnsi="Arial" w:cs="Arial"/>
              </w:rPr>
              <w:t>p</w:t>
            </w:r>
            <w:r w:rsidR="00291E85" w:rsidRPr="005F7BC1">
              <w:rPr>
                <w:rFonts w:ascii="Arial" w:hAnsi="Arial" w:cs="Arial"/>
              </w:rPr>
              <w:t>rogram</w:t>
            </w:r>
            <w:r w:rsidR="00291E85" w:rsidRPr="003723B7">
              <w:rPr>
                <w:rFonts w:ascii="Arial" w:hAnsi="Arial" w:cs="Arial"/>
                <w:color w:val="FF0000"/>
              </w:rPr>
              <w:t xml:space="preserve"> </w:t>
            </w:r>
            <w:r w:rsidR="00291E85" w:rsidRPr="00291E85">
              <w:rPr>
                <w:rFonts w:ascii="Arial" w:hAnsi="Arial" w:cs="Arial"/>
                <w:color w:val="000000" w:themeColor="text1"/>
              </w:rPr>
              <w:t>grow.</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Finally, the department is encouraged to increase the diversity of faculty and students.</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3D7AD4" w:rsidRDefault="003D7AD4" w:rsidP="003D7AD4">
            <w:pPr>
              <w:pStyle w:val="ListParagraph"/>
              <w:ind w:left="0"/>
              <w:rPr>
                <w:rFonts w:ascii="Arial" w:hAnsi="Arial" w:cs="Arial"/>
                <w:color w:val="000000" w:themeColor="text1"/>
              </w:rPr>
            </w:pPr>
            <w:r>
              <w:rPr>
                <w:rFonts w:ascii="Arial" w:hAnsi="Arial" w:cs="Arial"/>
                <w:color w:val="000000" w:themeColor="text1"/>
              </w:rPr>
              <w:t xml:space="preserve">In progress </w:t>
            </w:r>
            <w:r w:rsidR="00196C32">
              <w:fldChar w:fldCharType="begin">
                <w:ffData>
                  <w:name w:val=""/>
                  <w:enabled/>
                  <w:calcOnExit w:val="0"/>
                  <w:checkBox>
                    <w:sizeAuto/>
                    <w:default w:val="1"/>
                  </w:checkBox>
                </w:ffData>
              </w:fldChar>
            </w:r>
            <w:r w:rsidR="00196C32">
              <w:instrText xml:space="preserve"> FORMCHECKBOX </w:instrText>
            </w:r>
            <w:r w:rsidR="001F6B43">
              <w:fldChar w:fldCharType="separate"/>
            </w:r>
            <w:r w:rsidR="00196C32">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3D7AD4" w:rsidRDefault="003D7AD4" w:rsidP="003D7AD4">
            <w:pPr>
              <w:pStyle w:val="ListParagraph"/>
              <w:ind w:left="0"/>
              <w:rPr>
                <w:rFonts w:ascii="Arial" w:hAnsi="Arial" w:cs="Arial"/>
                <w:color w:val="000000" w:themeColor="text1"/>
              </w:rPr>
            </w:pPr>
          </w:p>
          <w:p w:rsidR="003D7AD4" w:rsidRDefault="003D7AD4" w:rsidP="003D7AD4">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p>
          <w:p w:rsidR="00A36BF7" w:rsidRPr="0037786D" w:rsidRDefault="00A36BF7" w:rsidP="003534C4">
            <w:pPr>
              <w:pStyle w:val="ListParagraph"/>
              <w:ind w:left="0"/>
              <w:rPr>
                <w:rFonts w:ascii="Arial" w:hAnsi="Arial" w:cs="Arial"/>
                <w:color w:val="000000" w:themeColor="text1"/>
              </w:rPr>
            </w:pPr>
          </w:p>
        </w:tc>
        <w:tc>
          <w:tcPr>
            <w:tcW w:w="6480" w:type="dxa"/>
          </w:tcPr>
          <w:p w:rsidR="00162764" w:rsidRDefault="00162764" w:rsidP="00162764">
            <w:pPr>
              <w:spacing w:after="200" w:line="276" w:lineRule="auto"/>
              <w:rPr>
                <w:rFonts w:ascii="Arial" w:hAnsi="Arial" w:cs="Arial"/>
                <w:b/>
                <w:color w:val="000000" w:themeColor="text1"/>
              </w:rPr>
            </w:pPr>
          </w:p>
          <w:p w:rsidR="00A36BF7" w:rsidRPr="00291E85" w:rsidRDefault="00291E85" w:rsidP="00162764">
            <w:r w:rsidRPr="00291E85">
              <w:rPr>
                <w:rFonts w:ascii="Arial" w:hAnsi="Arial" w:cs="Arial"/>
                <w:color w:val="000000" w:themeColor="text1"/>
              </w:rPr>
              <w:t>We are exploring every avenue we are aware of and would welcome any help or suggestions that could be provided in this area.</w:t>
            </w:r>
          </w:p>
        </w:tc>
      </w:tr>
    </w:tbl>
    <w:p w:rsidR="007A16D1" w:rsidRDefault="007A16D1" w:rsidP="00F17897">
      <w:pPr>
        <w:rPr>
          <w:rFonts w:ascii="Arial" w:hAnsi="Arial" w:cs="Arial"/>
          <w:b/>
          <w:color w:val="000000" w:themeColor="text1"/>
          <w:sz w:val="20"/>
          <w:szCs w:val="20"/>
          <w:u w:val="single"/>
        </w:rPr>
      </w:pPr>
    </w:p>
    <w:p w:rsidR="007A16D1" w:rsidRDefault="007A16D1" w:rsidP="00F17897">
      <w:pPr>
        <w:rPr>
          <w:rFonts w:ascii="Arial" w:hAnsi="Arial" w:cs="Arial"/>
          <w:b/>
          <w:color w:val="000000" w:themeColor="text1"/>
          <w:sz w:val="20"/>
          <w:szCs w:val="20"/>
          <w:u w:val="single"/>
        </w:rPr>
      </w:pPr>
    </w:p>
    <w:p w:rsidR="007A16D1" w:rsidRDefault="007A16D1" w:rsidP="00F17897">
      <w:pPr>
        <w:rPr>
          <w:rFonts w:ascii="Arial" w:hAnsi="Arial" w:cs="Arial"/>
          <w:b/>
          <w:color w:val="000000" w:themeColor="text1"/>
          <w:sz w:val="20"/>
          <w:szCs w:val="20"/>
          <w:u w:val="single"/>
        </w:rPr>
      </w:pPr>
    </w:p>
    <w:p w:rsidR="00C943D5" w:rsidRDefault="00C943D5" w:rsidP="00F17897">
      <w:pPr>
        <w:rPr>
          <w:rFonts w:ascii="Arial" w:hAnsi="Arial" w:cs="Arial"/>
          <w:b/>
          <w:color w:val="000000" w:themeColor="text1"/>
          <w:sz w:val="20"/>
          <w:szCs w:val="20"/>
          <w:u w:val="single"/>
        </w:rPr>
      </w:pPr>
      <w:r>
        <w:rPr>
          <w:rFonts w:ascii="Arial" w:hAnsi="Arial" w:cs="Arial"/>
          <w:b/>
          <w:color w:val="000000" w:themeColor="text1"/>
          <w:sz w:val="20"/>
          <w:szCs w:val="20"/>
          <w:u w:val="single"/>
        </w:rPr>
        <w:br w:type="page"/>
      </w:r>
    </w:p>
    <w:tbl>
      <w:tblPr>
        <w:tblStyle w:val="TableGrid"/>
        <w:tblpPr w:leftFromText="180" w:rightFromText="180" w:vertAnchor="page" w:horzAnchor="margin" w:tblpY="3751"/>
        <w:tblW w:w="13135" w:type="dxa"/>
        <w:shd w:val="clear" w:color="auto" w:fill="FFFFFF"/>
        <w:tblLayout w:type="fixed"/>
        <w:tblCellMar>
          <w:left w:w="115" w:type="dxa"/>
          <w:right w:w="115" w:type="dxa"/>
        </w:tblCellMar>
        <w:tblLook w:val="01E0" w:firstRow="1" w:lastRow="1" w:firstColumn="1" w:lastColumn="1" w:noHBand="0" w:noVBand="0"/>
      </w:tblPr>
      <w:tblGrid>
        <w:gridCol w:w="2589"/>
        <w:gridCol w:w="10546"/>
      </w:tblGrid>
      <w:tr w:rsidR="00C943D5" w:rsidTr="003D1829">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C943D5" w:rsidRDefault="00C943D5" w:rsidP="003D1829">
            <w:r>
              <w:t>Please respond to the following items regarding external program accreditation.</w:t>
            </w:r>
          </w:p>
          <w:p w:rsidR="00C943D5" w:rsidRDefault="00C943D5" w:rsidP="003D1829">
            <w:pPr>
              <w:pStyle w:val="ListParagraph"/>
              <w:ind w:left="0"/>
              <w:rPr>
                <w:rFonts w:ascii="Arial" w:hAnsi="Arial" w:cs="Arial"/>
                <w:color w:val="000000" w:themeColor="text1"/>
              </w:rPr>
            </w:pPr>
          </w:p>
        </w:tc>
      </w:tr>
      <w:tr w:rsidR="00C943D5" w:rsidTr="003D1829">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C943D5" w:rsidRDefault="00C943D5" w:rsidP="003D1829">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C943D5" w:rsidRDefault="00C943D5" w:rsidP="003D1829">
            <w:pPr>
              <w:pStyle w:val="ListParagraph"/>
              <w:ind w:left="0"/>
              <w:rPr>
                <w:rFonts w:ascii="Arial" w:hAnsi="Arial" w:cs="Arial"/>
                <w:color w:val="000000" w:themeColor="text1"/>
              </w:rPr>
            </w:pPr>
            <w:r>
              <w:rPr>
                <w:rFonts w:ascii="Arial" w:hAnsi="Arial" w:cs="Arial"/>
                <w:color w:val="000000" w:themeColor="text1"/>
              </w:rPr>
              <w:t>Date of most recent accreditation review:  ____</w:t>
            </w:r>
            <w:r w:rsidR="009A451E" w:rsidRPr="009A451E">
              <w:rPr>
                <w:rFonts w:ascii="Arial" w:hAnsi="Arial" w:cs="Arial"/>
                <w:color w:val="000000" w:themeColor="text1"/>
                <w:u w:val="single"/>
              </w:rPr>
              <w:t>2010</w:t>
            </w:r>
            <w:r w:rsidRPr="009A451E">
              <w:rPr>
                <w:rFonts w:ascii="Arial" w:hAnsi="Arial" w:cs="Arial"/>
                <w:color w:val="000000" w:themeColor="text1"/>
                <w:u w:val="single"/>
              </w:rPr>
              <w:t>_</w:t>
            </w:r>
            <w:r>
              <w:rPr>
                <w:rFonts w:ascii="Arial" w:hAnsi="Arial" w:cs="Arial"/>
                <w:color w:val="000000" w:themeColor="text1"/>
              </w:rPr>
              <w:t>________</w:t>
            </w:r>
          </w:p>
          <w:p w:rsidR="00C943D5" w:rsidRDefault="00C943D5" w:rsidP="003D1829">
            <w:pPr>
              <w:pStyle w:val="ListParagraph"/>
              <w:ind w:left="0"/>
              <w:rPr>
                <w:rFonts w:ascii="Arial" w:hAnsi="Arial" w:cs="Arial"/>
                <w:color w:val="000000" w:themeColor="text1"/>
              </w:rPr>
            </w:pPr>
          </w:p>
          <w:p w:rsidR="00C943D5" w:rsidRPr="00901FB3" w:rsidRDefault="00C943D5" w:rsidP="003D1829">
            <w:pPr>
              <w:pStyle w:val="ListParagraph"/>
              <w:ind w:left="0"/>
              <w:rPr>
                <w:rFonts w:ascii="Arial" w:hAnsi="Arial" w:cs="Arial"/>
                <w:b/>
                <w:color w:val="000000" w:themeColor="text1"/>
              </w:rPr>
            </w:pPr>
            <w:r w:rsidRPr="00901FB3">
              <w:rPr>
                <w:rFonts w:ascii="Arial" w:hAnsi="Arial" w:cs="Arial"/>
                <w:b/>
                <w:color w:val="000000" w:themeColor="text1"/>
              </w:rPr>
              <w:t>OR</w:t>
            </w:r>
          </w:p>
          <w:p w:rsidR="00C943D5" w:rsidRDefault="00C943D5" w:rsidP="003D1829">
            <w:pPr>
              <w:pStyle w:val="ListParagraph"/>
              <w:ind w:left="0"/>
              <w:rPr>
                <w:rFonts w:ascii="Arial" w:hAnsi="Arial" w:cs="Arial"/>
                <w:color w:val="000000" w:themeColor="text1"/>
              </w:rPr>
            </w:pPr>
          </w:p>
          <w:p w:rsidR="00C943D5" w:rsidRDefault="00C943D5" w:rsidP="003D1829">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1F6B43">
              <w:fldChar w:fldCharType="separate"/>
            </w:r>
            <w:r>
              <w:fldChar w:fldCharType="end"/>
            </w:r>
            <w:r>
              <w:t xml:space="preserve">   </w:t>
            </w:r>
            <w:r>
              <w:rPr>
                <w:rFonts w:ascii="Arial" w:hAnsi="Arial" w:cs="Arial"/>
                <w:color w:val="000000" w:themeColor="text1"/>
              </w:rPr>
              <w:t xml:space="preserve">Programs in this department do not have external accreditation </w:t>
            </w:r>
          </w:p>
          <w:p w:rsidR="00C943D5" w:rsidRDefault="00C943D5" w:rsidP="003D1829">
            <w:pPr>
              <w:rPr>
                <w:rFonts w:asciiTheme="minorHAnsi" w:hAnsiTheme="minorHAnsi" w:cs="Arial"/>
                <w:color w:val="000000" w:themeColor="text1"/>
                <w:sz w:val="20"/>
              </w:rPr>
            </w:pPr>
          </w:p>
        </w:tc>
      </w:tr>
      <w:tr w:rsidR="00C943D5" w:rsidTr="003D182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C943D5" w:rsidRDefault="00C943D5" w:rsidP="003D1829">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43D5" w:rsidRDefault="00C943D5" w:rsidP="003D1829">
            <w:pPr>
              <w:rPr>
                <w:rFonts w:asciiTheme="minorHAnsi" w:hAnsiTheme="minorHAnsi" w:cs="Arial"/>
                <w:color w:val="000000" w:themeColor="text1"/>
                <w:sz w:val="20"/>
              </w:rPr>
            </w:pPr>
          </w:p>
        </w:tc>
      </w:tr>
      <w:tr w:rsidR="00C943D5" w:rsidTr="003D182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C943D5" w:rsidRDefault="00C943D5" w:rsidP="003D1829">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43D5" w:rsidRDefault="00C943D5" w:rsidP="003D1829">
            <w:pPr>
              <w:rPr>
                <w:rFonts w:asciiTheme="minorHAnsi" w:hAnsiTheme="minorHAnsi" w:cs="Arial"/>
                <w:color w:val="000000" w:themeColor="text1"/>
                <w:sz w:val="20"/>
              </w:rPr>
            </w:pPr>
          </w:p>
        </w:tc>
      </w:tr>
    </w:tbl>
    <w:p w:rsidR="007A16D1" w:rsidRDefault="007A16D1" w:rsidP="00F17897">
      <w:pPr>
        <w:rPr>
          <w:rFonts w:ascii="Arial" w:hAnsi="Arial" w:cs="Arial"/>
          <w:b/>
          <w:color w:val="000000" w:themeColor="text1"/>
          <w:sz w:val="20"/>
          <w:szCs w:val="20"/>
          <w:u w:val="single"/>
        </w:rPr>
      </w:pPr>
    </w:p>
    <w:p w:rsidR="007A16D1" w:rsidRDefault="007A16D1" w:rsidP="00F17897">
      <w:pPr>
        <w:rPr>
          <w:rFonts w:ascii="Arial" w:hAnsi="Arial" w:cs="Arial"/>
          <w:b/>
          <w:color w:val="000000" w:themeColor="text1"/>
          <w:sz w:val="20"/>
          <w:szCs w:val="20"/>
          <w:u w:val="single"/>
        </w:rPr>
      </w:pPr>
    </w:p>
    <w:p w:rsidR="007A16D1" w:rsidRDefault="007A16D1" w:rsidP="00F17897">
      <w:pPr>
        <w:rPr>
          <w:rFonts w:ascii="Arial" w:hAnsi="Arial" w:cs="Arial"/>
          <w:b/>
          <w:color w:val="000000" w:themeColor="text1"/>
          <w:sz w:val="20"/>
          <w:szCs w:val="20"/>
          <w:u w:val="single"/>
        </w:rPr>
        <w:sectPr w:rsidR="007A16D1" w:rsidSect="00EF15CD">
          <w:pgSz w:w="15840" w:h="12240" w:orient="landscape"/>
          <w:pgMar w:top="1440" w:right="1152" w:bottom="1440" w:left="1152" w:header="720" w:footer="288" w:gutter="0"/>
          <w:cols w:space="720"/>
          <w:docGrid w:linePitch="360"/>
        </w:sectPr>
      </w:pPr>
    </w:p>
    <w:p w:rsidR="00FB66EE" w:rsidRDefault="00FB66EE" w:rsidP="00FB66EE">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FB66EE" w:rsidRDefault="00FB66EE" w:rsidP="00FB66EE">
      <w:pPr>
        <w:rPr>
          <w:rFonts w:ascii="Arial" w:hAnsi="Arial" w:cs="Arial"/>
          <w:color w:val="000000"/>
          <w:sz w:val="20"/>
          <w:szCs w:val="20"/>
        </w:rPr>
      </w:pPr>
    </w:p>
    <w:p w:rsidR="00FB66EE" w:rsidRDefault="00FB66EE" w:rsidP="00FB66EE">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FB66EE" w:rsidRDefault="00FB66EE" w:rsidP="00FB66EE">
      <w:pPr>
        <w:rPr>
          <w:rFonts w:ascii="Arial" w:hAnsi="Arial" w:cs="Arial"/>
          <w:color w:val="000000"/>
          <w:sz w:val="20"/>
          <w:szCs w:val="20"/>
        </w:rPr>
      </w:pPr>
    </w:p>
    <w:p w:rsidR="00FB66EE" w:rsidRDefault="00FB66EE" w:rsidP="00FB66EE">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FB66EE" w:rsidRDefault="00FB66EE" w:rsidP="00FB66EE">
      <w:pPr>
        <w:rPr>
          <w:rFonts w:ascii="Arial" w:hAnsi="Arial" w:cs="Arial"/>
          <w:b/>
          <w:color w:val="FF0000"/>
          <w:sz w:val="20"/>
          <w:szCs w:val="20"/>
        </w:rPr>
      </w:pPr>
    </w:p>
    <w:p w:rsidR="00FB66EE" w:rsidRDefault="00FB66EE" w:rsidP="00FB66E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FB66EE" w:rsidRDefault="00FB66EE" w:rsidP="00FB66E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FB66EE" w:rsidRDefault="00FB66EE" w:rsidP="00FB66EE">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FB66EE" w:rsidRDefault="00FB66EE" w:rsidP="00FB66EE">
      <w:pPr>
        <w:rPr>
          <w:rFonts w:ascii="Arial" w:hAnsi="Arial" w:cs="Arial"/>
          <w:b/>
          <w:color w:val="FF0000"/>
          <w:sz w:val="20"/>
          <w:szCs w:val="20"/>
        </w:rPr>
      </w:pPr>
    </w:p>
    <w:p w:rsidR="00FB66EE" w:rsidRDefault="00FB66EE" w:rsidP="00FB66EE">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FB66EE" w:rsidRDefault="00FB66EE" w:rsidP="00FB66EE">
      <w:pPr>
        <w:rPr>
          <w:rFonts w:ascii="Arial" w:hAnsi="Arial" w:cs="Arial"/>
          <w:b/>
          <w:color w:val="FF0000"/>
          <w:sz w:val="20"/>
          <w:szCs w:val="20"/>
        </w:rPr>
      </w:pPr>
    </w:p>
    <w:p w:rsidR="00FB66EE" w:rsidRDefault="00FB66EE" w:rsidP="00FB66EE">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FB66EE" w:rsidRDefault="00FB66EE" w:rsidP="00FB66EE">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FB66EE" w:rsidTr="00FB66EE">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6EE" w:rsidRDefault="00FB66EE">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FB66EE">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FB66EE" w:rsidRDefault="00FB66EE">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FB66EE" w:rsidRDefault="00FB66EE">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FB66EE" w:rsidRDefault="00FB66EE">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FB66EE" w:rsidTr="00FB66EE">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6EE" w:rsidRDefault="00FB66EE">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FB66EE" w:rsidRDefault="00FB66E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0B6748">
            <w:pPr>
              <w:spacing w:line="256" w:lineRule="auto"/>
              <w:ind w:left="72"/>
              <w:rPr>
                <w:rFonts w:ascii="Calibri" w:hAnsi="Calibri" w:cs="Arial"/>
                <w:color w:val="000000"/>
              </w:rPr>
            </w:pPr>
            <w:r>
              <w:rPr>
                <w:rFonts w:ascii="Calibri" w:hAnsi="Calibri" w:cs="Arial"/>
                <w:color w:val="000000"/>
              </w:rPr>
              <w:t>OPT 2278</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FB66EE">
            <w:pPr>
              <w:spacing w:line="256" w:lineRule="auto"/>
              <w:ind w:left="72"/>
              <w:rPr>
                <w:rFonts w:ascii="Calibri" w:hAnsi="Calibri" w:cs="Arial"/>
                <w:color w:val="000000"/>
              </w:rPr>
            </w:pPr>
          </w:p>
        </w:tc>
      </w:tr>
      <w:tr w:rsidR="00FB66EE" w:rsidTr="00FB66E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6EE" w:rsidRDefault="00FB66EE">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FB66EE" w:rsidRDefault="00FB66E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0B6748">
            <w:pPr>
              <w:spacing w:line="256" w:lineRule="auto"/>
              <w:ind w:left="72"/>
              <w:rPr>
                <w:rFonts w:ascii="Calibri" w:hAnsi="Calibri" w:cs="Arial"/>
                <w:color w:val="000000"/>
              </w:rPr>
            </w:pPr>
            <w:r>
              <w:rPr>
                <w:rFonts w:ascii="Calibri" w:hAnsi="Calibri" w:cs="Arial"/>
                <w:color w:val="000000"/>
              </w:rPr>
              <w:t>OPT 2278</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FB66EE">
            <w:pPr>
              <w:spacing w:line="256" w:lineRule="auto"/>
              <w:ind w:left="72"/>
              <w:rPr>
                <w:rFonts w:ascii="Calibri" w:hAnsi="Calibri" w:cs="Arial"/>
                <w:color w:val="000000"/>
              </w:rPr>
            </w:pPr>
          </w:p>
        </w:tc>
      </w:tr>
      <w:tr w:rsidR="00FB66EE" w:rsidTr="00FB66E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B66EE" w:rsidRDefault="00FB66EE">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FB66EE" w:rsidRDefault="00FB66E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FB66EE" w:rsidRDefault="00FB66E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0B6748">
            <w:pPr>
              <w:spacing w:line="256" w:lineRule="auto"/>
              <w:ind w:left="72"/>
              <w:rPr>
                <w:rFonts w:ascii="Calibri" w:hAnsi="Calibri" w:cs="Arial"/>
                <w:color w:val="000000"/>
              </w:rPr>
            </w:pPr>
            <w:r>
              <w:rPr>
                <w:rFonts w:ascii="Calibri" w:hAnsi="Calibri" w:cs="Arial"/>
                <w:color w:val="000000"/>
              </w:rPr>
              <w:t>OPT 2207</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FB66EE" w:rsidRDefault="00FB66EE">
            <w:pPr>
              <w:spacing w:line="256" w:lineRule="auto"/>
              <w:ind w:left="72"/>
              <w:rPr>
                <w:rFonts w:ascii="Calibri" w:hAnsi="Calibri" w:cs="Arial"/>
                <w:color w:val="000000"/>
              </w:rPr>
            </w:pPr>
          </w:p>
        </w:tc>
      </w:tr>
      <w:tr w:rsidR="00FB66EE" w:rsidTr="00FB66E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6EE" w:rsidRDefault="00FB66EE">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FB66EE" w:rsidRDefault="00FB66EE">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FB66EE" w:rsidRDefault="00FB66EE">
            <w:pPr>
              <w:spacing w:line="256" w:lineRule="auto"/>
              <w:ind w:left="72"/>
              <w:rPr>
                <w:rFonts w:ascii="Calibri" w:hAnsi="Calibri" w:cs="Arial"/>
                <w:color w:val="FFFFFF"/>
              </w:rPr>
            </w:pPr>
          </w:p>
        </w:tc>
      </w:tr>
      <w:tr w:rsidR="00FB66EE" w:rsidTr="00FB66E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6EE" w:rsidRDefault="00FB66EE">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FB66EE" w:rsidRDefault="00FB66E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FB66EE" w:rsidRDefault="00FB66EE">
            <w:pPr>
              <w:spacing w:line="256" w:lineRule="auto"/>
              <w:ind w:left="72"/>
              <w:rPr>
                <w:rFonts w:ascii="Calibri" w:hAnsi="Calibri" w:cs="Arial"/>
                <w:color w:val="FFFFFF"/>
              </w:rPr>
            </w:pPr>
          </w:p>
        </w:tc>
      </w:tr>
      <w:tr w:rsidR="00FB66EE" w:rsidTr="00FB66E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B66EE" w:rsidRDefault="00FB66EE">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FB66EE" w:rsidRDefault="00FB66E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FB66EE" w:rsidRDefault="00FB66EE">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FB66EE" w:rsidRDefault="00FB66EE">
            <w:pPr>
              <w:spacing w:line="256" w:lineRule="auto"/>
              <w:ind w:left="72"/>
              <w:rPr>
                <w:rFonts w:ascii="Calibri" w:hAnsi="Calibri" w:cs="Arial"/>
                <w:color w:val="FFFFFF"/>
              </w:rPr>
            </w:pPr>
          </w:p>
        </w:tc>
      </w:tr>
      <w:tr w:rsidR="00FB66EE" w:rsidTr="003D7AD4">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FB66EE" w:rsidRDefault="00FB66EE">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b/>
                <w:color w:val="000000"/>
              </w:rPr>
            </w:pPr>
            <w:r>
              <w:rPr>
                <w:rFonts w:ascii="Calibri" w:hAnsi="Calibri" w:cs="Arial"/>
                <w:b/>
                <w:color w:val="000000"/>
              </w:rPr>
              <w:t>OPTIONAL FOR FY 2014-15</w:t>
            </w: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tc>
      </w:tr>
      <w:tr w:rsidR="00FB66EE" w:rsidTr="003D7AD4">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FB66EE" w:rsidRDefault="00FB66EE">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FB66EE" w:rsidRDefault="00FB66EE">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b/>
                <w:color w:val="000000"/>
              </w:rPr>
            </w:pPr>
            <w:r>
              <w:rPr>
                <w:rFonts w:ascii="Calibri" w:hAnsi="Calibri" w:cs="Arial"/>
                <w:b/>
                <w:color w:val="000000"/>
              </w:rPr>
              <w:t>OPTIONAL FOR FY 2014-15</w:t>
            </w: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p w:rsidR="00FB66EE" w:rsidRDefault="00FB66EE">
            <w:pPr>
              <w:spacing w:line="256" w:lineRule="auto"/>
              <w:ind w:left="72"/>
              <w:rPr>
                <w:rFonts w:ascii="Calibri" w:hAnsi="Calibri" w:cs="Arial"/>
                <w:color w:val="000000"/>
              </w:rPr>
            </w:pPr>
          </w:p>
        </w:tc>
      </w:tr>
    </w:tbl>
    <w:p w:rsidR="00FB66EE" w:rsidRDefault="00FB66EE" w:rsidP="00FB66EE"/>
    <w:p w:rsidR="00FB66EE" w:rsidRDefault="00FB66EE" w:rsidP="00FB66EE"/>
    <w:p w:rsidR="00FB66EE" w:rsidRDefault="00FB66EE" w:rsidP="00FB66EE">
      <w:pPr>
        <w:ind w:left="900"/>
        <w:rPr>
          <w:rFonts w:ascii="Arial" w:hAnsi="Arial" w:cs="Arial"/>
          <w:b/>
          <w:color w:val="000000"/>
          <w:u w:val="single"/>
        </w:rPr>
      </w:pPr>
    </w:p>
    <w:p w:rsidR="00FB66EE" w:rsidRDefault="00FB66EE" w:rsidP="00FB66EE">
      <w:pPr>
        <w:rPr>
          <w:rFonts w:ascii="Arial" w:hAnsi="Arial" w:cs="Arial"/>
          <w:b/>
          <w:color w:val="000000"/>
          <w:u w:val="single"/>
        </w:rPr>
        <w:sectPr w:rsidR="00FB66EE">
          <w:pgSz w:w="15840" w:h="12240" w:orient="landscape"/>
          <w:pgMar w:top="1440" w:right="1152" w:bottom="1440" w:left="1152" w:header="720" w:footer="288" w:gutter="0"/>
          <w:cols w:space="720"/>
        </w:sectPr>
      </w:pPr>
    </w:p>
    <w:p w:rsidR="00F17897" w:rsidRDefault="00F17897"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A36BF7">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803E2" w:rsidRPr="009803E2" w:rsidTr="00A36BF7">
        <w:trPr>
          <w:trHeight w:val="274"/>
        </w:trPr>
        <w:tc>
          <w:tcPr>
            <w:tcW w:w="3708" w:type="dxa"/>
            <w:shd w:val="clear" w:color="auto" w:fill="FFFFFF"/>
            <w:vAlign w:val="center"/>
          </w:tcPr>
          <w:p w:rsidR="00A36BF7" w:rsidRPr="00C537EE" w:rsidRDefault="00A36BF7" w:rsidP="003534C4">
            <w:pPr>
              <w:rPr>
                <w:rFonts w:ascii="Verdana" w:hAnsi="Verdana"/>
                <w:color w:val="333333"/>
                <w:sz w:val="20"/>
                <w:szCs w:val="20"/>
              </w:rPr>
            </w:pPr>
            <w:r w:rsidRPr="00AE5033">
              <w:rPr>
                <w:rFonts w:ascii="Verdana" w:hAnsi="Verdana"/>
                <w:color w:val="333333"/>
                <w:sz w:val="20"/>
                <w:szCs w:val="20"/>
              </w:rPr>
              <w:t>Demonstrate appropriate technical communication skills (written, verbal and drawing</w:t>
            </w:r>
            <w:r>
              <w:rPr>
                <w:rFonts w:ascii="Verdana" w:hAnsi="Verdana"/>
                <w:color w:val="333333"/>
                <w:sz w:val="20"/>
                <w:szCs w:val="20"/>
              </w:rPr>
              <w:t>).</w:t>
            </w:r>
          </w:p>
          <w:p w:rsidR="00A36BF7" w:rsidRPr="00C537EE" w:rsidRDefault="00A36BF7" w:rsidP="003534C4">
            <w:pPr>
              <w:rPr>
                <w:rFonts w:ascii="Verdana" w:hAnsi="Verdana"/>
                <w:sz w:val="20"/>
                <w:szCs w:val="20"/>
              </w:rPr>
            </w:pP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1126,2216,2780, ENG 1101, MET 1221</w:t>
            </w:r>
          </w:p>
        </w:tc>
        <w:tc>
          <w:tcPr>
            <w:tcW w:w="1430" w:type="dxa"/>
            <w:shd w:val="clear" w:color="auto" w:fill="auto"/>
          </w:tcPr>
          <w:p w:rsidR="00A36BF7" w:rsidRPr="004C52FC" w:rsidRDefault="00892A72" w:rsidP="003534C4">
            <w:pPr>
              <w:rPr>
                <w:rFonts w:asciiTheme="minorHAnsi" w:hAnsiTheme="minorHAnsi" w:cs="Arial"/>
                <w:color w:val="000000" w:themeColor="text1"/>
              </w:rPr>
            </w:pPr>
            <w:r>
              <w:t>2012-13</w:t>
            </w:r>
          </w:p>
        </w:tc>
        <w:tc>
          <w:tcPr>
            <w:tcW w:w="2250" w:type="dxa"/>
          </w:tcPr>
          <w:p w:rsidR="00162764" w:rsidRDefault="00162764" w:rsidP="00162764">
            <w:pPr>
              <w:spacing w:after="200" w:line="276" w:lineRule="auto"/>
              <w:rPr>
                <w:rFonts w:ascii="Arial" w:hAnsi="Arial" w:cs="Arial"/>
                <w:b/>
                <w:color w:val="000000" w:themeColor="text1"/>
              </w:rPr>
            </w:pPr>
          </w:p>
          <w:p w:rsidR="009803E2" w:rsidRPr="00CC212B" w:rsidRDefault="009803E2" w:rsidP="009803E2">
            <w:r w:rsidRPr="00CC212B">
              <w:t>Written Survey – Using the OPT 2278 Capstone Reflection Survey, at least 80% of students rated question #3 as a 3 or 4</w:t>
            </w:r>
          </w:p>
          <w:p w:rsidR="009803E2" w:rsidRPr="00CC212B" w:rsidRDefault="009803E2" w:rsidP="009803E2"/>
          <w:p w:rsidR="009803E2" w:rsidRPr="00CC212B" w:rsidRDefault="009803E2" w:rsidP="009803E2">
            <w:r w:rsidRPr="00CC212B">
              <w:t>External Examiner – Using the OPT 2278 Employer Assessment of Capstone Student Performance, at least 80% of the students met or exceeded requirements on items 14-17.</w:t>
            </w:r>
          </w:p>
          <w:p w:rsidR="009803E2" w:rsidRPr="00CC212B" w:rsidRDefault="009803E2" w:rsidP="009803E2"/>
          <w:p w:rsidR="009803E2" w:rsidRPr="00CC212B" w:rsidRDefault="009803E2" w:rsidP="009803E2">
            <w:r w:rsidRPr="00CC212B">
              <w:t xml:space="preserve">Locally Developed Exams – Using the OPT 1126 Mid-Term Exam, at least 80% of the students scored 80% or better on the questions related to technical communications: #’s 13-20. </w:t>
            </w:r>
          </w:p>
          <w:p w:rsidR="009803E2" w:rsidRPr="00CC212B" w:rsidRDefault="009803E2" w:rsidP="009803E2"/>
          <w:p w:rsidR="009803E2" w:rsidRPr="00CC212B" w:rsidRDefault="009803E2" w:rsidP="009803E2">
            <w:r w:rsidRPr="00CC212B">
              <w:t>Portfolio/Project Appraisal – Using the OPT 2278 Project Rubric, at least 80% of teams scored a 4 or5 on items A, B, C, D, E, F, G</w:t>
            </w:r>
          </w:p>
          <w:p w:rsidR="009803E2" w:rsidRPr="00CC212B" w:rsidRDefault="009803E2" w:rsidP="009803E2"/>
          <w:p w:rsidR="009803E2" w:rsidRPr="00CC212B" w:rsidRDefault="009803E2" w:rsidP="009803E2">
            <w:r w:rsidRPr="00CC212B">
              <w:t>Portfolio/Project Appraisal – Using the OPT 1126 Project Rubric, at least 80% of teams scored a 4 or 5 on items A, B, C, D, E, F, G</w:t>
            </w:r>
          </w:p>
          <w:p w:rsidR="009803E2" w:rsidRPr="00CC212B" w:rsidRDefault="009803E2" w:rsidP="009803E2"/>
          <w:p w:rsidR="00A36BF7" w:rsidRDefault="009803E2" w:rsidP="009803E2">
            <w:pPr>
              <w:ind w:left="72"/>
            </w:pPr>
            <w:r w:rsidRPr="00CC212B">
              <w:t>Portfolio/Project Appraisal – Using the OPT 2216 Project Rubric, at least 80% of teams scored a 4 or 5 on items A, B, C, D, E, F, G</w:t>
            </w:r>
          </w:p>
        </w:tc>
        <w:tc>
          <w:tcPr>
            <w:tcW w:w="4028" w:type="dxa"/>
          </w:tcPr>
          <w:p w:rsidR="00162764" w:rsidRPr="009803E2" w:rsidRDefault="00162764" w:rsidP="00162764">
            <w:pPr>
              <w:spacing w:after="200" w:line="276" w:lineRule="auto"/>
              <w:rPr>
                <w:rFonts w:ascii="Arial" w:hAnsi="Arial" w:cs="Arial"/>
              </w:rPr>
            </w:pPr>
          </w:p>
          <w:p w:rsidR="00A36BF7" w:rsidRPr="005F7BC1" w:rsidRDefault="00291E85" w:rsidP="006F62EF">
            <w:pPr>
              <w:rPr>
                <w:rFonts w:ascii="Arial" w:hAnsi="Arial" w:cs="Arial"/>
              </w:rPr>
            </w:pPr>
            <w:r w:rsidRPr="009803E2">
              <w:rPr>
                <w:rFonts w:ascii="Arial" w:hAnsi="Arial" w:cs="Arial"/>
              </w:rPr>
              <w:t xml:space="preserve">We have seen that roughly 70% of our students receive a “C” or equivalent in these areas in OPT classes. </w:t>
            </w:r>
            <w:r w:rsidR="00985A36" w:rsidRPr="005F7BC1">
              <w:rPr>
                <w:rFonts w:ascii="Arial" w:hAnsi="Arial" w:cs="Arial"/>
              </w:rPr>
              <w:t xml:space="preserve">In the OPT 1126 Test 1 for Fall 2013, 89% of the communications questions were answered correctly.  In the OPT 2278 Capstone Employer Assessment, employers indicated that 100% of the students in SP 2013 met or exceeded requirements in questions regarding communication skills (questions 14, 15, 16 and 17). </w:t>
            </w:r>
            <w:r w:rsidR="006F62EF" w:rsidRPr="005F7BC1">
              <w:rPr>
                <w:rFonts w:ascii="Arial" w:hAnsi="Arial" w:cs="Arial"/>
              </w:rPr>
              <w:t>The Capstone rubric mirrors the employers input in that 100% of the teams scored 4 or higher on items A,B,C,D,E,F,G.</w:t>
            </w:r>
          </w:p>
          <w:p w:rsidR="006F62EF" w:rsidRPr="005F7BC1" w:rsidRDefault="006F62EF" w:rsidP="006F62EF">
            <w:pPr>
              <w:rPr>
                <w:rFonts w:ascii="Arial" w:hAnsi="Arial" w:cs="Arial"/>
              </w:rPr>
            </w:pPr>
            <w:r w:rsidRPr="005F7BC1">
              <w:rPr>
                <w:rFonts w:ascii="Arial" w:hAnsi="Arial" w:cs="Arial"/>
              </w:rPr>
              <w:t>In the 1126 project 100% of the teams did the same on their project rubric.</w:t>
            </w:r>
          </w:p>
          <w:p w:rsidR="006F62EF" w:rsidRPr="005F7BC1" w:rsidRDefault="006F62EF" w:rsidP="006F62EF">
            <w:pPr>
              <w:rPr>
                <w:rFonts w:ascii="Arial" w:hAnsi="Arial" w:cs="Arial"/>
              </w:rPr>
            </w:pPr>
            <w:r w:rsidRPr="005F7BC1">
              <w:rPr>
                <w:rFonts w:ascii="Arial" w:hAnsi="Arial" w:cs="Arial"/>
              </w:rPr>
              <w:t>There was no data for 2216.</w:t>
            </w:r>
          </w:p>
          <w:p w:rsidR="006F62EF" w:rsidRPr="009803E2" w:rsidRDefault="006F62EF" w:rsidP="006F62EF">
            <w:r w:rsidRPr="005F7BC1">
              <w:rPr>
                <w:rFonts w:ascii="Arial" w:hAnsi="Arial" w:cs="Arial"/>
              </w:rPr>
              <w:t>It is harder to assess what they have done specifically in other classes outside of OPT. This is something we plan on addressing this year as a department</w:t>
            </w:r>
            <w:r w:rsidRPr="009803E2">
              <w:rPr>
                <w:rFonts w:ascii="Arial" w:hAnsi="Arial" w:cs="Arial"/>
              </w:rPr>
              <w:t>.</w:t>
            </w:r>
          </w:p>
        </w:tc>
      </w:tr>
      <w:tr w:rsidR="00A36BF7" w:rsidRPr="004C52FC" w:rsidTr="00A36BF7">
        <w:trPr>
          <w:trHeight w:val="72"/>
        </w:trPr>
        <w:tc>
          <w:tcPr>
            <w:tcW w:w="3708" w:type="dxa"/>
            <w:shd w:val="clear" w:color="auto" w:fill="FFFFFF"/>
            <w:vAlign w:val="center"/>
          </w:tcPr>
          <w:p w:rsidR="00A36BF7" w:rsidRPr="00C537EE" w:rsidRDefault="00A36BF7" w:rsidP="003534C4">
            <w:pPr>
              <w:rPr>
                <w:rFonts w:ascii="Verdana" w:hAnsi="Verdana"/>
                <w:sz w:val="20"/>
                <w:szCs w:val="20"/>
              </w:rPr>
            </w:pPr>
            <w:r w:rsidRPr="00C537EE">
              <w:rPr>
                <w:rFonts w:ascii="Verdana" w:hAnsi="Verdana"/>
                <w:color w:val="333333"/>
                <w:sz w:val="20"/>
                <w:szCs w:val="20"/>
              </w:rPr>
              <w:t>Use continuous improvement techniques to reduce operational waste, improve cost efficiency and increase system productivity.</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1101,1130,2207,2240,2780</w:t>
            </w:r>
          </w:p>
        </w:tc>
        <w:tc>
          <w:tcPr>
            <w:tcW w:w="1430" w:type="dxa"/>
            <w:shd w:val="clear" w:color="auto" w:fill="auto"/>
          </w:tcPr>
          <w:p w:rsidR="00A36BF7" w:rsidRPr="004C52FC" w:rsidRDefault="00892A72" w:rsidP="003534C4">
            <w:pPr>
              <w:rPr>
                <w:rFonts w:asciiTheme="minorHAnsi" w:hAnsiTheme="minorHAnsi" w:cs="Arial"/>
                <w:color w:val="000000" w:themeColor="text1"/>
              </w:rPr>
            </w:pPr>
            <w:r>
              <w:t>2012-13</w:t>
            </w:r>
          </w:p>
        </w:tc>
        <w:tc>
          <w:tcPr>
            <w:tcW w:w="2250" w:type="dxa"/>
          </w:tcPr>
          <w:p w:rsidR="00162764" w:rsidRDefault="00162764" w:rsidP="00162764">
            <w:pPr>
              <w:spacing w:after="200" w:line="276" w:lineRule="auto"/>
              <w:rPr>
                <w:rFonts w:ascii="Arial" w:hAnsi="Arial" w:cs="Arial"/>
                <w:b/>
                <w:color w:val="000000" w:themeColor="text1"/>
              </w:rPr>
            </w:pPr>
          </w:p>
          <w:p w:rsidR="009803E2" w:rsidRPr="00CC212B" w:rsidRDefault="009803E2" w:rsidP="009803E2">
            <w:r w:rsidRPr="00CC212B">
              <w:t>Written Survey – Using the OPT 2278 Capstone Reflection Survey, at least 80% of students rated questions #</w:t>
            </w:r>
            <w:r w:rsidR="003723B7" w:rsidRPr="005F7BC1">
              <w:t>2</w:t>
            </w:r>
            <w:r w:rsidRPr="005F7BC1">
              <w:t xml:space="preserve"> and </w:t>
            </w:r>
            <w:r w:rsidR="003723B7" w:rsidRPr="005F7BC1">
              <w:t>4</w:t>
            </w:r>
            <w:r w:rsidRPr="005F7BC1">
              <w:t xml:space="preserve"> </w:t>
            </w:r>
            <w:r w:rsidRPr="00CC212B">
              <w:t>as a 3 or 4</w:t>
            </w:r>
          </w:p>
          <w:p w:rsidR="009803E2" w:rsidRPr="00CC212B" w:rsidRDefault="009803E2" w:rsidP="009803E2"/>
          <w:p w:rsidR="009803E2" w:rsidRPr="00CC212B" w:rsidRDefault="009803E2" w:rsidP="009803E2">
            <w:r w:rsidRPr="00CC212B">
              <w:t xml:space="preserve">Archival Records – At least 80% of OPT 240 students earned their Six Sigma Green Belt Certificate upon completion of the course </w:t>
            </w:r>
          </w:p>
          <w:p w:rsidR="009803E2" w:rsidRPr="00CC212B" w:rsidRDefault="009803E2" w:rsidP="009803E2"/>
          <w:p w:rsidR="009803E2" w:rsidRPr="00CC212B" w:rsidRDefault="009803E2" w:rsidP="009803E2">
            <w:r w:rsidRPr="00CC212B">
              <w:t>Portfolio/Project Appraisal – Using the OPT 2</w:t>
            </w:r>
            <w:r w:rsidR="00FC1459">
              <w:t>780</w:t>
            </w:r>
            <w:r w:rsidRPr="00CC212B">
              <w:t xml:space="preserve"> Project Rubric, at least 80% of teams scored a 4 or 5 on items C and G  </w:t>
            </w:r>
          </w:p>
          <w:p w:rsidR="009803E2" w:rsidRPr="00CC212B" w:rsidRDefault="009803E2" w:rsidP="009803E2"/>
          <w:p w:rsidR="009803E2" w:rsidRPr="00CC212B" w:rsidRDefault="009803E2" w:rsidP="009803E2">
            <w:r w:rsidRPr="00CC212B">
              <w:t xml:space="preserve">Portfolio/Project Appraisal – Using the OPT 1130 Project Rubric, at least 80% of teams scored a 4 or 5 on items C and G  </w:t>
            </w:r>
          </w:p>
          <w:p w:rsidR="00A36BF7" w:rsidRDefault="00A36BF7" w:rsidP="009803E2">
            <w:pPr>
              <w:ind w:left="72"/>
            </w:pPr>
          </w:p>
        </w:tc>
        <w:tc>
          <w:tcPr>
            <w:tcW w:w="4028" w:type="dxa"/>
          </w:tcPr>
          <w:p w:rsidR="00162764" w:rsidRPr="00291E85" w:rsidRDefault="00162764" w:rsidP="00162764">
            <w:pPr>
              <w:spacing w:after="200" w:line="276" w:lineRule="auto"/>
              <w:rPr>
                <w:rFonts w:ascii="Arial" w:hAnsi="Arial" w:cs="Arial"/>
                <w:color w:val="000000" w:themeColor="text1"/>
              </w:rPr>
            </w:pPr>
          </w:p>
          <w:p w:rsidR="006F62EF" w:rsidRPr="005F7BC1" w:rsidRDefault="006F62EF" w:rsidP="00244B01">
            <w:pPr>
              <w:rPr>
                <w:rFonts w:ascii="Arial" w:hAnsi="Arial" w:cs="Arial"/>
              </w:rPr>
            </w:pPr>
            <w:r>
              <w:rPr>
                <w:rFonts w:ascii="Arial" w:hAnsi="Arial" w:cs="Arial"/>
                <w:color w:val="000000" w:themeColor="text1"/>
              </w:rPr>
              <w:t>This</w:t>
            </w:r>
            <w:r w:rsidR="00291E85" w:rsidRPr="00291E85">
              <w:rPr>
                <w:rFonts w:ascii="Arial" w:hAnsi="Arial" w:cs="Arial"/>
                <w:color w:val="000000" w:themeColor="text1"/>
              </w:rPr>
              <w:t xml:space="preserve"> outcome for these classes mimic what we have seen</w:t>
            </w:r>
            <w:r>
              <w:rPr>
                <w:rFonts w:ascii="Arial" w:hAnsi="Arial" w:cs="Arial"/>
                <w:color w:val="000000" w:themeColor="text1"/>
              </w:rPr>
              <w:t xml:space="preserve"> above.</w:t>
            </w:r>
            <w:r w:rsidR="00291E85" w:rsidRPr="00291E85">
              <w:rPr>
                <w:rFonts w:ascii="Arial" w:hAnsi="Arial" w:cs="Arial"/>
                <w:color w:val="000000" w:themeColor="text1"/>
              </w:rPr>
              <w:t xml:space="preserve"> Results in these classes in this area exceed 80% </w:t>
            </w:r>
            <w:r w:rsidR="00244B01" w:rsidRPr="005F7BC1">
              <w:rPr>
                <w:rFonts w:ascii="Arial" w:hAnsi="Arial" w:cs="Arial"/>
              </w:rPr>
              <w:t>The OPT 2278 Capstone Reflection Survey showed that 100% of the responses showed that students rated competent or highly competent in the areas of continuous imp</w:t>
            </w:r>
            <w:r w:rsidRPr="005F7BC1">
              <w:rPr>
                <w:rFonts w:ascii="Arial" w:hAnsi="Arial" w:cs="Arial"/>
              </w:rPr>
              <w:t>rovement (#2), and quality (#4) and more than 80% on the other areas.</w:t>
            </w:r>
          </w:p>
          <w:p w:rsidR="006F62EF" w:rsidRPr="005F7BC1" w:rsidRDefault="006F62EF" w:rsidP="00244B01">
            <w:pPr>
              <w:rPr>
                <w:rFonts w:ascii="Arial" w:hAnsi="Arial" w:cs="Arial"/>
              </w:rPr>
            </w:pPr>
            <w:r w:rsidRPr="005F7BC1">
              <w:rPr>
                <w:rFonts w:ascii="Arial" w:hAnsi="Arial" w:cs="Arial"/>
              </w:rPr>
              <w:t>For the Six Sigma Greenbelt course, 88% of students received their certificate.</w:t>
            </w:r>
          </w:p>
          <w:p w:rsidR="00A36BF7" w:rsidRPr="00291E85" w:rsidRDefault="006F62EF" w:rsidP="00244B01">
            <w:r w:rsidRPr="005F7BC1">
              <w:rPr>
                <w:rFonts w:ascii="Arial" w:hAnsi="Arial" w:cs="Arial"/>
              </w:rPr>
              <w:t>The rubrics for the Capstone , OPT 2780</w:t>
            </w:r>
            <w:r w:rsidR="00244B01" w:rsidRPr="005F7BC1">
              <w:rPr>
                <w:rFonts w:ascii="Arial" w:hAnsi="Arial" w:cs="Arial"/>
              </w:rPr>
              <w:t xml:space="preserve">  </w:t>
            </w:r>
            <w:r w:rsidRPr="005F7BC1">
              <w:rPr>
                <w:rFonts w:ascii="Arial" w:hAnsi="Arial" w:cs="Arial"/>
              </w:rPr>
              <w:t>had all the teams (100%) score 4 or higher on the rubric. The same was true for OPT 1130.</w:t>
            </w:r>
            <w:r w:rsidR="004A0164" w:rsidRPr="005F7BC1">
              <w:rPr>
                <w:rFonts w:ascii="Arial" w:hAnsi="Arial" w:cs="Arial"/>
              </w:rPr>
              <w:t xml:space="preserve"> It is true</w:t>
            </w:r>
            <w:r w:rsidRPr="005F7BC1">
              <w:rPr>
                <w:rFonts w:ascii="Arial" w:hAnsi="Arial" w:cs="Arial"/>
              </w:rPr>
              <w:t xml:space="preserve"> there was limited data, but there were also no red flags. We will continue to monitor.</w:t>
            </w:r>
          </w:p>
        </w:tc>
      </w:tr>
      <w:tr w:rsidR="00A36BF7" w:rsidRPr="004C52FC" w:rsidTr="00A36BF7">
        <w:trPr>
          <w:trHeight w:val="72"/>
        </w:trPr>
        <w:tc>
          <w:tcPr>
            <w:tcW w:w="3708" w:type="dxa"/>
            <w:shd w:val="clear" w:color="auto" w:fill="FFFFFF"/>
            <w:vAlign w:val="center"/>
          </w:tcPr>
          <w:p w:rsidR="00A36BF7" w:rsidRPr="00C537EE" w:rsidRDefault="00A36BF7" w:rsidP="003534C4">
            <w:pPr>
              <w:rPr>
                <w:rFonts w:ascii="Verdana" w:hAnsi="Verdana"/>
                <w:sz w:val="20"/>
                <w:szCs w:val="20"/>
              </w:rPr>
            </w:pPr>
            <w:r w:rsidRPr="00C537EE">
              <w:rPr>
                <w:rFonts w:ascii="Verdana" w:hAnsi="Verdana"/>
                <w:color w:val="333333"/>
                <w:sz w:val="20"/>
                <w:szCs w:val="20"/>
              </w:rPr>
              <w:t>Document, monitor, evaluate and improve product and process quality through the use of a variety of quality tools and techniques.</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1100,1101,1112,1113,1125,2201,2240,2780</w:t>
            </w:r>
          </w:p>
        </w:tc>
        <w:tc>
          <w:tcPr>
            <w:tcW w:w="1430" w:type="dxa"/>
            <w:shd w:val="clear" w:color="auto" w:fill="auto"/>
          </w:tcPr>
          <w:p w:rsidR="00A36BF7" w:rsidRPr="004C52FC" w:rsidRDefault="000B6748" w:rsidP="003534C4">
            <w:pPr>
              <w:rPr>
                <w:rFonts w:asciiTheme="minorHAnsi" w:hAnsiTheme="minorHAnsi" w:cs="Arial"/>
                <w:color w:val="000000" w:themeColor="text1"/>
              </w:rPr>
            </w:pPr>
            <w:r>
              <w:rPr>
                <w:rFonts w:ascii="Arial" w:hAnsi="Arial" w:cs="Arial"/>
                <w:color w:val="000000" w:themeColor="text1"/>
              </w:rPr>
              <w:t>2013-</w:t>
            </w:r>
            <w:r w:rsidR="00892A72">
              <w:rPr>
                <w:rFonts w:ascii="Arial" w:hAnsi="Arial" w:cs="Arial"/>
                <w:color w:val="000000" w:themeColor="text1"/>
              </w:rPr>
              <w:t>2014</w:t>
            </w:r>
          </w:p>
        </w:tc>
        <w:tc>
          <w:tcPr>
            <w:tcW w:w="2250" w:type="dxa"/>
          </w:tcPr>
          <w:p w:rsidR="00FC1459" w:rsidRDefault="00A70731" w:rsidP="00A70731">
            <w:r w:rsidRPr="00CC212B">
              <w:t>Written Survey – Using the OPT 2</w:t>
            </w:r>
            <w:r w:rsidR="00FC1459">
              <w:t>780</w:t>
            </w:r>
          </w:p>
          <w:p w:rsidR="00A70731" w:rsidRPr="00CC212B" w:rsidRDefault="00A70731" w:rsidP="00A70731">
            <w:r w:rsidRPr="00CC212B">
              <w:t xml:space="preserve"> Capstone Reflection Survey, at least 80% of students rated question #4 as a 3 or 4</w:t>
            </w:r>
          </w:p>
          <w:p w:rsidR="00A70731" w:rsidRPr="00CC212B" w:rsidRDefault="00A70731" w:rsidP="00A70731"/>
          <w:p w:rsidR="00A70731" w:rsidRPr="00CC212B" w:rsidRDefault="00A70731" w:rsidP="00A70731">
            <w:r w:rsidRPr="00CC212B">
              <w:t xml:space="preserve">Archival Records – At least 80% of OPT 2240 students earned their Six Sigma Green Belt Certificate upon completion of the course </w:t>
            </w:r>
          </w:p>
          <w:p w:rsidR="00A70731" w:rsidRPr="00CC212B" w:rsidRDefault="00A70731" w:rsidP="00A70731"/>
          <w:p w:rsidR="00A70731" w:rsidRPr="00CC212B" w:rsidRDefault="00A70731" w:rsidP="00A70731">
            <w:r w:rsidRPr="00CC212B">
              <w:t>Locally Developed Exams – Using the OPT 1125 Final Exam, at least 80% of the students scored 80% or better on the questions related to Quality: #’s 3 and 6.</w:t>
            </w:r>
          </w:p>
          <w:p w:rsidR="00A70731" w:rsidRPr="00CC212B" w:rsidRDefault="00A70731" w:rsidP="00A70731"/>
          <w:p w:rsidR="00162764" w:rsidRDefault="00A70731" w:rsidP="00162764">
            <w:pPr>
              <w:spacing w:after="200" w:line="276" w:lineRule="auto"/>
              <w:rPr>
                <w:rFonts w:ascii="Arial" w:hAnsi="Arial" w:cs="Arial"/>
                <w:b/>
                <w:color w:val="000000" w:themeColor="text1"/>
              </w:rPr>
            </w:pPr>
            <w:r w:rsidRPr="00CC212B">
              <w:t>Locally Developed Exams – Using the OPT 2201 Final Exam, at least 80% of the students scored 80% or better on the questions related to Quality: all questions</w:t>
            </w:r>
          </w:p>
          <w:p w:rsidR="00A36BF7" w:rsidRDefault="00A36BF7" w:rsidP="009803E2">
            <w:pPr>
              <w:ind w:left="72"/>
            </w:pPr>
          </w:p>
        </w:tc>
        <w:tc>
          <w:tcPr>
            <w:tcW w:w="4028" w:type="dxa"/>
          </w:tcPr>
          <w:p w:rsidR="00162764" w:rsidRDefault="00162764" w:rsidP="00162764">
            <w:pPr>
              <w:spacing w:after="200" w:line="276" w:lineRule="auto"/>
              <w:rPr>
                <w:rFonts w:ascii="Arial" w:hAnsi="Arial" w:cs="Arial"/>
                <w:b/>
                <w:color w:val="000000" w:themeColor="text1"/>
              </w:rPr>
            </w:pPr>
          </w:p>
          <w:p w:rsidR="00834792" w:rsidRDefault="00834792" w:rsidP="00834792">
            <w:r>
              <w:t>In 2013/2014, 100% of students taking the OPT 2278 Capstone Reflection Survey rated question #4 as a 3 or 4.</w:t>
            </w:r>
          </w:p>
          <w:p w:rsidR="00834792" w:rsidRDefault="00834792" w:rsidP="00834792"/>
          <w:p w:rsidR="00A36BF7" w:rsidRPr="00291E85" w:rsidRDefault="00834792" w:rsidP="00834792">
            <w:r>
              <w:t xml:space="preserve">In 2013/2014, 90.5% of students taking the OPT 2240 earned their Six Sigma </w:t>
            </w:r>
            <w:r w:rsidR="00B13C8D">
              <w:t>Green Belt Certificates upon completion of the courses.</w:t>
            </w:r>
            <w:r>
              <w:t xml:space="preserve"> </w:t>
            </w:r>
          </w:p>
        </w:tc>
      </w:tr>
      <w:tr w:rsidR="00B171D4" w:rsidRPr="004C52FC" w:rsidTr="00A36BF7">
        <w:tblPrEx>
          <w:shd w:val="clear" w:color="auto" w:fill="auto"/>
          <w:tblLook w:val="04A0" w:firstRow="1" w:lastRow="0" w:firstColumn="1" w:lastColumn="0" w:noHBand="0" w:noVBand="1"/>
        </w:tblPrEx>
        <w:trPr>
          <w:trHeight w:val="72"/>
        </w:trPr>
        <w:tc>
          <w:tcPr>
            <w:tcW w:w="3708" w:type="dxa"/>
            <w:vAlign w:val="center"/>
          </w:tcPr>
          <w:p w:rsidR="00B171D4" w:rsidRPr="00C537EE" w:rsidRDefault="00B171D4" w:rsidP="003534C4">
            <w:pPr>
              <w:rPr>
                <w:rFonts w:ascii="Verdana" w:hAnsi="Verdana"/>
                <w:sz w:val="20"/>
                <w:szCs w:val="20"/>
              </w:rPr>
            </w:pPr>
            <w:r w:rsidRPr="00C537EE">
              <w:rPr>
                <w:rFonts w:ascii="Verdana" w:hAnsi="Verdana"/>
                <w:color w:val="333333"/>
                <w:sz w:val="20"/>
                <w:szCs w:val="20"/>
              </w:rPr>
              <w:t>Analyze the cost, performance and value of operations.</w:t>
            </w:r>
          </w:p>
        </w:tc>
        <w:tc>
          <w:tcPr>
            <w:tcW w:w="1742" w:type="dxa"/>
            <w:vAlign w:val="center"/>
          </w:tcPr>
          <w:p w:rsidR="00B171D4" w:rsidRPr="00AD236A" w:rsidRDefault="00B171D4" w:rsidP="003534C4">
            <w:pPr>
              <w:rPr>
                <w:rFonts w:ascii="Verdana" w:hAnsi="Verdana"/>
                <w:sz w:val="20"/>
                <w:szCs w:val="20"/>
              </w:rPr>
            </w:pPr>
            <w:r>
              <w:rPr>
                <w:rFonts w:ascii="Verdana" w:hAnsi="Verdana"/>
                <w:sz w:val="20"/>
                <w:szCs w:val="20"/>
              </w:rPr>
              <w:t>OPT  1198,2206,2207,2780, MAT 1280,1290, PHY 1141</w:t>
            </w:r>
          </w:p>
        </w:tc>
        <w:tc>
          <w:tcPr>
            <w:tcW w:w="1430" w:type="dxa"/>
          </w:tcPr>
          <w:p w:rsidR="00B171D4" w:rsidRPr="004C52FC" w:rsidRDefault="000B6748" w:rsidP="00892A72">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2013-</w:t>
            </w:r>
            <w:r w:rsidR="00892A72">
              <w:rPr>
                <w:rFonts w:asciiTheme="minorHAnsi" w:hAnsiTheme="minorHAnsi" w:cs="Arial"/>
                <w:color w:val="000000" w:themeColor="text1"/>
              </w:rPr>
              <w:t>2014</w:t>
            </w:r>
          </w:p>
        </w:tc>
        <w:tc>
          <w:tcPr>
            <w:tcW w:w="2250" w:type="dxa"/>
          </w:tcPr>
          <w:p w:rsidR="00B13C8D" w:rsidRDefault="00B13C8D" w:rsidP="00A70731">
            <w:pPr>
              <w:pStyle w:val="ListParagraph"/>
              <w:tabs>
                <w:tab w:val="left" w:pos="5040"/>
              </w:tabs>
              <w:ind w:left="0"/>
            </w:pPr>
          </w:p>
          <w:p w:rsidR="00945F29" w:rsidRDefault="00945F29" w:rsidP="00945F29">
            <w:pPr>
              <w:pStyle w:val="ListParagraph"/>
              <w:tabs>
                <w:tab w:val="left" w:pos="5040"/>
              </w:tabs>
              <w:ind w:left="0"/>
            </w:pPr>
            <w:r w:rsidRPr="00CC212B">
              <w:t xml:space="preserve">Portfolio/Project Appraisal – Using the OPT </w:t>
            </w:r>
            <w:r>
              <w:t xml:space="preserve">2207 final Systems Analysis Project, </w:t>
            </w:r>
            <w:r>
              <w:t xml:space="preserve">80% of the students to score 80% </w:t>
            </w:r>
            <w:r>
              <w:t>or better.</w:t>
            </w:r>
          </w:p>
          <w:p w:rsidR="00B13C8D" w:rsidRPr="00945F29" w:rsidRDefault="00B13C8D" w:rsidP="00A70731">
            <w:pPr>
              <w:pStyle w:val="ListParagraph"/>
              <w:tabs>
                <w:tab w:val="left" w:pos="5040"/>
              </w:tabs>
              <w:ind w:left="0"/>
              <w:rPr>
                <w:b/>
              </w:rPr>
            </w:pPr>
          </w:p>
          <w:p w:rsidR="00945F29" w:rsidRDefault="00945F29" w:rsidP="00945F29">
            <w:pPr>
              <w:rPr>
                <w:rFonts w:ascii="Arial" w:hAnsi="Arial" w:cs="Arial"/>
                <w:b/>
                <w:color w:val="000000" w:themeColor="text1"/>
              </w:rPr>
            </w:pPr>
            <w:r w:rsidRPr="00CC212B">
              <w:t>Locally Developed Exams – Using the OPT 220</w:t>
            </w:r>
            <w:r>
              <w:t>8</w:t>
            </w:r>
            <w:r w:rsidRPr="00CC212B">
              <w:t xml:space="preserve"> </w:t>
            </w:r>
            <w:r>
              <w:t>(Engineering Economics and Cost Analysis)</w:t>
            </w:r>
            <w:r>
              <w:t xml:space="preserve"> </w:t>
            </w:r>
            <w:r w:rsidRPr="00CC212B">
              <w:t>Final Exam, at least 80% of th</w:t>
            </w:r>
            <w:r>
              <w:t xml:space="preserve">e students scored 80% or better.  All questions on this exam are related to this program outcome. </w:t>
            </w: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B13C8D" w:rsidP="00A70731">
            <w:pPr>
              <w:pStyle w:val="ListParagraph"/>
              <w:tabs>
                <w:tab w:val="left" w:pos="5040"/>
              </w:tabs>
              <w:ind w:left="0"/>
            </w:pPr>
          </w:p>
          <w:p w:rsidR="00B13C8D" w:rsidRDefault="00FC1459" w:rsidP="00A70731">
            <w:pPr>
              <w:pStyle w:val="ListParagraph"/>
              <w:tabs>
                <w:tab w:val="left" w:pos="5040"/>
              </w:tabs>
              <w:ind w:left="0"/>
            </w:pPr>
            <w:r w:rsidRPr="00CC212B">
              <w:t>Written Survey – Using the OPT 2</w:t>
            </w:r>
            <w:r>
              <w:t>780</w:t>
            </w:r>
            <w:r w:rsidRPr="00CC212B">
              <w:t xml:space="preserve"> Capstone Reflection Survey, </w:t>
            </w:r>
            <w:r w:rsidR="00A70731">
              <w:t xml:space="preserve">80% of the students should score question #5 a 3 or higher. </w:t>
            </w:r>
          </w:p>
          <w:p w:rsidR="00A70731" w:rsidRPr="00CC212B" w:rsidRDefault="00A70731" w:rsidP="00A70731"/>
          <w:p w:rsidR="00A70731" w:rsidRPr="00CC212B" w:rsidRDefault="00A70731" w:rsidP="00A70731"/>
          <w:p w:rsidR="00B171D4" w:rsidRPr="004C52FC" w:rsidRDefault="00B171D4" w:rsidP="00A70731">
            <w:pPr>
              <w:spacing w:after="200" w:line="276" w:lineRule="auto"/>
              <w:rPr>
                <w:rFonts w:asciiTheme="minorHAnsi" w:hAnsiTheme="minorHAnsi" w:cs="Arial"/>
                <w:color w:val="000000" w:themeColor="text1"/>
              </w:rPr>
            </w:pPr>
          </w:p>
        </w:tc>
        <w:tc>
          <w:tcPr>
            <w:tcW w:w="4028" w:type="dxa"/>
          </w:tcPr>
          <w:p w:rsidR="00162764" w:rsidRDefault="00162764" w:rsidP="00162764">
            <w:pPr>
              <w:spacing w:after="200" w:line="276" w:lineRule="auto"/>
              <w:rPr>
                <w:rFonts w:ascii="Arial" w:hAnsi="Arial" w:cs="Arial"/>
                <w:b/>
                <w:color w:val="000000" w:themeColor="text1"/>
              </w:rPr>
            </w:pPr>
          </w:p>
          <w:p w:rsidR="00B171D4" w:rsidRDefault="00945F29" w:rsidP="00162764">
            <w:pPr>
              <w:ind w:left="72"/>
              <w:rPr>
                <w:rFonts w:asciiTheme="minorHAnsi" w:hAnsiTheme="minorHAnsi" w:cs="Arial"/>
                <w:color w:val="000000" w:themeColor="text1"/>
              </w:rPr>
            </w:pPr>
            <w:r>
              <w:rPr>
                <w:rFonts w:asciiTheme="minorHAnsi" w:hAnsiTheme="minorHAnsi" w:cs="Arial"/>
                <w:color w:val="000000" w:themeColor="text1"/>
              </w:rPr>
              <w:t xml:space="preserve">In 2013/2014, 90% of students taking OPT 2207 scored 80% or better on their final Systems Analysis project. </w:t>
            </w:r>
          </w:p>
          <w:p w:rsidR="00945F29" w:rsidRDefault="00945F29" w:rsidP="00162764">
            <w:pPr>
              <w:ind w:left="72"/>
              <w:rPr>
                <w:rFonts w:asciiTheme="minorHAnsi" w:hAnsiTheme="minorHAnsi" w:cs="Arial"/>
                <w:color w:val="000000" w:themeColor="text1"/>
              </w:rPr>
            </w:pPr>
          </w:p>
          <w:p w:rsidR="00945F29" w:rsidRDefault="00945F29" w:rsidP="00162764">
            <w:pPr>
              <w:ind w:left="72"/>
              <w:rPr>
                <w:rFonts w:asciiTheme="minorHAnsi" w:hAnsiTheme="minorHAnsi" w:cs="Arial"/>
                <w:color w:val="000000" w:themeColor="text1"/>
              </w:rPr>
            </w:pPr>
            <w:r>
              <w:rPr>
                <w:rFonts w:asciiTheme="minorHAnsi" w:hAnsiTheme="minorHAnsi" w:cs="Arial"/>
                <w:color w:val="000000" w:themeColor="text1"/>
              </w:rPr>
              <w:t>In 2013/2014, 88% of students taking the OPT 2208 final exam scored 80% or better.</w:t>
            </w:r>
          </w:p>
          <w:p w:rsidR="00FC1459" w:rsidRDefault="00FC1459" w:rsidP="00162764">
            <w:pPr>
              <w:ind w:left="72"/>
              <w:rPr>
                <w:rFonts w:asciiTheme="minorHAnsi" w:hAnsiTheme="minorHAnsi" w:cs="Arial"/>
                <w:color w:val="000000" w:themeColor="text1"/>
              </w:rPr>
            </w:pPr>
          </w:p>
          <w:p w:rsidR="00FC1459" w:rsidRPr="00FC1459" w:rsidRDefault="00FC1459" w:rsidP="00FC1459">
            <w:pPr>
              <w:rPr>
                <w:rFonts w:asciiTheme="minorHAnsi" w:hAnsiTheme="minorHAnsi"/>
              </w:rPr>
            </w:pPr>
            <w:r w:rsidRPr="00FC1459">
              <w:rPr>
                <w:rFonts w:asciiTheme="minorHAnsi" w:hAnsiTheme="minorHAnsi"/>
              </w:rPr>
              <w:t>In 2013/2014, 100% of students taking the OPT 2278 Capstone Reflection Survey rated question #</w:t>
            </w:r>
            <w:r w:rsidRPr="00FC1459">
              <w:rPr>
                <w:rFonts w:asciiTheme="minorHAnsi" w:hAnsiTheme="minorHAnsi"/>
              </w:rPr>
              <w:t>5</w:t>
            </w:r>
            <w:r w:rsidRPr="00FC1459">
              <w:rPr>
                <w:rFonts w:asciiTheme="minorHAnsi" w:hAnsiTheme="minorHAnsi"/>
              </w:rPr>
              <w:t xml:space="preserve"> as a 3 or 4.</w:t>
            </w:r>
          </w:p>
          <w:p w:rsidR="00FC1459" w:rsidRPr="000B7FE9" w:rsidRDefault="00FC1459" w:rsidP="00162764">
            <w:pPr>
              <w:ind w:left="72"/>
              <w:rPr>
                <w:rFonts w:asciiTheme="minorHAnsi" w:hAnsiTheme="minorHAnsi" w:cs="Arial"/>
                <w:color w:val="000000" w:themeColor="text1"/>
              </w:rPr>
            </w:pPr>
          </w:p>
        </w:tc>
      </w:tr>
      <w:tr w:rsidR="00A36BF7" w:rsidRPr="004C52FC" w:rsidTr="00A36BF7">
        <w:tblPrEx>
          <w:shd w:val="clear" w:color="auto" w:fill="auto"/>
          <w:tblLook w:val="04A0" w:firstRow="1" w:lastRow="0" w:firstColumn="1" w:lastColumn="0" w:noHBand="0" w:noVBand="1"/>
        </w:tblPrEx>
        <w:trPr>
          <w:trHeight w:val="72"/>
        </w:trPr>
        <w:tc>
          <w:tcPr>
            <w:tcW w:w="3708" w:type="dxa"/>
            <w:vAlign w:val="center"/>
          </w:tcPr>
          <w:p w:rsidR="00A36BF7" w:rsidRPr="00F6009D" w:rsidRDefault="00A36BF7" w:rsidP="003534C4">
            <w:pPr>
              <w:rPr>
                <w:rFonts w:ascii="Verdana" w:hAnsi="Verdana"/>
                <w:color w:val="333333"/>
                <w:sz w:val="20"/>
                <w:szCs w:val="20"/>
              </w:rPr>
            </w:pPr>
            <w:r w:rsidRPr="00F6009D">
              <w:rPr>
                <w:rFonts w:ascii="Verdana" w:hAnsi="Verdana"/>
                <w:color w:val="333333"/>
                <w:sz w:val="20"/>
                <w:szCs w:val="20"/>
              </w:rPr>
              <w:t>Demonstrate principles of human integration into technical operations through ergonomics, workplace safety and supervision.</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1101,1110,1125,1126,2205,2216,2780,COM 2206/2211, MET 2711,OTM SOC, OTM HUM</w:t>
            </w:r>
          </w:p>
        </w:tc>
        <w:tc>
          <w:tcPr>
            <w:tcW w:w="1430" w:type="dxa"/>
          </w:tcPr>
          <w:p w:rsidR="00A36BF7" w:rsidRPr="004C52FC" w:rsidRDefault="000B6748" w:rsidP="003534C4">
            <w:pPr>
              <w:rPr>
                <w:rFonts w:asciiTheme="minorHAnsi" w:hAnsiTheme="minorHAnsi" w:cs="Arial"/>
                <w:color w:val="000000" w:themeColor="text1"/>
              </w:rPr>
            </w:pPr>
            <w:r>
              <w:t>2014-</w:t>
            </w:r>
            <w:r w:rsidR="00892A72">
              <w:t>2015</w:t>
            </w:r>
          </w:p>
        </w:tc>
        <w:tc>
          <w:tcPr>
            <w:tcW w:w="2250" w:type="dxa"/>
          </w:tcPr>
          <w:p w:rsidR="00A70731" w:rsidRPr="00CC212B" w:rsidRDefault="00A70731" w:rsidP="00A70731">
            <w:r w:rsidRPr="00CC212B">
              <w:t>Written Survey – Using the OPT 2</w:t>
            </w:r>
            <w:r w:rsidR="00FC1459">
              <w:t>780</w:t>
            </w:r>
            <w:r w:rsidRPr="00CC212B">
              <w:t xml:space="preserve"> Capstone Reflection Survey, at least 80% of students rated questions 3,6, 7, 8 as a 3 or 4</w:t>
            </w:r>
          </w:p>
          <w:p w:rsidR="00A70731" w:rsidRPr="00CC212B" w:rsidRDefault="00A70731" w:rsidP="00A70731"/>
          <w:p w:rsidR="00A70731" w:rsidRPr="00CC212B" w:rsidRDefault="00A70731" w:rsidP="00A70731">
            <w:r w:rsidRPr="00CC212B">
              <w:t>External Examiner – Using the OPT 2</w:t>
            </w:r>
            <w:r w:rsidR="00FC1459">
              <w:t xml:space="preserve">780 </w:t>
            </w:r>
            <w:r w:rsidRPr="00CC212B">
              <w:t>Employer Assessment of Capstone Student Performance, at least 80% of the students met or exceeded requirements on items 3, 8, 10, 18, 19.</w:t>
            </w:r>
          </w:p>
          <w:p w:rsidR="00A70731" w:rsidRPr="00CC212B" w:rsidRDefault="00A70731" w:rsidP="00A70731"/>
          <w:p w:rsidR="00A70731" w:rsidRPr="00CC212B" w:rsidRDefault="00A70731" w:rsidP="00A70731">
            <w:r w:rsidRPr="00CC212B">
              <w:t xml:space="preserve">Archival Records – At least 80% of OPT 2205 students earned their OSHA 10 Hour Card upon completion of the course </w:t>
            </w:r>
          </w:p>
          <w:p w:rsidR="00A70731" w:rsidRPr="00CC212B" w:rsidRDefault="00A70731" w:rsidP="00A70731"/>
          <w:p w:rsidR="00A70731" w:rsidRPr="00CC212B" w:rsidRDefault="00A70731" w:rsidP="00A70731">
            <w:r w:rsidRPr="00CC212B">
              <w:t>Locally Developed Exams – Using the OPT 1126 Final Exam, at least 80% of the students scored 80% or better on the questions related to human interaction: all questions.</w:t>
            </w:r>
          </w:p>
          <w:p w:rsidR="00A70731" w:rsidRPr="00CC212B" w:rsidRDefault="00A70731" w:rsidP="00A70731"/>
          <w:p w:rsidR="00A70731" w:rsidRPr="00CC212B" w:rsidRDefault="00A70731" w:rsidP="00A70731"/>
          <w:p w:rsidR="00A36BF7" w:rsidRDefault="00A70731" w:rsidP="00A70731">
            <w:pPr>
              <w:spacing w:after="200" w:line="276" w:lineRule="auto"/>
            </w:pPr>
            <w:r w:rsidRPr="00CC212B">
              <w:t>Portfolio/Project Appraisal – Using the OPT 1126 Project Rubric, at least 80% of teams scored a 4 or 5 on items A, B, C, E, and G.</w:t>
            </w:r>
          </w:p>
        </w:tc>
        <w:tc>
          <w:tcPr>
            <w:tcW w:w="4028" w:type="dxa"/>
          </w:tcPr>
          <w:p w:rsidR="00162764" w:rsidRDefault="00162764" w:rsidP="00162764">
            <w:pPr>
              <w:spacing w:after="200" w:line="276" w:lineRule="auto"/>
              <w:rPr>
                <w:rFonts w:ascii="Arial" w:hAnsi="Arial" w:cs="Arial"/>
                <w:b/>
                <w:color w:val="000000" w:themeColor="text1"/>
              </w:rPr>
            </w:pPr>
          </w:p>
          <w:p w:rsidR="00FC1459" w:rsidRDefault="00FC1459" w:rsidP="00FC1459">
            <w:pPr>
              <w:ind w:left="72"/>
              <w:rPr>
                <w:rFonts w:asciiTheme="minorHAnsi" w:hAnsiTheme="minorHAnsi" w:cs="Arial"/>
                <w:color w:val="000000" w:themeColor="text1"/>
              </w:rPr>
            </w:pPr>
          </w:p>
          <w:p w:rsidR="00FC1459" w:rsidRDefault="00FC1459" w:rsidP="00FC1459">
            <w:pPr>
              <w:ind w:left="72"/>
              <w:rPr>
                <w:rFonts w:asciiTheme="minorHAnsi" w:hAnsiTheme="minorHAnsi" w:cs="Arial"/>
                <w:color w:val="000000" w:themeColor="text1"/>
              </w:rPr>
            </w:pPr>
            <w:r>
              <w:rPr>
                <w:rFonts w:asciiTheme="minorHAnsi" w:hAnsiTheme="minorHAnsi" w:cs="Arial"/>
                <w:color w:val="000000" w:themeColor="text1"/>
              </w:rPr>
              <w:t>In 201</w:t>
            </w:r>
            <w:r>
              <w:rPr>
                <w:rFonts w:asciiTheme="minorHAnsi" w:hAnsiTheme="minorHAnsi" w:cs="Arial"/>
                <w:color w:val="000000" w:themeColor="text1"/>
              </w:rPr>
              <w:t>4</w:t>
            </w:r>
            <w:r>
              <w:rPr>
                <w:rFonts w:asciiTheme="minorHAnsi" w:hAnsiTheme="minorHAnsi" w:cs="Arial"/>
                <w:color w:val="000000" w:themeColor="text1"/>
              </w:rPr>
              <w:t>/201</w:t>
            </w:r>
            <w:r>
              <w:rPr>
                <w:rFonts w:asciiTheme="minorHAnsi" w:hAnsiTheme="minorHAnsi" w:cs="Arial"/>
                <w:color w:val="000000" w:themeColor="text1"/>
              </w:rPr>
              <w:t>5</w:t>
            </w:r>
            <w:r>
              <w:rPr>
                <w:rFonts w:asciiTheme="minorHAnsi" w:hAnsiTheme="minorHAnsi" w:cs="Arial"/>
                <w:color w:val="000000" w:themeColor="text1"/>
              </w:rPr>
              <w:t>, 8</w:t>
            </w:r>
            <w:r>
              <w:rPr>
                <w:rFonts w:asciiTheme="minorHAnsi" w:hAnsiTheme="minorHAnsi" w:cs="Arial"/>
                <w:color w:val="000000" w:themeColor="text1"/>
              </w:rPr>
              <w:t>7</w:t>
            </w:r>
            <w:r>
              <w:rPr>
                <w:rFonts w:asciiTheme="minorHAnsi" w:hAnsiTheme="minorHAnsi" w:cs="Arial"/>
                <w:color w:val="000000" w:themeColor="text1"/>
              </w:rPr>
              <w:t>% of students taking the OPT 220</w:t>
            </w:r>
            <w:r>
              <w:rPr>
                <w:rFonts w:asciiTheme="minorHAnsi" w:hAnsiTheme="minorHAnsi" w:cs="Arial"/>
                <w:color w:val="000000" w:themeColor="text1"/>
              </w:rPr>
              <w:t>5</w:t>
            </w:r>
            <w:r>
              <w:rPr>
                <w:rFonts w:asciiTheme="minorHAnsi" w:hAnsiTheme="minorHAnsi" w:cs="Arial"/>
                <w:color w:val="000000" w:themeColor="text1"/>
              </w:rPr>
              <w:t xml:space="preserve"> </w:t>
            </w:r>
            <w:r>
              <w:rPr>
                <w:rFonts w:asciiTheme="minorHAnsi" w:hAnsiTheme="minorHAnsi" w:cs="Arial"/>
                <w:color w:val="000000" w:themeColor="text1"/>
              </w:rPr>
              <w:t>earned their OSHA 10-hour card</w:t>
            </w:r>
            <w:r>
              <w:rPr>
                <w:rFonts w:asciiTheme="minorHAnsi" w:hAnsiTheme="minorHAnsi" w:cs="Arial"/>
                <w:color w:val="000000" w:themeColor="text1"/>
              </w:rPr>
              <w:t>.</w:t>
            </w:r>
          </w:p>
          <w:p w:rsidR="00FC1459" w:rsidRDefault="00FC1459" w:rsidP="00FC1459">
            <w:pPr>
              <w:rPr>
                <w:rFonts w:asciiTheme="minorHAnsi" w:hAnsiTheme="minorHAnsi" w:cs="Arial"/>
                <w:color w:val="000000" w:themeColor="text1"/>
              </w:rPr>
            </w:pPr>
          </w:p>
          <w:p w:rsidR="00FC1459" w:rsidRDefault="00FC1459" w:rsidP="00FC1459">
            <w:pPr>
              <w:ind w:left="72"/>
              <w:rPr>
                <w:rFonts w:asciiTheme="minorHAnsi" w:hAnsiTheme="minorHAnsi" w:cs="Arial"/>
                <w:color w:val="000000" w:themeColor="text1"/>
              </w:rPr>
            </w:pPr>
            <w:r>
              <w:rPr>
                <w:rFonts w:asciiTheme="minorHAnsi" w:hAnsiTheme="minorHAnsi" w:cs="Arial"/>
                <w:color w:val="000000" w:themeColor="text1"/>
              </w:rPr>
              <w:t>In 201</w:t>
            </w:r>
            <w:r>
              <w:rPr>
                <w:rFonts w:asciiTheme="minorHAnsi" w:hAnsiTheme="minorHAnsi" w:cs="Arial"/>
                <w:color w:val="000000" w:themeColor="text1"/>
              </w:rPr>
              <w:t>4</w:t>
            </w:r>
            <w:r>
              <w:rPr>
                <w:rFonts w:asciiTheme="minorHAnsi" w:hAnsiTheme="minorHAnsi" w:cs="Arial"/>
                <w:color w:val="000000" w:themeColor="text1"/>
              </w:rPr>
              <w:t>/201</w:t>
            </w:r>
            <w:r>
              <w:rPr>
                <w:rFonts w:asciiTheme="minorHAnsi" w:hAnsiTheme="minorHAnsi" w:cs="Arial"/>
                <w:color w:val="000000" w:themeColor="text1"/>
              </w:rPr>
              <w:t>5</w:t>
            </w:r>
            <w:r>
              <w:rPr>
                <w:rFonts w:asciiTheme="minorHAnsi" w:hAnsiTheme="minorHAnsi" w:cs="Arial"/>
                <w:color w:val="000000" w:themeColor="text1"/>
              </w:rPr>
              <w:t>, 8</w:t>
            </w:r>
            <w:r w:rsidR="001A7C2C">
              <w:rPr>
                <w:rFonts w:asciiTheme="minorHAnsi" w:hAnsiTheme="minorHAnsi" w:cs="Arial"/>
                <w:color w:val="000000" w:themeColor="text1"/>
              </w:rPr>
              <w:t>2</w:t>
            </w:r>
            <w:r>
              <w:rPr>
                <w:rFonts w:asciiTheme="minorHAnsi" w:hAnsiTheme="minorHAnsi" w:cs="Arial"/>
                <w:color w:val="000000" w:themeColor="text1"/>
              </w:rPr>
              <w:t xml:space="preserve">% of students taking the OPT </w:t>
            </w:r>
            <w:r w:rsidR="001A7C2C">
              <w:rPr>
                <w:rFonts w:asciiTheme="minorHAnsi" w:hAnsiTheme="minorHAnsi" w:cs="Arial"/>
                <w:color w:val="000000" w:themeColor="text1"/>
              </w:rPr>
              <w:t>1126</w:t>
            </w:r>
            <w:r>
              <w:rPr>
                <w:rFonts w:asciiTheme="minorHAnsi" w:hAnsiTheme="minorHAnsi" w:cs="Arial"/>
                <w:color w:val="000000" w:themeColor="text1"/>
              </w:rPr>
              <w:t xml:space="preserve"> final exam scored 80% or better.</w:t>
            </w:r>
          </w:p>
          <w:p w:rsidR="001A7C2C" w:rsidRDefault="001A7C2C" w:rsidP="001A7C2C">
            <w:pPr>
              <w:rPr>
                <w:rFonts w:asciiTheme="minorHAnsi" w:hAnsiTheme="minorHAnsi" w:cs="Arial"/>
                <w:color w:val="000000" w:themeColor="text1"/>
              </w:rPr>
            </w:pPr>
          </w:p>
          <w:p w:rsidR="001A7C2C" w:rsidRPr="001A7C2C" w:rsidRDefault="001A7C2C" w:rsidP="001A7C2C">
            <w:pPr>
              <w:ind w:left="72"/>
              <w:rPr>
                <w:rFonts w:asciiTheme="minorHAnsi" w:hAnsiTheme="minorHAnsi" w:cs="Arial"/>
                <w:color w:val="000000" w:themeColor="text1"/>
              </w:rPr>
            </w:pPr>
            <w:r>
              <w:rPr>
                <w:rFonts w:asciiTheme="minorHAnsi" w:hAnsiTheme="minorHAnsi" w:cs="Arial"/>
                <w:color w:val="000000" w:themeColor="text1"/>
              </w:rPr>
              <w:t>In 201</w:t>
            </w:r>
            <w:r>
              <w:rPr>
                <w:rFonts w:asciiTheme="minorHAnsi" w:hAnsiTheme="minorHAnsi" w:cs="Arial"/>
                <w:color w:val="000000" w:themeColor="text1"/>
              </w:rPr>
              <w:t>4</w:t>
            </w:r>
            <w:r>
              <w:rPr>
                <w:rFonts w:asciiTheme="minorHAnsi" w:hAnsiTheme="minorHAnsi" w:cs="Arial"/>
                <w:color w:val="000000" w:themeColor="text1"/>
              </w:rPr>
              <w:t>/201</w:t>
            </w:r>
            <w:r>
              <w:rPr>
                <w:rFonts w:asciiTheme="minorHAnsi" w:hAnsiTheme="minorHAnsi" w:cs="Arial"/>
                <w:color w:val="000000" w:themeColor="text1"/>
              </w:rPr>
              <w:t>5</w:t>
            </w:r>
            <w:r>
              <w:rPr>
                <w:rFonts w:asciiTheme="minorHAnsi" w:hAnsiTheme="minorHAnsi" w:cs="Arial"/>
                <w:color w:val="000000" w:themeColor="text1"/>
              </w:rPr>
              <w:t xml:space="preserve">, </w:t>
            </w:r>
            <w:r>
              <w:rPr>
                <w:rFonts w:asciiTheme="minorHAnsi" w:hAnsiTheme="minorHAnsi" w:cs="Arial"/>
                <w:color w:val="000000" w:themeColor="text1"/>
              </w:rPr>
              <w:t>on the OPT 1126 Team Project Rubric, 100</w:t>
            </w:r>
            <w:r>
              <w:rPr>
                <w:rFonts w:asciiTheme="minorHAnsi" w:hAnsiTheme="minorHAnsi" w:cs="Arial"/>
                <w:color w:val="000000" w:themeColor="text1"/>
              </w:rPr>
              <w:t xml:space="preserve">% of </w:t>
            </w:r>
            <w:r>
              <w:rPr>
                <w:rFonts w:asciiTheme="minorHAnsi" w:hAnsiTheme="minorHAnsi" w:cs="Arial"/>
                <w:color w:val="000000" w:themeColor="text1"/>
              </w:rPr>
              <w:t>teams scored a 4 or 5 on items A, B, C, E and G.</w:t>
            </w:r>
          </w:p>
          <w:p w:rsidR="001A7C2C" w:rsidRDefault="001A7C2C" w:rsidP="00162764">
            <w:pPr>
              <w:spacing w:after="200" w:line="276" w:lineRule="auto"/>
              <w:rPr>
                <w:rFonts w:ascii="Arial" w:hAnsi="Arial" w:cs="Arial"/>
                <w:b/>
                <w:color w:val="000000" w:themeColor="text1"/>
              </w:rPr>
            </w:pPr>
          </w:p>
          <w:p w:rsidR="001A7C2C" w:rsidRPr="001A7C2C" w:rsidRDefault="001A7C2C" w:rsidP="00162764">
            <w:pPr>
              <w:spacing w:after="200" w:line="276" w:lineRule="auto"/>
              <w:rPr>
                <w:rFonts w:asciiTheme="minorHAnsi" w:hAnsiTheme="minorHAnsi" w:cs="Arial"/>
                <w:b/>
                <w:color w:val="000000" w:themeColor="text1"/>
              </w:rPr>
            </w:pPr>
            <w:r w:rsidRPr="001A7C2C">
              <w:rPr>
                <w:rFonts w:asciiTheme="minorHAnsi" w:hAnsiTheme="minorHAnsi"/>
              </w:rPr>
              <w:t>Data not available yet for 2014/2015 OPT 2780 Capstone.</w:t>
            </w:r>
          </w:p>
          <w:p w:rsidR="00FC1459" w:rsidRDefault="00FC1459" w:rsidP="00162764">
            <w:pPr>
              <w:spacing w:after="200" w:line="276" w:lineRule="auto"/>
              <w:rPr>
                <w:rFonts w:ascii="Arial" w:hAnsi="Arial" w:cs="Arial"/>
                <w:b/>
                <w:color w:val="000000" w:themeColor="text1"/>
              </w:rPr>
            </w:pPr>
          </w:p>
          <w:p w:rsidR="00A36BF7" w:rsidRDefault="00A36BF7" w:rsidP="00162764"/>
        </w:tc>
      </w:tr>
      <w:tr w:rsidR="00A36BF7" w:rsidRPr="004C52FC" w:rsidTr="00A36BF7">
        <w:tblPrEx>
          <w:shd w:val="clear" w:color="auto" w:fill="auto"/>
          <w:tblLook w:val="04A0" w:firstRow="1" w:lastRow="0" w:firstColumn="1" w:lastColumn="0" w:noHBand="0" w:noVBand="1"/>
        </w:tblPrEx>
        <w:trPr>
          <w:trHeight w:val="72"/>
        </w:trPr>
        <w:tc>
          <w:tcPr>
            <w:tcW w:w="3708" w:type="dxa"/>
            <w:vAlign w:val="center"/>
          </w:tcPr>
          <w:p w:rsidR="00A36BF7" w:rsidRPr="00E31BC0" w:rsidRDefault="00A36BF7" w:rsidP="003534C4">
            <w:pPr>
              <w:rPr>
                <w:rFonts w:ascii="Verdana" w:hAnsi="Verdana"/>
                <w:color w:val="333333"/>
                <w:sz w:val="20"/>
                <w:szCs w:val="20"/>
              </w:rPr>
            </w:pPr>
            <w:r w:rsidRPr="00D626EB">
              <w:rPr>
                <w:rFonts w:ascii="Verdana" w:hAnsi="Verdana"/>
                <w:color w:val="333333"/>
                <w:sz w:val="20"/>
                <w:szCs w:val="20"/>
              </w:rPr>
              <w:t xml:space="preserve">Demonstrate the </w:t>
            </w:r>
            <w:r>
              <w:rPr>
                <w:rFonts w:ascii="Verdana" w:hAnsi="Verdana"/>
                <w:color w:val="333333"/>
                <w:sz w:val="20"/>
                <w:szCs w:val="20"/>
              </w:rPr>
              <w:t>m</w:t>
            </w:r>
            <w:r w:rsidRPr="00D626EB">
              <w:rPr>
                <w:rFonts w:ascii="Verdana" w:hAnsi="Verdana"/>
                <w:color w:val="333333"/>
                <w:sz w:val="20"/>
                <w:szCs w:val="20"/>
              </w:rPr>
              <w:t xml:space="preserve">ath and </w:t>
            </w:r>
            <w:r>
              <w:rPr>
                <w:rFonts w:ascii="Verdana" w:hAnsi="Verdana"/>
                <w:color w:val="333333"/>
                <w:sz w:val="20"/>
                <w:szCs w:val="20"/>
              </w:rPr>
              <w:t>s</w:t>
            </w:r>
            <w:r w:rsidRPr="00D626EB">
              <w:rPr>
                <w:rFonts w:ascii="Verdana" w:hAnsi="Verdana"/>
                <w:color w:val="333333"/>
                <w:sz w:val="20"/>
                <w:szCs w:val="20"/>
              </w:rPr>
              <w:t>cience skills required for Industrial Engineering Technology functions.</w:t>
            </w:r>
          </w:p>
        </w:tc>
        <w:tc>
          <w:tcPr>
            <w:tcW w:w="1742" w:type="dxa"/>
            <w:vAlign w:val="center"/>
          </w:tcPr>
          <w:p w:rsidR="00A36BF7" w:rsidRPr="00D626EB" w:rsidRDefault="00A36BF7" w:rsidP="003534C4">
            <w:pPr>
              <w:rPr>
                <w:rFonts w:ascii="Verdana" w:hAnsi="Verdana"/>
                <w:sz w:val="20"/>
                <w:szCs w:val="20"/>
              </w:rPr>
            </w:pPr>
            <w:r>
              <w:rPr>
                <w:rFonts w:ascii="Verdana" w:hAnsi="Verdana"/>
                <w:sz w:val="20"/>
                <w:szCs w:val="20"/>
              </w:rPr>
              <w:t>MAT 1280,1290 PHY 1141,1142 OPT 2201,2208</w:t>
            </w:r>
          </w:p>
        </w:tc>
        <w:tc>
          <w:tcPr>
            <w:tcW w:w="1430" w:type="dxa"/>
          </w:tcPr>
          <w:p w:rsidR="00A36BF7" w:rsidRPr="004C52FC" w:rsidRDefault="000B6748" w:rsidP="00A36BF7">
            <w:pPr>
              <w:rPr>
                <w:rFonts w:asciiTheme="minorHAnsi" w:hAnsiTheme="minorHAnsi" w:cs="Arial"/>
                <w:color w:val="000000" w:themeColor="text1"/>
              </w:rPr>
            </w:pPr>
            <w:r>
              <w:t>2015-</w:t>
            </w:r>
            <w:r w:rsidR="00892A72">
              <w:t>2016</w:t>
            </w:r>
          </w:p>
        </w:tc>
        <w:tc>
          <w:tcPr>
            <w:tcW w:w="2250" w:type="dxa"/>
          </w:tcPr>
          <w:p w:rsidR="00A70731" w:rsidRPr="00CC212B" w:rsidRDefault="00A70731" w:rsidP="00A70731">
            <w:r w:rsidRPr="00CC212B">
              <w:t xml:space="preserve">Locally Developed Exams – Using the OPT 2208 Final Exam, at least 80% of the students scored 80% or better on the questions related to Engineering Economics calculations: </w:t>
            </w:r>
          </w:p>
          <w:p w:rsidR="00A70731" w:rsidRPr="00CC212B" w:rsidRDefault="00A70731" w:rsidP="00A70731"/>
          <w:p w:rsidR="00A70731" w:rsidRPr="00CC212B" w:rsidRDefault="00A70731" w:rsidP="00A70731">
            <w:r w:rsidRPr="00CC212B">
              <w:t>Locally Developed Exams – Using the OPT 2201 Final Exam, at least 80% of the students scored 80% or better on the questions related to Quality cal</w:t>
            </w:r>
            <w:r>
              <w:t>c</w:t>
            </w:r>
            <w:r w:rsidRPr="00CC212B">
              <w:t xml:space="preserve">ulations: </w:t>
            </w:r>
          </w:p>
          <w:p w:rsidR="00A70731" w:rsidRPr="00CC212B" w:rsidRDefault="00A70731" w:rsidP="00A70731"/>
          <w:p w:rsidR="00A36BF7" w:rsidRDefault="00A70731" w:rsidP="00A70731">
            <w:r w:rsidRPr="00CC212B">
              <w:t>Locally Developed Exams – Using the MAT 1290 Final Exam, at least 80% of the students scored 80% or better.</w:t>
            </w:r>
          </w:p>
        </w:tc>
        <w:tc>
          <w:tcPr>
            <w:tcW w:w="4028" w:type="dxa"/>
          </w:tcPr>
          <w:p w:rsidR="00162764" w:rsidRDefault="00162764" w:rsidP="00162764">
            <w:pPr>
              <w:spacing w:after="200" w:line="276" w:lineRule="auto"/>
              <w:rPr>
                <w:rFonts w:ascii="Arial" w:hAnsi="Arial" w:cs="Arial"/>
                <w:b/>
                <w:color w:val="000000" w:themeColor="text1"/>
              </w:rPr>
            </w:pPr>
          </w:p>
          <w:p w:rsidR="00A36BF7" w:rsidRDefault="001A7C2C" w:rsidP="00F953C7">
            <w:r>
              <w:rPr>
                <w:rFonts w:ascii="Arial" w:hAnsi="Arial" w:cs="Arial"/>
                <w:color w:val="000000" w:themeColor="text1"/>
              </w:rPr>
              <w:t>We are</w:t>
            </w:r>
            <w:r w:rsidR="000B7FE9" w:rsidRPr="000B7FE9">
              <w:rPr>
                <w:rFonts w:ascii="Arial" w:hAnsi="Arial" w:cs="Arial"/>
                <w:color w:val="000000" w:themeColor="text1"/>
              </w:rPr>
              <w:t xml:space="preserve"> develop</w:t>
            </w:r>
            <w:r>
              <w:rPr>
                <w:rFonts w:ascii="Arial" w:hAnsi="Arial" w:cs="Arial"/>
                <w:color w:val="000000" w:themeColor="text1"/>
              </w:rPr>
              <w:t>ing</w:t>
            </w:r>
            <w:r w:rsidR="000B7FE9" w:rsidRPr="000B7FE9">
              <w:rPr>
                <w:rFonts w:ascii="Arial" w:hAnsi="Arial" w:cs="Arial"/>
                <w:color w:val="000000" w:themeColor="text1"/>
              </w:rPr>
              <w:t xml:space="preserve"> ways to capture OPT student performance in other </w:t>
            </w:r>
            <w:r>
              <w:rPr>
                <w:rFonts w:ascii="Arial" w:hAnsi="Arial" w:cs="Arial"/>
                <w:color w:val="000000" w:themeColor="text1"/>
              </w:rPr>
              <w:t>d</w:t>
            </w:r>
            <w:r w:rsidR="000B7FE9" w:rsidRPr="000B7FE9">
              <w:rPr>
                <w:rFonts w:ascii="Arial" w:hAnsi="Arial" w:cs="Arial"/>
                <w:color w:val="000000" w:themeColor="text1"/>
              </w:rPr>
              <w:t>epartment</w:t>
            </w:r>
            <w:r>
              <w:rPr>
                <w:rFonts w:ascii="Arial" w:hAnsi="Arial" w:cs="Arial"/>
                <w:color w:val="000000" w:themeColor="text1"/>
              </w:rPr>
              <w:t>’</w:t>
            </w:r>
            <w:r w:rsidR="000B7FE9" w:rsidRPr="000B7FE9">
              <w:rPr>
                <w:rFonts w:ascii="Arial" w:hAnsi="Arial" w:cs="Arial"/>
                <w:color w:val="000000" w:themeColor="text1"/>
              </w:rPr>
              <w:t xml:space="preserve">s classes. </w:t>
            </w:r>
            <w:bookmarkStart w:id="1" w:name="_GoBack"/>
            <w:bookmarkEnd w:id="1"/>
            <w:r w:rsidR="000B7FE9" w:rsidRPr="000B7FE9">
              <w:rPr>
                <w:rFonts w:ascii="Arial" w:hAnsi="Arial" w:cs="Arial"/>
                <w:color w:val="000000" w:themeColor="text1"/>
              </w:rPr>
              <w:t>We are looking at surveying outside classes for input.</w:t>
            </w:r>
          </w:p>
        </w:tc>
      </w:tr>
    </w:tbl>
    <w:p w:rsidR="004604FB" w:rsidRDefault="004604FB" w:rsidP="00D943E5">
      <w:pPr>
        <w:tabs>
          <w:tab w:val="left" w:pos="5040"/>
        </w:tabs>
        <w:rPr>
          <w:rFonts w:ascii="Arial" w:hAnsi="Arial" w:cs="Arial"/>
          <w:color w:val="000000" w:themeColor="text1"/>
        </w:rPr>
      </w:pPr>
    </w:p>
    <w:p w:rsidR="00D943E5" w:rsidRDefault="00D943E5" w:rsidP="00D943E5">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943E5" w:rsidTr="00D943E5">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943E5" w:rsidRDefault="00D943E5">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943E5" w:rsidRDefault="00D943E5">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943E5" w:rsidRDefault="00D943E5">
            <w:pPr>
              <w:pStyle w:val="ListParagraph"/>
              <w:tabs>
                <w:tab w:val="left" w:pos="5040"/>
              </w:tabs>
              <w:ind w:left="0"/>
              <w:rPr>
                <w:rFonts w:ascii="Arial" w:hAnsi="Arial" w:cs="Arial"/>
                <w:color w:val="000000" w:themeColor="text1"/>
              </w:rPr>
            </w:pPr>
          </w:p>
        </w:tc>
      </w:tr>
      <w:tr w:rsidR="00D943E5" w:rsidTr="00D943E5">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943E5" w:rsidRDefault="00D943E5">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943E5" w:rsidRDefault="00D943E5">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943E5" w:rsidRDefault="00D943E5">
            <w:pPr>
              <w:pStyle w:val="ListParagraph"/>
              <w:tabs>
                <w:tab w:val="left" w:pos="5040"/>
              </w:tabs>
              <w:ind w:left="0"/>
              <w:rPr>
                <w:rFonts w:ascii="Arial" w:hAnsi="Arial" w:cs="Arial"/>
                <w:color w:val="000000" w:themeColor="text1"/>
              </w:rPr>
            </w:pPr>
          </w:p>
        </w:tc>
      </w:tr>
    </w:tbl>
    <w:p w:rsidR="00D943E5" w:rsidRPr="00D943E5" w:rsidRDefault="00D943E5" w:rsidP="00D943E5">
      <w:pPr>
        <w:tabs>
          <w:tab w:val="left" w:pos="5040"/>
        </w:tabs>
        <w:rPr>
          <w:rFonts w:ascii="Arial" w:hAnsi="Arial" w:cs="Arial"/>
          <w:color w:val="000000" w:themeColor="text1"/>
        </w:rPr>
      </w:pPr>
    </w:p>
    <w:p w:rsidR="00162764" w:rsidRPr="00162764" w:rsidRDefault="000B7FE9" w:rsidP="00162764">
      <w:pPr>
        <w:tabs>
          <w:tab w:val="left" w:pos="5040"/>
        </w:tabs>
        <w:rPr>
          <w:rFonts w:ascii="Arial" w:hAnsi="Arial" w:cs="Arial"/>
          <w:b/>
          <w:color w:val="000000" w:themeColor="text1"/>
        </w:rPr>
        <w:sectPr w:rsidR="00162764" w:rsidRPr="00162764" w:rsidSect="003D7AD4">
          <w:pgSz w:w="15840" w:h="12240" w:orient="landscape"/>
          <w:pgMar w:top="1440" w:right="1152" w:bottom="1440" w:left="1152" w:header="720" w:footer="288" w:gutter="0"/>
          <w:cols w:space="720"/>
          <w:docGrid w:linePitch="360"/>
        </w:sectPr>
      </w:pPr>
      <w:r>
        <w:rPr>
          <w:rFonts w:ascii="Arial" w:hAnsi="Arial" w:cs="Arial"/>
          <w:b/>
          <w:color w:val="000000" w:themeColor="text1"/>
        </w:rPr>
        <w:t xml:space="preserve"> </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B61D81" w:rsidRDefault="00B61D81"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D43EAF" w:rsidRPr="00D43EAF" w:rsidTr="00D43EAF">
        <w:trPr>
          <w:trHeight w:val="600"/>
        </w:trPr>
        <w:tc>
          <w:tcPr>
            <w:tcW w:w="960" w:type="dxa"/>
            <w:tcBorders>
              <w:top w:val="nil"/>
              <w:left w:val="nil"/>
              <w:bottom w:val="nil"/>
              <w:right w:val="nil"/>
            </w:tcBorders>
            <w:shd w:val="clear" w:color="auto" w:fill="auto"/>
            <w:noWrap/>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D43EAF" w:rsidRPr="00D43EAF" w:rsidRDefault="00D43EAF" w:rsidP="00D43EAF">
            <w:pPr>
              <w:jc w:val="center"/>
              <w:rPr>
                <w:rFonts w:ascii="Calibri" w:hAnsi="Calibri"/>
                <w:color w:val="000000"/>
                <w:sz w:val="22"/>
                <w:szCs w:val="22"/>
              </w:rPr>
            </w:pPr>
            <w:r w:rsidRPr="00D43EAF">
              <w:rPr>
                <w:rFonts w:ascii="Calibri" w:hAnsi="Calibri"/>
                <w:color w:val="000000"/>
                <w:sz w:val="22"/>
                <w:szCs w:val="22"/>
              </w:rPr>
              <w:t>FY 13-14</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IET.AAS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IETMO.AAS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IETMOTP.AAS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IETP.AAS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OPT.S.AAS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PCET.AAS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QASO.AAS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QCT.CRT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SET.AAS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SRM.AAS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CTIM.S.STC</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7</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CTIM.STC</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MET.AAS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MM.S.STC</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5</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MM.STC</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MTCAL.STC</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OPTIO.AAS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8</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9</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OPTIO.S.AAS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OPTMO.AAS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6</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r>
      <w:tr w:rsidR="00D43EAF" w:rsidRPr="00D43EAF" w:rsidTr="00D43EAF">
        <w:trPr>
          <w:trHeight w:val="300"/>
        </w:trPr>
        <w:tc>
          <w:tcPr>
            <w:tcW w:w="96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OPTMO.S.AAS</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r>
      <w:tr w:rsidR="00D43EAF" w:rsidRPr="00D43EAF" w:rsidTr="00D43EAF">
        <w:trPr>
          <w:trHeight w:val="300"/>
        </w:trPr>
        <w:tc>
          <w:tcPr>
            <w:tcW w:w="96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D43EAF" w:rsidRPr="00D43EAF" w:rsidRDefault="00D43EAF" w:rsidP="00D43EAF">
            <w:pPr>
              <w:rPr>
                <w:rFonts w:ascii="Calibri" w:hAnsi="Calibri"/>
                <w:color w:val="000000"/>
                <w:sz w:val="22"/>
                <w:szCs w:val="22"/>
              </w:rPr>
            </w:pPr>
            <w:r w:rsidRPr="00D43EAF">
              <w:rPr>
                <w:rFonts w:ascii="Calibri" w:hAnsi="Calibri"/>
                <w:color w:val="000000"/>
                <w:sz w:val="22"/>
                <w:szCs w:val="22"/>
              </w:rPr>
              <w:t>QET.AAS</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D43EAF" w:rsidRPr="00D43EAF" w:rsidRDefault="00D43EAF" w:rsidP="00D43EAF">
            <w:pPr>
              <w:jc w:val="right"/>
              <w:rPr>
                <w:rFonts w:ascii="Calibri" w:hAnsi="Calibri"/>
                <w:color w:val="000000"/>
                <w:sz w:val="22"/>
                <w:szCs w:val="22"/>
              </w:rPr>
            </w:pPr>
            <w:r w:rsidRPr="00D43EAF">
              <w:rPr>
                <w:rFonts w:ascii="Calibri" w:hAnsi="Calibri"/>
                <w:color w:val="000000"/>
                <w:sz w:val="22"/>
                <w:szCs w:val="22"/>
              </w:rPr>
              <w:t>.</w:t>
            </w:r>
          </w:p>
        </w:tc>
      </w:tr>
    </w:tbl>
    <w:p w:rsidR="00D43EAF" w:rsidRDefault="00D43EAF" w:rsidP="00B61D81">
      <w:pPr>
        <w:rPr>
          <w:rFonts w:ascii="Arial" w:hAnsi="Arial" w:cs="Arial"/>
          <w:b/>
          <w:color w:val="000000" w:themeColor="text1"/>
        </w:rPr>
      </w:pPr>
    </w:p>
    <w:p w:rsidR="00D43EAF" w:rsidRDefault="00D43EAF"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75"/>
        <w:gridCol w:w="875"/>
        <w:gridCol w:w="875"/>
        <w:gridCol w:w="875"/>
        <w:gridCol w:w="1000"/>
        <w:gridCol w:w="960"/>
        <w:gridCol w:w="960"/>
      </w:tblGrid>
      <w:tr w:rsidR="00147571" w:rsidRPr="00147571" w:rsidTr="00147571">
        <w:trPr>
          <w:trHeight w:val="600"/>
        </w:trPr>
        <w:tc>
          <w:tcPr>
            <w:tcW w:w="1420" w:type="dxa"/>
            <w:tcBorders>
              <w:top w:val="nil"/>
              <w:left w:val="nil"/>
              <w:bottom w:val="nil"/>
              <w:right w:val="nil"/>
            </w:tcBorders>
            <w:shd w:val="clear" w:color="auto" w:fill="auto"/>
            <w:hideMark/>
          </w:tcPr>
          <w:p w:rsidR="00147571" w:rsidRPr="00147571" w:rsidRDefault="00147571" w:rsidP="00147571">
            <w:pPr>
              <w:rPr>
                <w:rFonts w:ascii="Calibri" w:hAnsi="Calibri"/>
                <w:b/>
                <w:bCs/>
                <w:color w:val="000000"/>
                <w:sz w:val="22"/>
                <w:szCs w:val="22"/>
              </w:rPr>
            </w:pPr>
            <w:r w:rsidRPr="00147571">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147571" w:rsidRPr="00147571" w:rsidRDefault="00147571" w:rsidP="00147571">
            <w:pPr>
              <w:rPr>
                <w:rFonts w:ascii="Calibri" w:hAnsi="Calibri"/>
                <w:b/>
                <w:bCs/>
                <w:color w:val="000000"/>
                <w:sz w:val="22"/>
                <w:szCs w:val="22"/>
              </w:rPr>
            </w:pPr>
            <w:r w:rsidRPr="00147571">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147571" w:rsidRPr="00147571" w:rsidRDefault="00147571" w:rsidP="00147571">
            <w:pPr>
              <w:rPr>
                <w:rFonts w:ascii="Calibri" w:hAnsi="Calibri"/>
                <w:b/>
                <w:bCs/>
                <w:color w:val="000000"/>
                <w:sz w:val="22"/>
                <w:szCs w:val="22"/>
              </w:rPr>
            </w:pPr>
            <w:r w:rsidRPr="00147571">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147571" w:rsidRPr="00147571" w:rsidRDefault="00147571" w:rsidP="00147571">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147571" w:rsidRPr="00147571" w:rsidRDefault="00147571" w:rsidP="00147571">
            <w:pPr>
              <w:jc w:val="right"/>
              <w:rPr>
                <w:rFonts w:ascii="Calibri" w:hAnsi="Calibri"/>
                <w:b/>
                <w:bCs/>
                <w:color w:val="000000"/>
                <w:sz w:val="22"/>
                <w:szCs w:val="22"/>
              </w:rPr>
            </w:pPr>
            <w:r w:rsidRPr="00147571">
              <w:rPr>
                <w:rFonts w:ascii="Calibri" w:hAnsi="Calibri"/>
                <w:b/>
                <w:bCs/>
                <w:color w:val="000000"/>
                <w:sz w:val="22"/>
                <w:szCs w:val="22"/>
              </w:rPr>
              <w:t>FY 13-14</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Industrial Engineering</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IET-206</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0575</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Industrial Engineering</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IET-270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0575</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Industrial Engineering</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IET-278</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OPT-100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78.2%</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83.7%</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71.7%</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79.4%</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OPT-101</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85.3%</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72.7%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80.2%</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77.6%</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OPT-105</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92.4%</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93.1%</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OPT-107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92.6%</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95.7%</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91.7%</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OPT-1100</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76.3%</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OPT-1101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92.5%</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80.5%</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OPT-111</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OPT-1110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94.1%</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88.2%</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OPT-1112</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87.5%</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80.0%</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OPT-1113</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94.4%</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OPT-112</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97.5%</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94.4%</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OPT-1125</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77.8%</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OPT-1126</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87.5%</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OPT-113</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92.9%</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93.8%</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OPT-1130</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96.0%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88.9%</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OPT-117</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OPT-1198</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76.5%</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52.9%</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OPT-125</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93.6%</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76.5%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92.6%</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93.8%</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82.1%</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OPT-126</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78.8%</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92.6%</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88.5%</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OPT-128</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85.4%</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82.5%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OPT-130</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97.3%</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96.2%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89.1%</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OPT-132</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82.8%</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96.7%</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OPT-133</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92.9%</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OPT-136</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OPT-161</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90.9%</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71.4%</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OPT-162</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OPT-163</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OPT-190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OPT-198</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92.1%</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79.3%</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97.1%</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71.4%</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60.3%</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60.4%</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77.4%</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OPT-202</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OPT-204</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92.3%</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OPT-205</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96.3%</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91.8%</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95.2%</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OPT-206</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92.3%</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90.6%</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84.6%</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67.6%</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80.8%</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88.9%</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OPT-208</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84.2%</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OPT-209</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81.8%</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OPT-211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77.9%</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83.6%</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83.6%</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94.9%</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OPT-212</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95.7%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92.9%</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OPT-216</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87.5%</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OPT-217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OPT-2201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63.6%</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OPT-2205</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94.7%</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90.5%</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OPT-2206</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OPT-2207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81.8%</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OPT-2208</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83.3%</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OPT-221</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88.9%</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OPT-2211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90.5%</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92.7%</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OPT-2216</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OPT-2221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OPT-2223</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OPT-2225</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OPT-223</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72.2%</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78.9%</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93.1%</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OPT-2240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87.7%</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90.5%</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OPT-225</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88.5%</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OPT-2251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64.7%</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88.8%</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OPT-2267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OPT-2297</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OPT-240</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91.1%</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96.6%</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94.1%</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93.3%</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OPT-251</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OPT-261</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OPT-265</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90.9%</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50.0%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OPT-266</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87.5%</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84.6%</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71.4%</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OPT-267</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50.0%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OPT-270</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66.7%</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OPT-277</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OPT-278</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92.3%</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r w:rsidR="00147571" w:rsidRPr="00147571" w:rsidTr="00147571">
        <w:trPr>
          <w:trHeight w:val="300"/>
        </w:trPr>
        <w:tc>
          <w:tcPr>
            <w:tcW w:w="14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OPT-2780</w:t>
            </w:r>
          </w:p>
        </w:tc>
        <w:tc>
          <w:tcPr>
            <w:tcW w:w="160" w:type="dxa"/>
            <w:tcBorders>
              <w:top w:val="nil"/>
              <w:left w:val="nil"/>
              <w:bottom w:val="nil"/>
              <w:right w:val="nil"/>
            </w:tcBorders>
            <w:shd w:val="clear" w:color="000000" w:fill="D9D9D9"/>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85.7%</w:t>
            </w:r>
          </w:p>
        </w:tc>
        <w:tc>
          <w:tcPr>
            <w:tcW w:w="960" w:type="dxa"/>
            <w:tcBorders>
              <w:top w:val="nil"/>
              <w:left w:val="nil"/>
              <w:bottom w:val="nil"/>
              <w:right w:val="nil"/>
            </w:tcBorders>
            <w:shd w:val="clear" w:color="000000" w:fill="D9D9D9"/>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r>
      <w:tr w:rsidR="00147571" w:rsidRPr="00147571" w:rsidTr="00147571">
        <w:trPr>
          <w:trHeight w:val="300"/>
        </w:trPr>
        <w:tc>
          <w:tcPr>
            <w:tcW w:w="14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0576</w:t>
            </w:r>
          </w:p>
        </w:tc>
        <w:tc>
          <w:tcPr>
            <w:tcW w:w="322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r w:rsidRPr="00147571">
              <w:rPr>
                <w:rFonts w:ascii="Calibri" w:hAnsi="Calibri"/>
                <w:color w:val="000000"/>
                <w:sz w:val="22"/>
                <w:szCs w:val="22"/>
              </w:rPr>
              <w:t>OPT-297</w:t>
            </w:r>
          </w:p>
        </w:tc>
        <w:tc>
          <w:tcPr>
            <w:tcW w:w="160" w:type="dxa"/>
            <w:tcBorders>
              <w:top w:val="nil"/>
              <w:left w:val="nil"/>
              <w:bottom w:val="nil"/>
              <w:right w:val="nil"/>
            </w:tcBorders>
            <w:shd w:val="clear" w:color="auto" w:fill="auto"/>
            <w:noWrap/>
            <w:vAlign w:val="bottom"/>
            <w:hideMark/>
          </w:tcPr>
          <w:p w:rsidR="00147571" w:rsidRPr="00147571" w:rsidRDefault="00147571" w:rsidP="0014757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98.9%</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98.6%</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97.5%</w:t>
            </w:r>
          </w:p>
        </w:tc>
        <w:tc>
          <w:tcPr>
            <w:tcW w:w="100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147571" w:rsidRPr="00147571" w:rsidRDefault="00147571" w:rsidP="00147571">
            <w:pPr>
              <w:jc w:val="right"/>
              <w:rPr>
                <w:rFonts w:ascii="Calibri" w:hAnsi="Calibri"/>
                <w:color w:val="000000"/>
                <w:sz w:val="22"/>
                <w:szCs w:val="22"/>
              </w:rPr>
            </w:pPr>
            <w:r w:rsidRPr="00147571">
              <w:rPr>
                <w:rFonts w:ascii="Calibri" w:hAnsi="Calibri"/>
                <w:color w:val="000000"/>
                <w:sz w:val="22"/>
                <w:szCs w:val="22"/>
              </w:rPr>
              <w:t>.</w:t>
            </w:r>
          </w:p>
        </w:tc>
      </w:tr>
    </w:tbl>
    <w:p w:rsidR="00147571" w:rsidRDefault="00147571" w:rsidP="00225B53">
      <w:pPr>
        <w:spacing w:after="200" w:line="276" w:lineRule="auto"/>
        <w:rPr>
          <w:rFonts w:ascii="Arial" w:hAnsi="Arial" w:cs="Arial"/>
          <w:b/>
          <w:color w:val="000000" w:themeColor="text1"/>
        </w:rPr>
      </w:pPr>
    </w:p>
    <w:sectPr w:rsidR="00147571" w:rsidSect="007F660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43" w:rsidRDefault="001F6B43" w:rsidP="0094204C">
      <w:r>
        <w:separator/>
      </w:r>
    </w:p>
  </w:endnote>
  <w:endnote w:type="continuationSeparator" w:id="0">
    <w:p w:rsidR="001F6B43" w:rsidRDefault="001F6B43"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1F6B43" w:rsidRDefault="001F6B43">
        <w:pPr>
          <w:pStyle w:val="Footer"/>
          <w:jc w:val="right"/>
        </w:pPr>
        <w:r>
          <w:fldChar w:fldCharType="begin"/>
        </w:r>
        <w:r>
          <w:instrText xml:space="preserve"> PAGE   \* MERGEFORMAT </w:instrText>
        </w:r>
        <w:r>
          <w:fldChar w:fldCharType="separate"/>
        </w:r>
        <w:r w:rsidR="00F953C7">
          <w:rPr>
            <w:noProof/>
          </w:rPr>
          <w:t>25</w:t>
        </w:r>
        <w:r>
          <w:rPr>
            <w:noProof/>
          </w:rPr>
          <w:fldChar w:fldCharType="end"/>
        </w:r>
      </w:p>
    </w:sdtContent>
  </w:sdt>
  <w:p w:rsidR="001F6B43" w:rsidRDefault="001F6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43" w:rsidRDefault="001F6B43" w:rsidP="0094204C">
      <w:r>
        <w:separator/>
      </w:r>
    </w:p>
  </w:footnote>
  <w:footnote w:type="continuationSeparator" w:id="0">
    <w:p w:rsidR="001F6B43" w:rsidRDefault="001F6B43"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416EE1"/>
    <w:multiLevelType w:val="hybridMultilevel"/>
    <w:tmpl w:val="268636DE"/>
    <w:lvl w:ilvl="0" w:tplc="6AA4717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2"/>
  </w:num>
  <w:num w:numId="5">
    <w:abstractNumId w:val="2"/>
  </w:num>
  <w:num w:numId="6">
    <w:abstractNumId w:val="9"/>
  </w:num>
  <w:num w:numId="7">
    <w:abstractNumId w:val="15"/>
  </w:num>
  <w:num w:numId="8">
    <w:abstractNumId w:val="13"/>
  </w:num>
  <w:num w:numId="9">
    <w:abstractNumId w:val="1"/>
  </w:num>
  <w:num w:numId="10">
    <w:abstractNumId w:val="16"/>
  </w:num>
  <w:num w:numId="11">
    <w:abstractNumId w:val="0"/>
  </w:num>
  <w:num w:numId="12">
    <w:abstractNumId w:val="14"/>
  </w:num>
  <w:num w:numId="13">
    <w:abstractNumId w:val="11"/>
  </w:num>
  <w:num w:numId="14">
    <w:abstractNumId w:val="3"/>
  </w:num>
  <w:num w:numId="15">
    <w:abstractNumId w:val="7"/>
  </w:num>
  <w:num w:numId="16">
    <w:abstractNumId w:val="8"/>
  </w:num>
  <w:num w:numId="17">
    <w:abstractNumId w:val="4"/>
  </w:num>
  <w:num w:numId="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279EB"/>
    <w:rsid w:val="000337E6"/>
    <w:rsid w:val="00034CE6"/>
    <w:rsid w:val="00036DF9"/>
    <w:rsid w:val="00043293"/>
    <w:rsid w:val="00054BFD"/>
    <w:rsid w:val="00056964"/>
    <w:rsid w:val="00060760"/>
    <w:rsid w:val="000616F3"/>
    <w:rsid w:val="00063778"/>
    <w:rsid w:val="00065129"/>
    <w:rsid w:val="000738FE"/>
    <w:rsid w:val="00074BD5"/>
    <w:rsid w:val="00075509"/>
    <w:rsid w:val="00080933"/>
    <w:rsid w:val="00097843"/>
    <w:rsid w:val="000A089D"/>
    <w:rsid w:val="000A2A44"/>
    <w:rsid w:val="000A4EE0"/>
    <w:rsid w:val="000B0D23"/>
    <w:rsid w:val="000B261C"/>
    <w:rsid w:val="000B6748"/>
    <w:rsid w:val="000B7FE9"/>
    <w:rsid w:val="000D1111"/>
    <w:rsid w:val="000D3A39"/>
    <w:rsid w:val="000D3AF5"/>
    <w:rsid w:val="000E0010"/>
    <w:rsid w:val="000E4EFE"/>
    <w:rsid w:val="000F0AF3"/>
    <w:rsid w:val="000F154F"/>
    <w:rsid w:val="000F1823"/>
    <w:rsid w:val="000F21F2"/>
    <w:rsid w:val="000F2F76"/>
    <w:rsid w:val="000F4249"/>
    <w:rsid w:val="0010227C"/>
    <w:rsid w:val="001026AA"/>
    <w:rsid w:val="00111AA3"/>
    <w:rsid w:val="00115E77"/>
    <w:rsid w:val="001201D5"/>
    <w:rsid w:val="00120277"/>
    <w:rsid w:val="00120E81"/>
    <w:rsid w:val="001240D0"/>
    <w:rsid w:val="001324D2"/>
    <w:rsid w:val="00141B99"/>
    <w:rsid w:val="00142776"/>
    <w:rsid w:val="00147571"/>
    <w:rsid w:val="001532B7"/>
    <w:rsid w:val="00162764"/>
    <w:rsid w:val="001628B1"/>
    <w:rsid w:val="00174C4B"/>
    <w:rsid w:val="001803A0"/>
    <w:rsid w:val="00181457"/>
    <w:rsid w:val="00183806"/>
    <w:rsid w:val="00183A7F"/>
    <w:rsid w:val="00184AE5"/>
    <w:rsid w:val="0018798A"/>
    <w:rsid w:val="00190F5C"/>
    <w:rsid w:val="0019135D"/>
    <w:rsid w:val="00195B7B"/>
    <w:rsid w:val="00196C32"/>
    <w:rsid w:val="001A1879"/>
    <w:rsid w:val="001A1B67"/>
    <w:rsid w:val="001A7AF7"/>
    <w:rsid w:val="001A7C2C"/>
    <w:rsid w:val="001B47DF"/>
    <w:rsid w:val="001B6007"/>
    <w:rsid w:val="001C202C"/>
    <w:rsid w:val="001C42D0"/>
    <w:rsid w:val="001C5DC3"/>
    <w:rsid w:val="001D3E1D"/>
    <w:rsid w:val="001D5757"/>
    <w:rsid w:val="001D7080"/>
    <w:rsid w:val="001D736E"/>
    <w:rsid w:val="001E0764"/>
    <w:rsid w:val="001E7137"/>
    <w:rsid w:val="001F4B9E"/>
    <w:rsid w:val="001F6B43"/>
    <w:rsid w:val="002025CD"/>
    <w:rsid w:val="002105E7"/>
    <w:rsid w:val="00210FF3"/>
    <w:rsid w:val="002245AB"/>
    <w:rsid w:val="00225B53"/>
    <w:rsid w:val="0022692B"/>
    <w:rsid w:val="002307BD"/>
    <w:rsid w:val="002315EE"/>
    <w:rsid w:val="00244B01"/>
    <w:rsid w:val="002452F9"/>
    <w:rsid w:val="0025548D"/>
    <w:rsid w:val="00255C18"/>
    <w:rsid w:val="00255F7D"/>
    <w:rsid w:val="00256114"/>
    <w:rsid w:val="0025618C"/>
    <w:rsid w:val="00262914"/>
    <w:rsid w:val="00262EFB"/>
    <w:rsid w:val="00265A99"/>
    <w:rsid w:val="00266F2F"/>
    <w:rsid w:val="0026791C"/>
    <w:rsid w:val="00271E92"/>
    <w:rsid w:val="00276B75"/>
    <w:rsid w:val="00280C60"/>
    <w:rsid w:val="00281C63"/>
    <w:rsid w:val="002848F4"/>
    <w:rsid w:val="0028603C"/>
    <w:rsid w:val="00291E85"/>
    <w:rsid w:val="002922CE"/>
    <w:rsid w:val="00293D8D"/>
    <w:rsid w:val="0029452F"/>
    <w:rsid w:val="00295874"/>
    <w:rsid w:val="002A1D8C"/>
    <w:rsid w:val="002C1797"/>
    <w:rsid w:val="002C54D6"/>
    <w:rsid w:val="002C56AC"/>
    <w:rsid w:val="002D0DD5"/>
    <w:rsid w:val="002D1DFE"/>
    <w:rsid w:val="002D2748"/>
    <w:rsid w:val="002D3CAD"/>
    <w:rsid w:val="002D428E"/>
    <w:rsid w:val="002E175B"/>
    <w:rsid w:val="002E25A9"/>
    <w:rsid w:val="002E28B0"/>
    <w:rsid w:val="002E548B"/>
    <w:rsid w:val="002E6B01"/>
    <w:rsid w:val="002F63A2"/>
    <w:rsid w:val="00303041"/>
    <w:rsid w:val="003041DD"/>
    <w:rsid w:val="00305AE1"/>
    <w:rsid w:val="0030733F"/>
    <w:rsid w:val="00307A43"/>
    <w:rsid w:val="00315CE8"/>
    <w:rsid w:val="00317D9F"/>
    <w:rsid w:val="00320CDE"/>
    <w:rsid w:val="00320DF3"/>
    <w:rsid w:val="003233E7"/>
    <w:rsid w:val="003254BC"/>
    <w:rsid w:val="00330692"/>
    <w:rsid w:val="00334207"/>
    <w:rsid w:val="00334229"/>
    <w:rsid w:val="00337A3A"/>
    <w:rsid w:val="003454F6"/>
    <w:rsid w:val="00350D53"/>
    <w:rsid w:val="003534C4"/>
    <w:rsid w:val="003641BA"/>
    <w:rsid w:val="003723B7"/>
    <w:rsid w:val="00372B02"/>
    <w:rsid w:val="0037786D"/>
    <w:rsid w:val="00377D40"/>
    <w:rsid w:val="003963E3"/>
    <w:rsid w:val="003A298D"/>
    <w:rsid w:val="003B2034"/>
    <w:rsid w:val="003B5176"/>
    <w:rsid w:val="003B5F45"/>
    <w:rsid w:val="003B6EA6"/>
    <w:rsid w:val="003C1C8E"/>
    <w:rsid w:val="003D17A9"/>
    <w:rsid w:val="003D1829"/>
    <w:rsid w:val="003D2587"/>
    <w:rsid w:val="003D6946"/>
    <w:rsid w:val="003D6D6E"/>
    <w:rsid w:val="003D7AD4"/>
    <w:rsid w:val="003E3D47"/>
    <w:rsid w:val="003E791C"/>
    <w:rsid w:val="00404810"/>
    <w:rsid w:val="00411630"/>
    <w:rsid w:val="00414645"/>
    <w:rsid w:val="00417A95"/>
    <w:rsid w:val="00424E5D"/>
    <w:rsid w:val="00425F46"/>
    <w:rsid w:val="00434F56"/>
    <w:rsid w:val="004359FC"/>
    <w:rsid w:val="004467C4"/>
    <w:rsid w:val="004525A2"/>
    <w:rsid w:val="00455833"/>
    <w:rsid w:val="004604FB"/>
    <w:rsid w:val="00461386"/>
    <w:rsid w:val="00462D00"/>
    <w:rsid w:val="004712EB"/>
    <w:rsid w:val="00476425"/>
    <w:rsid w:val="0048088F"/>
    <w:rsid w:val="00480BB2"/>
    <w:rsid w:val="004818E1"/>
    <w:rsid w:val="00481A7E"/>
    <w:rsid w:val="0048427F"/>
    <w:rsid w:val="00495C9D"/>
    <w:rsid w:val="004A0164"/>
    <w:rsid w:val="004B7492"/>
    <w:rsid w:val="004C2B30"/>
    <w:rsid w:val="004C52FC"/>
    <w:rsid w:val="004C7DB2"/>
    <w:rsid w:val="004D3BE1"/>
    <w:rsid w:val="004D3C8C"/>
    <w:rsid w:val="004E1DCA"/>
    <w:rsid w:val="004E47AA"/>
    <w:rsid w:val="004E4BD6"/>
    <w:rsid w:val="004E6373"/>
    <w:rsid w:val="004F41D5"/>
    <w:rsid w:val="00503887"/>
    <w:rsid w:val="0051294F"/>
    <w:rsid w:val="00516463"/>
    <w:rsid w:val="00520FBE"/>
    <w:rsid w:val="0052152C"/>
    <w:rsid w:val="00524802"/>
    <w:rsid w:val="005355A4"/>
    <w:rsid w:val="0054350A"/>
    <w:rsid w:val="00543CAF"/>
    <w:rsid w:val="005531E8"/>
    <w:rsid w:val="005674F9"/>
    <w:rsid w:val="00573ECD"/>
    <w:rsid w:val="00576D25"/>
    <w:rsid w:val="00583D47"/>
    <w:rsid w:val="00585766"/>
    <w:rsid w:val="005863ED"/>
    <w:rsid w:val="005864A4"/>
    <w:rsid w:val="005918B2"/>
    <w:rsid w:val="00597F85"/>
    <w:rsid w:val="005A2D5A"/>
    <w:rsid w:val="005D19D9"/>
    <w:rsid w:val="005E6F23"/>
    <w:rsid w:val="005F205E"/>
    <w:rsid w:val="005F5F7E"/>
    <w:rsid w:val="005F6B5B"/>
    <w:rsid w:val="005F7377"/>
    <w:rsid w:val="005F7BC1"/>
    <w:rsid w:val="0061454F"/>
    <w:rsid w:val="0061712A"/>
    <w:rsid w:val="006236BE"/>
    <w:rsid w:val="00624906"/>
    <w:rsid w:val="00632AF3"/>
    <w:rsid w:val="006368CC"/>
    <w:rsid w:val="00637591"/>
    <w:rsid w:val="00640611"/>
    <w:rsid w:val="00643904"/>
    <w:rsid w:val="00651CF2"/>
    <w:rsid w:val="006532D6"/>
    <w:rsid w:val="0065453B"/>
    <w:rsid w:val="00654C15"/>
    <w:rsid w:val="006551C4"/>
    <w:rsid w:val="0065569D"/>
    <w:rsid w:val="00660080"/>
    <w:rsid w:val="00660BBF"/>
    <w:rsid w:val="0066285F"/>
    <w:rsid w:val="006642EF"/>
    <w:rsid w:val="0066607A"/>
    <w:rsid w:val="00677703"/>
    <w:rsid w:val="006835C1"/>
    <w:rsid w:val="00690A3D"/>
    <w:rsid w:val="006A2AA3"/>
    <w:rsid w:val="006A40B7"/>
    <w:rsid w:val="006A7810"/>
    <w:rsid w:val="006B198D"/>
    <w:rsid w:val="006B2F1C"/>
    <w:rsid w:val="006B5D02"/>
    <w:rsid w:val="006B6194"/>
    <w:rsid w:val="006C142B"/>
    <w:rsid w:val="006C28B1"/>
    <w:rsid w:val="006C4C0B"/>
    <w:rsid w:val="006C4F5E"/>
    <w:rsid w:val="006D67EB"/>
    <w:rsid w:val="006E14B5"/>
    <w:rsid w:val="006E3686"/>
    <w:rsid w:val="006F0183"/>
    <w:rsid w:val="006F144A"/>
    <w:rsid w:val="006F2F48"/>
    <w:rsid w:val="006F62EF"/>
    <w:rsid w:val="00716A26"/>
    <w:rsid w:val="00722009"/>
    <w:rsid w:val="00740D35"/>
    <w:rsid w:val="00746675"/>
    <w:rsid w:val="007511B3"/>
    <w:rsid w:val="00751FC5"/>
    <w:rsid w:val="00774C1E"/>
    <w:rsid w:val="00781DA4"/>
    <w:rsid w:val="00781EA3"/>
    <w:rsid w:val="00781FD9"/>
    <w:rsid w:val="007825CC"/>
    <w:rsid w:val="007856A2"/>
    <w:rsid w:val="0078669D"/>
    <w:rsid w:val="00786F00"/>
    <w:rsid w:val="00791FF2"/>
    <w:rsid w:val="0079281D"/>
    <w:rsid w:val="00794EA2"/>
    <w:rsid w:val="007A16D1"/>
    <w:rsid w:val="007A43CE"/>
    <w:rsid w:val="007B3313"/>
    <w:rsid w:val="007C1FEF"/>
    <w:rsid w:val="007C46D3"/>
    <w:rsid w:val="007C74F5"/>
    <w:rsid w:val="007E36F4"/>
    <w:rsid w:val="007F45E6"/>
    <w:rsid w:val="007F6601"/>
    <w:rsid w:val="007F66F9"/>
    <w:rsid w:val="00801F01"/>
    <w:rsid w:val="0080292B"/>
    <w:rsid w:val="008034BE"/>
    <w:rsid w:val="008056C5"/>
    <w:rsid w:val="00805C23"/>
    <w:rsid w:val="00807113"/>
    <w:rsid w:val="00817647"/>
    <w:rsid w:val="00817DDA"/>
    <w:rsid w:val="00821011"/>
    <w:rsid w:val="008258DA"/>
    <w:rsid w:val="00827AE5"/>
    <w:rsid w:val="008343AA"/>
    <w:rsid w:val="00834792"/>
    <w:rsid w:val="00847243"/>
    <w:rsid w:val="008542CA"/>
    <w:rsid w:val="008642E1"/>
    <w:rsid w:val="00875A7C"/>
    <w:rsid w:val="00877383"/>
    <w:rsid w:val="00880686"/>
    <w:rsid w:val="008836F4"/>
    <w:rsid w:val="008860C1"/>
    <w:rsid w:val="008909D4"/>
    <w:rsid w:val="00892A72"/>
    <w:rsid w:val="008942FA"/>
    <w:rsid w:val="00897A68"/>
    <w:rsid w:val="008B52A0"/>
    <w:rsid w:val="008C107A"/>
    <w:rsid w:val="008D4D55"/>
    <w:rsid w:val="008E063A"/>
    <w:rsid w:val="008E49CE"/>
    <w:rsid w:val="008F3D47"/>
    <w:rsid w:val="008F41A6"/>
    <w:rsid w:val="00902A6D"/>
    <w:rsid w:val="009031A1"/>
    <w:rsid w:val="009108ED"/>
    <w:rsid w:val="00915CDA"/>
    <w:rsid w:val="00925394"/>
    <w:rsid w:val="0092540D"/>
    <w:rsid w:val="009268A3"/>
    <w:rsid w:val="009345A8"/>
    <w:rsid w:val="0094204C"/>
    <w:rsid w:val="00945F29"/>
    <w:rsid w:val="00946D63"/>
    <w:rsid w:val="00952FA6"/>
    <w:rsid w:val="00963DD8"/>
    <w:rsid w:val="0096686F"/>
    <w:rsid w:val="009803E2"/>
    <w:rsid w:val="00981D62"/>
    <w:rsid w:val="00985A36"/>
    <w:rsid w:val="009A11BD"/>
    <w:rsid w:val="009A2E63"/>
    <w:rsid w:val="009A2F4E"/>
    <w:rsid w:val="009A356B"/>
    <w:rsid w:val="009A451E"/>
    <w:rsid w:val="009A616E"/>
    <w:rsid w:val="009A69F0"/>
    <w:rsid w:val="009B6908"/>
    <w:rsid w:val="009C1092"/>
    <w:rsid w:val="009C6623"/>
    <w:rsid w:val="009D4970"/>
    <w:rsid w:val="009E2519"/>
    <w:rsid w:val="009F2769"/>
    <w:rsid w:val="009F2E92"/>
    <w:rsid w:val="009F71F8"/>
    <w:rsid w:val="00A03C1A"/>
    <w:rsid w:val="00A11155"/>
    <w:rsid w:val="00A14B89"/>
    <w:rsid w:val="00A201E2"/>
    <w:rsid w:val="00A21E6E"/>
    <w:rsid w:val="00A279B7"/>
    <w:rsid w:val="00A316A8"/>
    <w:rsid w:val="00A341DF"/>
    <w:rsid w:val="00A36BF7"/>
    <w:rsid w:val="00A36DEE"/>
    <w:rsid w:val="00A51345"/>
    <w:rsid w:val="00A54831"/>
    <w:rsid w:val="00A6078F"/>
    <w:rsid w:val="00A62968"/>
    <w:rsid w:val="00A63ACE"/>
    <w:rsid w:val="00A70731"/>
    <w:rsid w:val="00A8476F"/>
    <w:rsid w:val="00A91988"/>
    <w:rsid w:val="00A963AB"/>
    <w:rsid w:val="00AC0386"/>
    <w:rsid w:val="00AC62F8"/>
    <w:rsid w:val="00AD4FA7"/>
    <w:rsid w:val="00AE4AD2"/>
    <w:rsid w:val="00AE5F43"/>
    <w:rsid w:val="00AF1271"/>
    <w:rsid w:val="00AF6A23"/>
    <w:rsid w:val="00B04471"/>
    <w:rsid w:val="00B11F28"/>
    <w:rsid w:val="00B13C8D"/>
    <w:rsid w:val="00B171D4"/>
    <w:rsid w:val="00B21682"/>
    <w:rsid w:val="00B27095"/>
    <w:rsid w:val="00B31728"/>
    <w:rsid w:val="00B34F9E"/>
    <w:rsid w:val="00B42C55"/>
    <w:rsid w:val="00B44486"/>
    <w:rsid w:val="00B44B23"/>
    <w:rsid w:val="00B4625A"/>
    <w:rsid w:val="00B608D5"/>
    <w:rsid w:val="00B61D81"/>
    <w:rsid w:val="00B64675"/>
    <w:rsid w:val="00B65F4A"/>
    <w:rsid w:val="00B700A5"/>
    <w:rsid w:val="00B71307"/>
    <w:rsid w:val="00B738BE"/>
    <w:rsid w:val="00B754A9"/>
    <w:rsid w:val="00B75DD0"/>
    <w:rsid w:val="00B764F8"/>
    <w:rsid w:val="00B81607"/>
    <w:rsid w:val="00B8227E"/>
    <w:rsid w:val="00B8590F"/>
    <w:rsid w:val="00B90F20"/>
    <w:rsid w:val="00B91F1E"/>
    <w:rsid w:val="00BA3246"/>
    <w:rsid w:val="00BA411F"/>
    <w:rsid w:val="00BA527A"/>
    <w:rsid w:val="00BB272C"/>
    <w:rsid w:val="00BB2788"/>
    <w:rsid w:val="00BB28CF"/>
    <w:rsid w:val="00BB4ABC"/>
    <w:rsid w:val="00BB4C9F"/>
    <w:rsid w:val="00BB5574"/>
    <w:rsid w:val="00BC12BF"/>
    <w:rsid w:val="00BC5FF1"/>
    <w:rsid w:val="00BC6C11"/>
    <w:rsid w:val="00BC75DB"/>
    <w:rsid w:val="00BD2C4F"/>
    <w:rsid w:val="00BD3EF3"/>
    <w:rsid w:val="00BE3528"/>
    <w:rsid w:val="00BE51FF"/>
    <w:rsid w:val="00BF3561"/>
    <w:rsid w:val="00BF556C"/>
    <w:rsid w:val="00BF72CF"/>
    <w:rsid w:val="00C05015"/>
    <w:rsid w:val="00C05EFD"/>
    <w:rsid w:val="00C22083"/>
    <w:rsid w:val="00C23E8B"/>
    <w:rsid w:val="00C32DEA"/>
    <w:rsid w:val="00C45053"/>
    <w:rsid w:val="00C4663D"/>
    <w:rsid w:val="00C50A91"/>
    <w:rsid w:val="00C52D74"/>
    <w:rsid w:val="00C5365F"/>
    <w:rsid w:val="00C56C48"/>
    <w:rsid w:val="00C616FD"/>
    <w:rsid w:val="00C63B58"/>
    <w:rsid w:val="00C7001F"/>
    <w:rsid w:val="00C7004F"/>
    <w:rsid w:val="00C71F16"/>
    <w:rsid w:val="00C77723"/>
    <w:rsid w:val="00C800A9"/>
    <w:rsid w:val="00C80222"/>
    <w:rsid w:val="00C86826"/>
    <w:rsid w:val="00C86D2C"/>
    <w:rsid w:val="00C90C76"/>
    <w:rsid w:val="00C943D5"/>
    <w:rsid w:val="00CA10D7"/>
    <w:rsid w:val="00CA7256"/>
    <w:rsid w:val="00CB09E0"/>
    <w:rsid w:val="00CB402E"/>
    <w:rsid w:val="00CB57F8"/>
    <w:rsid w:val="00CC0679"/>
    <w:rsid w:val="00CC66AD"/>
    <w:rsid w:val="00CC69E8"/>
    <w:rsid w:val="00CC6AF3"/>
    <w:rsid w:val="00CD2613"/>
    <w:rsid w:val="00CE06A2"/>
    <w:rsid w:val="00CE118B"/>
    <w:rsid w:val="00CF0112"/>
    <w:rsid w:val="00CF34BC"/>
    <w:rsid w:val="00CF67E6"/>
    <w:rsid w:val="00D07030"/>
    <w:rsid w:val="00D1589C"/>
    <w:rsid w:val="00D169D2"/>
    <w:rsid w:val="00D23E74"/>
    <w:rsid w:val="00D3069F"/>
    <w:rsid w:val="00D31DDA"/>
    <w:rsid w:val="00D43EAF"/>
    <w:rsid w:val="00D44D7D"/>
    <w:rsid w:val="00D52978"/>
    <w:rsid w:val="00D57E53"/>
    <w:rsid w:val="00D60F74"/>
    <w:rsid w:val="00D632DC"/>
    <w:rsid w:val="00D708C3"/>
    <w:rsid w:val="00D72CCC"/>
    <w:rsid w:val="00D73E22"/>
    <w:rsid w:val="00D943E5"/>
    <w:rsid w:val="00D9642E"/>
    <w:rsid w:val="00DA5E37"/>
    <w:rsid w:val="00DA7620"/>
    <w:rsid w:val="00DA7FA2"/>
    <w:rsid w:val="00DB041B"/>
    <w:rsid w:val="00DB17B2"/>
    <w:rsid w:val="00DB268E"/>
    <w:rsid w:val="00DC0672"/>
    <w:rsid w:val="00DC5CEE"/>
    <w:rsid w:val="00DD42DB"/>
    <w:rsid w:val="00DF5973"/>
    <w:rsid w:val="00DF738A"/>
    <w:rsid w:val="00DF7501"/>
    <w:rsid w:val="00E12A67"/>
    <w:rsid w:val="00E12E4F"/>
    <w:rsid w:val="00E13C55"/>
    <w:rsid w:val="00E14C90"/>
    <w:rsid w:val="00E16205"/>
    <w:rsid w:val="00E254D9"/>
    <w:rsid w:val="00E25ACC"/>
    <w:rsid w:val="00E32194"/>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95B"/>
    <w:rsid w:val="00EC1EB5"/>
    <w:rsid w:val="00EC6B80"/>
    <w:rsid w:val="00ED0C45"/>
    <w:rsid w:val="00ED4142"/>
    <w:rsid w:val="00EF15CD"/>
    <w:rsid w:val="00EF6E21"/>
    <w:rsid w:val="00F0239E"/>
    <w:rsid w:val="00F07EFD"/>
    <w:rsid w:val="00F1164D"/>
    <w:rsid w:val="00F1200D"/>
    <w:rsid w:val="00F154DF"/>
    <w:rsid w:val="00F17103"/>
    <w:rsid w:val="00F17897"/>
    <w:rsid w:val="00F17C08"/>
    <w:rsid w:val="00F26024"/>
    <w:rsid w:val="00F27D5C"/>
    <w:rsid w:val="00F340B8"/>
    <w:rsid w:val="00F37373"/>
    <w:rsid w:val="00F417C8"/>
    <w:rsid w:val="00F43F29"/>
    <w:rsid w:val="00F509AE"/>
    <w:rsid w:val="00F55230"/>
    <w:rsid w:val="00F60941"/>
    <w:rsid w:val="00F60C52"/>
    <w:rsid w:val="00F60FAC"/>
    <w:rsid w:val="00F7110B"/>
    <w:rsid w:val="00F81080"/>
    <w:rsid w:val="00F8191D"/>
    <w:rsid w:val="00F86156"/>
    <w:rsid w:val="00F86710"/>
    <w:rsid w:val="00F920EB"/>
    <w:rsid w:val="00F938A3"/>
    <w:rsid w:val="00F94A4C"/>
    <w:rsid w:val="00F94D4D"/>
    <w:rsid w:val="00F953C7"/>
    <w:rsid w:val="00F95896"/>
    <w:rsid w:val="00FA24D1"/>
    <w:rsid w:val="00FA7DDB"/>
    <w:rsid w:val="00FB0E89"/>
    <w:rsid w:val="00FB231A"/>
    <w:rsid w:val="00FB4AA9"/>
    <w:rsid w:val="00FB66EE"/>
    <w:rsid w:val="00FC133E"/>
    <w:rsid w:val="00FC1435"/>
    <w:rsid w:val="00FC1459"/>
    <w:rsid w:val="00FC45CA"/>
    <w:rsid w:val="00FC49AB"/>
    <w:rsid w:val="00FC743D"/>
    <w:rsid w:val="00FC76FF"/>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7538C-8E90-4514-BD8E-99806D81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5">
    <w:name w:val="xl65"/>
    <w:basedOn w:val="Normal"/>
    <w:rsid w:val="00147571"/>
    <w:pPr>
      <w:spacing w:before="100" w:beforeAutospacing="1" w:after="100" w:afterAutospacing="1"/>
      <w:jc w:val="right"/>
    </w:pPr>
  </w:style>
  <w:style w:type="paragraph" w:customStyle="1" w:styleId="xl66">
    <w:name w:val="xl66"/>
    <w:basedOn w:val="Normal"/>
    <w:rsid w:val="00147571"/>
    <w:pPr>
      <w:spacing w:before="100" w:beforeAutospacing="1" w:after="100" w:afterAutospacing="1"/>
      <w:textAlignment w:val="top"/>
    </w:pPr>
  </w:style>
  <w:style w:type="paragraph" w:customStyle="1" w:styleId="xl68">
    <w:name w:val="xl68"/>
    <w:basedOn w:val="Normal"/>
    <w:rsid w:val="00147571"/>
    <w:pPr>
      <w:shd w:val="clear" w:color="000000" w:fill="D9D9D9"/>
      <w:spacing w:before="100" w:beforeAutospacing="1" w:after="100" w:afterAutospacing="1"/>
    </w:pPr>
  </w:style>
  <w:style w:type="paragraph" w:customStyle="1" w:styleId="xl69">
    <w:name w:val="xl69"/>
    <w:basedOn w:val="Normal"/>
    <w:rsid w:val="00147571"/>
    <w:pPr>
      <w:shd w:val="clear" w:color="000000" w:fill="D9D9D9"/>
      <w:spacing w:before="100" w:beforeAutospacing="1" w:after="100" w:afterAutospacing="1"/>
    </w:pPr>
  </w:style>
  <w:style w:type="paragraph" w:customStyle="1" w:styleId="xl70">
    <w:name w:val="xl70"/>
    <w:basedOn w:val="Normal"/>
    <w:rsid w:val="00147571"/>
    <w:pPr>
      <w:shd w:val="clear" w:color="000000" w:fill="D9D9D9"/>
      <w:spacing w:before="100" w:beforeAutospacing="1" w:after="100" w:afterAutospacing="1"/>
      <w:jc w:val="right"/>
    </w:pPr>
  </w:style>
  <w:style w:type="paragraph" w:customStyle="1" w:styleId="xl71">
    <w:name w:val="xl71"/>
    <w:basedOn w:val="Normal"/>
    <w:rsid w:val="00147571"/>
    <w:pPr>
      <w:spacing w:before="100" w:beforeAutospacing="1" w:after="100" w:afterAutospacing="1"/>
      <w:textAlignment w:val="top"/>
    </w:pPr>
    <w:rPr>
      <w:b/>
      <w:bCs/>
    </w:rPr>
  </w:style>
  <w:style w:type="paragraph" w:customStyle="1" w:styleId="xl72">
    <w:name w:val="xl72"/>
    <w:basedOn w:val="Normal"/>
    <w:rsid w:val="00147571"/>
    <w:pPr>
      <w:spacing w:before="100" w:beforeAutospacing="1" w:after="100" w:afterAutospacing="1"/>
      <w:textAlignment w:val="top"/>
    </w:pPr>
    <w:rPr>
      <w:b/>
      <w:bCs/>
    </w:rPr>
  </w:style>
  <w:style w:type="paragraph" w:customStyle="1" w:styleId="xl73">
    <w:name w:val="xl73"/>
    <w:basedOn w:val="Normal"/>
    <w:rsid w:val="00147571"/>
    <w:pPr>
      <w:spacing w:before="100" w:beforeAutospacing="1" w:after="100" w:afterAutospacing="1"/>
      <w:jc w:val="right"/>
      <w:textAlignment w:val="top"/>
    </w:pPr>
    <w:rPr>
      <w:b/>
      <w:bCs/>
    </w:rPr>
  </w:style>
  <w:style w:type="paragraph" w:styleId="NoSpacing">
    <w:name w:val="No Spacing"/>
    <w:uiPriority w:val="1"/>
    <w:qFormat/>
    <w:rsid w:val="002452F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0591258">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01603478">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22723614">
      <w:bodyDiv w:val="1"/>
      <w:marLeft w:val="0"/>
      <w:marRight w:val="0"/>
      <w:marTop w:val="0"/>
      <w:marBottom w:val="0"/>
      <w:divBdr>
        <w:top w:val="none" w:sz="0" w:space="0" w:color="auto"/>
        <w:left w:val="none" w:sz="0" w:space="0" w:color="auto"/>
        <w:bottom w:val="none" w:sz="0" w:space="0" w:color="auto"/>
        <w:right w:val="none" w:sz="0" w:space="0" w:color="auto"/>
      </w:divBdr>
    </w:div>
    <w:div w:id="48628933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00343939">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51723295">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33129547">
      <w:bodyDiv w:val="1"/>
      <w:marLeft w:val="0"/>
      <w:marRight w:val="0"/>
      <w:marTop w:val="0"/>
      <w:marBottom w:val="0"/>
      <w:divBdr>
        <w:top w:val="none" w:sz="0" w:space="0" w:color="auto"/>
        <w:left w:val="none" w:sz="0" w:space="0" w:color="auto"/>
        <w:bottom w:val="none" w:sz="0" w:space="0" w:color="auto"/>
        <w:right w:val="none" w:sz="0" w:space="0" w:color="auto"/>
      </w:divBdr>
    </w:div>
    <w:div w:id="952051012">
      <w:bodyDiv w:val="1"/>
      <w:marLeft w:val="0"/>
      <w:marRight w:val="0"/>
      <w:marTop w:val="0"/>
      <w:marBottom w:val="0"/>
      <w:divBdr>
        <w:top w:val="none" w:sz="0" w:space="0" w:color="auto"/>
        <w:left w:val="none" w:sz="0" w:space="0" w:color="auto"/>
        <w:bottom w:val="none" w:sz="0" w:space="0" w:color="auto"/>
        <w:right w:val="none" w:sz="0" w:space="0" w:color="auto"/>
      </w:divBdr>
    </w:div>
    <w:div w:id="1085958103">
      <w:bodyDiv w:val="1"/>
      <w:marLeft w:val="0"/>
      <w:marRight w:val="0"/>
      <w:marTop w:val="0"/>
      <w:marBottom w:val="0"/>
      <w:divBdr>
        <w:top w:val="none" w:sz="0" w:space="0" w:color="auto"/>
        <w:left w:val="none" w:sz="0" w:space="0" w:color="auto"/>
        <w:bottom w:val="none" w:sz="0" w:space="0" w:color="auto"/>
        <w:right w:val="none" w:sz="0" w:space="0" w:color="auto"/>
      </w:divBdr>
    </w:div>
    <w:div w:id="111000603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1175206">
      <w:bodyDiv w:val="1"/>
      <w:marLeft w:val="0"/>
      <w:marRight w:val="0"/>
      <w:marTop w:val="0"/>
      <w:marBottom w:val="0"/>
      <w:divBdr>
        <w:top w:val="none" w:sz="0" w:space="0" w:color="auto"/>
        <w:left w:val="none" w:sz="0" w:space="0" w:color="auto"/>
        <w:bottom w:val="none" w:sz="0" w:space="0" w:color="auto"/>
        <w:right w:val="none" w:sz="0" w:space="0" w:color="auto"/>
      </w:divBdr>
    </w:div>
    <w:div w:id="1385643806">
      <w:bodyDiv w:val="1"/>
      <w:marLeft w:val="0"/>
      <w:marRight w:val="0"/>
      <w:marTop w:val="0"/>
      <w:marBottom w:val="0"/>
      <w:divBdr>
        <w:top w:val="none" w:sz="0" w:space="0" w:color="auto"/>
        <w:left w:val="none" w:sz="0" w:space="0" w:color="auto"/>
        <w:bottom w:val="none" w:sz="0" w:space="0" w:color="auto"/>
        <w:right w:val="none" w:sz="0" w:space="0" w:color="auto"/>
      </w:divBdr>
    </w:div>
    <w:div w:id="1392457107">
      <w:bodyDiv w:val="1"/>
      <w:marLeft w:val="0"/>
      <w:marRight w:val="0"/>
      <w:marTop w:val="0"/>
      <w:marBottom w:val="0"/>
      <w:divBdr>
        <w:top w:val="none" w:sz="0" w:space="0" w:color="auto"/>
        <w:left w:val="none" w:sz="0" w:space="0" w:color="auto"/>
        <w:bottom w:val="none" w:sz="0" w:space="0" w:color="auto"/>
        <w:right w:val="none" w:sz="0" w:space="0" w:color="auto"/>
      </w:divBdr>
    </w:div>
    <w:div w:id="1422674800">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32188864">
      <w:bodyDiv w:val="1"/>
      <w:marLeft w:val="0"/>
      <w:marRight w:val="0"/>
      <w:marTop w:val="0"/>
      <w:marBottom w:val="0"/>
      <w:divBdr>
        <w:top w:val="none" w:sz="0" w:space="0" w:color="auto"/>
        <w:left w:val="none" w:sz="0" w:space="0" w:color="auto"/>
        <w:bottom w:val="none" w:sz="0" w:space="0" w:color="auto"/>
        <w:right w:val="none" w:sz="0" w:space="0" w:color="auto"/>
      </w:divBdr>
    </w:div>
    <w:div w:id="1745225515">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67983082">
      <w:bodyDiv w:val="1"/>
      <w:marLeft w:val="0"/>
      <w:marRight w:val="0"/>
      <w:marTop w:val="0"/>
      <w:marBottom w:val="0"/>
      <w:divBdr>
        <w:top w:val="none" w:sz="0" w:space="0" w:color="auto"/>
        <w:left w:val="none" w:sz="0" w:space="0" w:color="auto"/>
        <w:bottom w:val="none" w:sz="0" w:space="0" w:color="auto"/>
        <w:right w:val="none" w:sz="0" w:space="0" w:color="auto"/>
      </w:divBdr>
    </w:div>
    <w:div w:id="1896697840">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86660384">
      <w:bodyDiv w:val="1"/>
      <w:marLeft w:val="0"/>
      <w:marRight w:val="0"/>
      <w:marTop w:val="0"/>
      <w:marBottom w:val="0"/>
      <w:divBdr>
        <w:top w:val="none" w:sz="0" w:space="0" w:color="auto"/>
        <w:left w:val="none" w:sz="0" w:space="0" w:color="auto"/>
        <w:bottom w:val="none" w:sz="0" w:space="0" w:color="auto"/>
        <w:right w:val="none" w:sz="0" w:space="0" w:color="auto"/>
      </w:divBdr>
    </w:div>
    <w:div w:id="20457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0575 - Industrial Engineering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19</c:v>
                </c:pt>
                <c:pt idx="1">
                  <c:v>16</c:v>
                </c:pt>
                <c:pt idx="2">
                  <c:v>10</c:v>
                </c:pt>
                <c:pt idx="3">
                  <c:v>12</c:v>
                </c:pt>
                <c:pt idx="4" formatCode="General">
                  <c:v>10</c:v>
                </c:pt>
                <c:pt idx="5" formatCode="General">
                  <c:v>9</c:v>
                </c:pt>
                <c:pt idx="6" formatCode="General">
                  <c:v>4</c:v>
                </c:pt>
              </c:numCache>
            </c:numRef>
          </c:val>
        </c:ser>
        <c:ser>
          <c:idx val="1"/>
          <c:order val="1"/>
          <c:tx>
            <c:strRef>
              <c:f>'[Charts.xlsx]CHART FOR COMPLETIONS'!$M$7</c:f>
              <c:strCache>
                <c:ptCount val="1"/>
                <c:pt idx="0">
                  <c:v>0576 - Operations Technology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6</c:v>
                </c:pt>
                <c:pt idx="1">
                  <c:v>9</c:v>
                </c:pt>
                <c:pt idx="2">
                  <c:v>25</c:v>
                </c:pt>
                <c:pt idx="3">
                  <c:v>44</c:v>
                </c:pt>
                <c:pt idx="4" formatCode="General">
                  <c:v>23</c:v>
                </c:pt>
                <c:pt idx="5" formatCode="General">
                  <c:v>16</c:v>
                </c:pt>
                <c:pt idx="6" formatCode="General">
                  <c:v>15</c:v>
                </c:pt>
              </c:numCache>
            </c:numRef>
          </c:val>
        </c:ser>
        <c:dLbls>
          <c:showLegendKey val="0"/>
          <c:showVal val="0"/>
          <c:showCatName val="0"/>
          <c:showSerName val="0"/>
          <c:showPercent val="0"/>
          <c:showBubbleSize val="0"/>
        </c:dLbls>
        <c:gapWidth val="150"/>
        <c:axId val="275013944"/>
        <c:axId val="275014336"/>
      </c:barChart>
      <c:catAx>
        <c:axId val="275013944"/>
        <c:scaling>
          <c:orientation val="minMax"/>
        </c:scaling>
        <c:delete val="0"/>
        <c:axPos val="b"/>
        <c:numFmt formatCode="General" sourceLinked="0"/>
        <c:majorTickMark val="out"/>
        <c:minorTickMark val="none"/>
        <c:tickLblPos val="nextTo"/>
        <c:crossAx val="275014336"/>
        <c:crosses val="autoZero"/>
        <c:auto val="1"/>
        <c:lblAlgn val="ctr"/>
        <c:lblOffset val="100"/>
        <c:noMultiLvlLbl val="0"/>
      </c:catAx>
      <c:valAx>
        <c:axId val="27501433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7501394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0576 - Operations Technology</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0.89600000000000002</c:v>
                </c:pt>
                <c:pt idx="1">
                  <c:v>0.878</c:v>
                </c:pt>
                <c:pt idx="2">
                  <c:v>0.876</c:v>
                </c:pt>
                <c:pt idx="3">
                  <c:v>0.88800000000000001</c:v>
                </c:pt>
                <c:pt idx="4">
                  <c:v>0.89200000000000002</c:v>
                </c:pt>
                <c:pt idx="5">
                  <c:v>0.88100000000000001</c:v>
                </c:pt>
                <c:pt idx="6">
                  <c:v>0.85799999999999998</c:v>
                </c:pt>
              </c:numCache>
            </c:numRef>
          </c:val>
        </c:ser>
        <c:ser>
          <c:idx val="1"/>
          <c:order val="1"/>
          <c:tx>
            <c:strRef>
              <c:f>'CHART FOR SUCCESS RATES'!$C$8</c:f>
              <c:strCache>
                <c:ptCount val="1"/>
                <c:pt idx="0">
                  <c:v>SME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0.68400000000000005</c:v>
                </c:pt>
                <c:pt idx="1">
                  <c:v>0.67800000000000005</c:v>
                </c:pt>
                <c:pt idx="2">
                  <c:v>0.66500000000000004</c:v>
                </c:pt>
                <c:pt idx="3">
                  <c:v>0.65600000000000003</c:v>
                </c:pt>
                <c:pt idx="4">
                  <c:v>0.67</c:v>
                </c:pt>
                <c:pt idx="5" formatCode="0.00%">
                  <c:v>0.64800000000000002</c:v>
                </c:pt>
                <c:pt idx="6" formatCode="0.00%">
                  <c:v>0.65600000000000003</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75015120"/>
        <c:axId val="275015512"/>
      </c:barChart>
      <c:catAx>
        <c:axId val="275015120"/>
        <c:scaling>
          <c:orientation val="minMax"/>
        </c:scaling>
        <c:delete val="0"/>
        <c:axPos val="b"/>
        <c:numFmt formatCode="General" sourceLinked="1"/>
        <c:majorTickMark val="none"/>
        <c:minorTickMark val="none"/>
        <c:tickLblPos val="nextTo"/>
        <c:crossAx val="275015512"/>
        <c:crosses val="autoZero"/>
        <c:auto val="1"/>
        <c:lblAlgn val="ctr"/>
        <c:lblOffset val="100"/>
        <c:noMultiLvlLbl val="0"/>
      </c:catAx>
      <c:valAx>
        <c:axId val="27501551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7501512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EA1A-01D9-486A-AEB8-A3310E56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Anderson, Shep</cp:lastModifiedBy>
  <cp:revision>4</cp:revision>
  <cp:lastPrinted>2013-10-11T15:26:00Z</cp:lastPrinted>
  <dcterms:created xsi:type="dcterms:W3CDTF">2015-05-01T18:43:00Z</dcterms:created>
  <dcterms:modified xsi:type="dcterms:W3CDTF">2015-05-01T19:58:00Z</dcterms:modified>
</cp:coreProperties>
</file>