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066CD6">
        <w:rPr>
          <w:rFonts w:ascii="Arial" w:hAnsi="Arial" w:cs="Arial"/>
          <w:b/>
          <w:color w:val="000000" w:themeColor="text1"/>
        </w:rPr>
        <w:t>3</w:t>
      </w:r>
      <w:r w:rsidR="001D736E">
        <w:rPr>
          <w:rFonts w:ascii="Arial" w:hAnsi="Arial" w:cs="Arial"/>
          <w:b/>
          <w:color w:val="000000" w:themeColor="text1"/>
        </w:rPr>
        <w:t>-1</w:t>
      </w:r>
      <w:r w:rsidR="00066CD6">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066CD6">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601E46">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B812F8" w:rsidRPr="00B812F8">
        <w:rPr>
          <w:rFonts w:ascii="Arial" w:hAnsi="Arial" w:cs="Arial"/>
          <w:color w:val="000000" w:themeColor="text1"/>
          <w:u w:val="single"/>
        </w:rPr>
        <w:t>055</w:t>
      </w:r>
      <w:r w:rsidR="00B812F8">
        <w:rPr>
          <w:rFonts w:ascii="Arial" w:hAnsi="Arial" w:cs="Arial"/>
          <w:color w:val="000000" w:themeColor="text1"/>
          <w:u w:val="single"/>
        </w:rPr>
        <w:t>1</w:t>
      </w:r>
      <w:r w:rsidR="00B812F8" w:rsidRPr="00B812F8">
        <w:rPr>
          <w:rFonts w:ascii="Arial" w:hAnsi="Arial" w:cs="Arial"/>
          <w:color w:val="000000" w:themeColor="text1"/>
          <w:u w:val="single"/>
        </w:rPr>
        <w:t xml:space="preserve"> - Engineering Technical Design</w:t>
      </w:r>
      <w:r w:rsidR="00601E46">
        <w:rPr>
          <w:rFonts w:ascii="Arial" w:hAnsi="Arial" w:cs="Arial"/>
          <w:color w:val="000000" w:themeColor="text1"/>
          <w:u w:val="single"/>
        </w:rPr>
        <w:t>_________________</w:t>
      </w:r>
      <w:r w:rsidR="00601E46">
        <w:rPr>
          <w:rFonts w:ascii="Arial" w:hAnsi="Arial" w:cs="Arial"/>
          <w:color w:val="000000" w:themeColor="text1"/>
          <w:u w:val="single"/>
        </w:rPr>
        <w:br/>
        <w:t xml:space="preserve">                        </w:t>
      </w:r>
      <w:r w:rsidR="007B0108">
        <w:rPr>
          <w:rFonts w:ascii="Arial" w:hAnsi="Arial" w:cs="Arial"/>
          <w:color w:val="000000" w:themeColor="text1"/>
          <w:u w:val="single"/>
        </w:rPr>
        <w:t xml:space="preserve">0552 – </w:t>
      </w:r>
      <w:r w:rsidR="00553BF3" w:rsidRPr="00553BF3">
        <w:rPr>
          <w:rFonts w:ascii="Arial" w:hAnsi="Arial" w:cs="Arial"/>
          <w:color w:val="000000"/>
          <w:u w:val="single"/>
        </w:rPr>
        <w:t xml:space="preserve">Heating, Air Cond, &amp; </w:t>
      </w:r>
      <w:r w:rsidR="00601E46" w:rsidRPr="00553BF3">
        <w:rPr>
          <w:rFonts w:ascii="Arial" w:hAnsi="Arial" w:cs="Arial"/>
          <w:color w:val="000000"/>
          <w:u w:val="single"/>
        </w:rPr>
        <w:t>Refrig</w:t>
      </w:r>
      <w:r w:rsidR="00601E46">
        <w:rPr>
          <w:rFonts w:ascii="Arial" w:hAnsi="Arial" w:cs="Arial"/>
          <w:color w:val="000000"/>
          <w:u w:val="single"/>
        </w:rPr>
        <w:t>eration</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387B1B">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066CD6" w:rsidP="00585766">
      <w:pPr>
        <w:rPr>
          <w:rFonts w:ascii="Arial" w:hAnsi="Arial" w:cs="Arial"/>
          <w:noProof/>
          <w:color w:val="000000" w:themeColor="text1"/>
        </w:rPr>
      </w:pPr>
      <w:r>
        <w:rPr>
          <w:noProof/>
        </w:rPr>
        <w:drawing>
          <wp:inline distT="0" distB="0" distL="0" distR="0" wp14:anchorId="7EA37E05" wp14:editId="200CA741">
            <wp:extent cx="5181600" cy="2743200"/>
            <wp:effectExtent l="19050" t="1905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4E0A34" w:rsidRDefault="004E0A34" w:rsidP="0007060A">
      <w:pPr>
        <w:spacing w:after="200" w:line="276" w:lineRule="auto"/>
        <w:rPr>
          <w:rFonts w:ascii="Arial" w:hAnsi="Arial" w:cs="Arial"/>
          <w:b/>
          <w:color w:val="000000" w:themeColor="text1"/>
        </w:rPr>
      </w:pPr>
    </w:p>
    <w:p w:rsidR="004C52FC" w:rsidRPr="005336C6" w:rsidRDefault="008F334B" w:rsidP="0007060A">
      <w:pPr>
        <w:spacing w:after="200" w:line="276" w:lineRule="auto"/>
        <w:rPr>
          <w:rFonts w:ascii="Arial" w:hAnsi="Arial" w:cs="Arial"/>
          <w:b/>
          <w:color w:val="000000" w:themeColor="text1"/>
        </w:rPr>
      </w:pPr>
      <w:r w:rsidRPr="005336C6">
        <w:rPr>
          <w:rFonts w:ascii="Arial" w:hAnsi="Arial" w:cs="Arial"/>
          <w:b/>
          <w:color w:val="000000" w:themeColor="text1"/>
        </w:rPr>
        <w:t>Years 2010-2011 and 2011-2012 saw an increase in the number of graduates as quarter to semester conversion was underway and fully implemented for Fall Semester 2012.  Many students within the program worked hard to get through their program of study while fully under the quarter system.  It is natural, therefore, for completion rates to have fallen for last year (2012-2013).</w:t>
      </w:r>
    </w:p>
    <w:p w:rsidR="008F334B" w:rsidRPr="005336C6" w:rsidRDefault="008F334B" w:rsidP="0007060A">
      <w:pPr>
        <w:spacing w:after="200" w:line="276" w:lineRule="auto"/>
        <w:rPr>
          <w:rFonts w:ascii="Arial" w:hAnsi="Arial" w:cs="Arial"/>
          <w:b/>
          <w:color w:val="000000" w:themeColor="text1"/>
        </w:rPr>
      </w:pPr>
      <w:r w:rsidRPr="005336C6">
        <w:rPr>
          <w:rFonts w:ascii="Arial" w:hAnsi="Arial" w:cs="Arial"/>
          <w:b/>
          <w:color w:val="000000" w:themeColor="text1"/>
        </w:rPr>
        <w:lastRenderedPageBreak/>
        <w:t>The department is working closely with students and advising to help students who started under the quarter system and will be finishing under the semesters.  It does not appear that all course equivalencies are automatically picked up by the system, so manual review of all student evaluations has been best.</w:t>
      </w:r>
      <w:r w:rsidR="000F5AE1" w:rsidRPr="005336C6">
        <w:rPr>
          <w:rFonts w:ascii="Arial" w:hAnsi="Arial" w:cs="Arial"/>
          <w:b/>
          <w:color w:val="000000" w:themeColor="text1"/>
        </w:rPr>
        <w:t xml:space="preserve">  Students have been encouraged to meet with an academic counselor to ensure they are on track for graduation.</w:t>
      </w:r>
    </w:p>
    <w:p w:rsidR="00F339F4" w:rsidRPr="005336C6" w:rsidRDefault="00F339F4" w:rsidP="0007060A">
      <w:pPr>
        <w:spacing w:after="200" w:line="276" w:lineRule="auto"/>
        <w:rPr>
          <w:rFonts w:ascii="Arial" w:hAnsi="Arial" w:cs="Arial"/>
          <w:b/>
          <w:color w:val="000000" w:themeColor="text1"/>
        </w:rPr>
      </w:pPr>
      <w:r w:rsidRPr="005336C6">
        <w:rPr>
          <w:rFonts w:ascii="Arial" w:hAnsi="Arial" w:cs="Arial"/>
          <w:b/>
          <w:color w:val="000000" w:themeColor="text1"/>
        </w:rPr>
        <w:t>Without semester conversion, the data shows an increasing trend in graduation rates for Heating, Ventilation, Air Conditioning and Refrigeration with Engineering Technology Design showing an upward trend over the past three years.</w:t>
      </w:r>
    </w:p>
    <w:p w:rsidR="00F339F4" w:rsidRPr="005336C6" w:rsidRDefault="00F339F4" w:rsidP="0007060A">
      <w:pPr>
        <w:spacing w:after="200" w:line="276" w:lineRule="auto"/>
        <w:rPr>
          <w:rFonts w:ascii="Arial" w:hAnsi="Arial" w:cs="Arial"/>
          <w:b/>
          <w:color w:val="000000" w:themeColor="text1"/>
        </w:rPr>
      </w:pPr>
      <w:r w:rsidRPr="005336C6">
        <w:rPr>
          <w:rFonts w:ascii="Arial" w:hAnsi="Arial" w:cs="Arial"/>
          <w:b/>
          <w:color w:val="000000" w:themeColor="text1"/>
        </w:rPr>
        <w:t xml:space="preserve">As a department, we are working on ways to better track students within </w:t>
      </w:r>
      <w:r w:rsidR="004E0A34" w:rsidRPr="005336C6">
        <w:rPr>
          <w:rFonts w:ascii="Arial" w:hAnsi="Arial" w:cs="Arial"/>
          <w:b/>
          <w:color w:val="000000" w:themeColor="text1"/>
        </w:rPr>
        <w:t>all</w:t>
      </w:r>
      <w:r w:rsidRPr="005336C6">
        <w:rPr>
          <w:rFonts w:ascii="Arial" w:hAnsi="Arial" w:cs="Arial"/>
          <w:b/>
          <w:color w:val="000000" w:themeColor="text1"/>
        </w:rPr>
        <w:t xml:space="preserve"> programs.  Because students are required to select a major when the</w:t>
      </w:r>
      <w:r w:rsidR="004E0A34" w:rsidRPr="005336C6">
        <w:rPr>
          <w:rFonts w:ascii="Arial" w:hAnsi="Arial" w:cs="Arial"/>
          <w:b/>
          <w:color w:val="000000" w:themeColor="text1"/>
        </w:rPr>
        <w:t>y</w:t>
      </w:r>
      <w:r w:rsidRPr="005336C6">
        <w:rPr>
          <w:rFonts w:ascii="Arial" w:hAnsi="Arial" w:cs="Arial"/>
          <w:b/>
          <w:color w:val="000000" w:themeColor="text1"/>
        </w:rPr>
        <w:t xml:space="preserve"> register (especially if seeking financial aid), it is difficult to accurately account which students are enrolled </w:t>
      </w:r>
      <w:r w:rsidR="004E0A34" w:rsidRPr="005336C6">
        <w:rPr>
          <w:rFonts w:ascii="Arial" w:hAnsi="Arial" w:cs="Arial"/>
          <w:b/>
          <w:color w:val="000000" w:themeColor="text1"/>
        </w:rPr>
        <w:t xml:space="preserve">in various courses </w:t>
      </w:r>
      <w:r w:rsidRPr="005336C6">
        <w:rPr>
          <w:rFonts w:ascii="Arial" w:hAnsi="Arial" w:cs="Arial"/>
          <w:b/>
          <w:color w:val="000000" w:themeColor="text1"/>
        </w:rPr>
        <w:t>as degree seeking, professional development or personal interest.</w:t>
      </w:r>
    </w:p>
    <w:p w:rsidR="0039652A" w:rsidRDefault="0039652A" w:rsidP="001D3E1D">
      <w:pPr>
        <w:rPr>
          <w:rFonts w:ascii="Arial" w:hAnsi="Arial" w:cs="Arial"/>
          <w:b/>
          <w:color w:val="000000" w:themeColor="text1"/>
        </w:rPr>
      </w:pPr>
    </w:p>
    <w:p w:rsidR="0039652A" w:rsidRDefault="0039652A" w:rsidP="001D3E1D">
      <w:pPr>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066CD6" w:rsidP="00585766">
      <w:pPr>
        <w:rPr>
          <w:rFonts w:ascii="Arial" w:hAnsi="Arial" w:cs="Arial"/>
          <w:color w:val="000000" w:themeColor="text1"/>
        </w:rPr>
      </w:pPr>
      <w:r>
        <w:rPr>
          <w:noProof/>
        </w:rPr>
        <w:drawing>
          <wp:inline distT="0" distB="0" distL="0" distR="0" wp14:anchorId="1ADE9193" wp14:editId="22F2623E">
            <wp:extent cx="5943600" cy="2682875"/>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AF38FD" w:rsidRDefault="002B0740" w:rsidP="00585766">
      <w:pPr>
        <w:rPr>
          <w:rFonts w:ascii="Arial" w:hAnsi="Arial" w:cs="Arial"/>
          <w:color w:val="000000" w:themeColor="text1"/>
        </w:rPr>
      </w:pPr>
      <w:r>
        <w:rPr>
          <w:noProof/>
        </w:rPr>
        <w:lastRenderedPageBreak/>
        <w:drawing>
          <wp:inline distT="0" distB="0" distL="0" distR="0" wp14:anchorId="1FB3404D" wp14:editId="7EC7435A">
            <wp:extent cx="5943600" cy="2682875"/>
            <wp:effectExtent l="0" t="0" r="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5336C6" w:rsidRDefault="00A74AD8" w:rsidP="0007060A">
      <w:pPr>
        <w:rPr>
          <w:rFonts w:ascii="Arial" w:hAnsi="Arial" w:cs="Arial"/>
          <w:b/>
          <w:color w:val="000000" w:themeColor="text1"/>
        </w:rPr>
      </w:pPr>
      <w:r w:rsidRPr="005336C6">
        <w:rPr>
          <w:rFonts w:ascii="Arial" w:hAnsi="Arial" w:cs="Arial"/>
          <w:b/>
          <w:color w:val="000000" w:themeColor="text1"/>
        </w:rPr>
        <w:t>Departmental success rates for Engineering Technology Design (Mechanical Engineering Technologies) have</w:t>
      </w:r>
      <w:r w:rsidR="004E0A34" w:rsidRPr="005336C6">
        <w:rPr>
          <w:rFonts w:ascii="Arial" w:hAnsi="Arial" w:cs="Arial"/>
          <w:b/>
          <w:color w:val="000000" w:themeColor="text1"/>
        </w:rPr>
        <w:t xml:space="preserve"> remained fairly constant over the past several years, with a drop last academic year due </w:t>
      </w:r>
      <w:r w:rsidR="001C2F4D" w:rsidRPr="005336C6">
        <w:rPr>
          <w:rFonts w:ascii="Arial" w:hAnsi="Arial" w:cs="Arial"/>
          <w:b/>
          <w:color w:val="000000" w:themeColor="text1"/>
        </w:rPr>
        <w:t xml:space="preserve">(only slightly) </w:t>
      </w:r>
      <w:r w:rsidR="004E0A34" w:rsidRPr="005336C6">
        <w:rPr>
          <w:rFonts w:ascii="Arial" w:hAnsi="Arial" w:cs="Arial"/>
          <w:b/>
          <w:color w:val="000000" w:themeColor="text1"/>
        </w:rPr>
        <w:t>to semester conversion.  Success rates are above Science, Mathematics and Engineering and college wide percentages.</w:t>
      </w:r>
      <w:r w:rsidR="00F4711A" w:rsidRPr="005336C6">
        <w:rPr>
          <w:rFonts w:ascii="Arial" w:hAnsi="Arial" w:cs="Arial"/>
          <w:b/>
          <w:color w:val="000000" w:themeColor="text1"/>
        </w:rPr>
        <w:t xml:space="preserve">  Faculty engagement, improved tutorial services and an open computer lab have helped contribute to student’s success.</w:t>
      </w:r>
    </w:p>
    <w:p w:rsidR="001C2F4D" w:rsidRPr="005336C6" w:rsidRDefault="001C2F4D" w:rsidP="0007060A">
      <w:pPr>
        <w:rPr>
          <w:rFonts w:ascii="Arial" w:hAnsi="Arial" w:cs="Arial"/>
          <w:b/>
          <w:color w:val="000000" w:themeColor="text1"/>
        </w:rPr>
      </w:pPr>
    </w:p>
    <w:p w:rsidR="001C2F4D" w:rsidRPr="005336C6" w:rsidRDefault="001C2F4D" w:rsidP="0007060A">
      <w:pPr>
        <w:rPr>
          <w:rFonts w:ascii="Arial" w:hAnsi="Arial" w:cs="Arial"/>
          <w:b/>
          <w:color w:val="000000" w:themeColor="text1"/>
        </w:rPr>
      </w:pPr>
      <w:r w:rsidRPr="005336C6">
        <w:rPr>
          <w:rFonts w:ascii="Arial" w:hAnsi="Arial" w:cs="Arial"/>
          <w:b/>
          <w:color w:val="000000" w:themeColor="text1"/>
        </w:rPr>
        <w:t>The HVAC success rates fell more than ETD in a large part because students were strongly encouraged to complete before semester conversion.</w:t>
      </w:r>
    </w:p>
    <w:p w:rsidR="001C2F4D" w:rsidRPr="005336C6" w:rsidRDefault="001C2F4D" w:rsidP="0007060A">
      <w:pPr>
        <w:rPr>
          <w:rFonts w:ascii="Arial" w:hAnsi="Arial" w:cs="Arial"/>
          <w:b/>
          <w:color w:val="000000" w:themeColor="text1"/>
        </w:rPr>
      </w:pPr>
    </w:p>
    <w:p w:rsidR="001C2F4D" w:rsidRDefault="001C2F4D" w:rsidP="0007060A">
      <w:pPr>
        <w:rPr>
          <w:rFonts w:ascii="Arial" w:hAnsi="Arial" w:cs="Arial"/>
          <w:b/>
          <w:color w:val="000000" w:themeColor="text1"/>
        </w:rPr>
      </w:pPr>
      <w:r w:rsidRPr="005336C6">
        <w:rPr>
          <w:rFonts w:ascii="Arial" w:hAnsi="Arial" w:cs="Arial"/>
          <w:b/>
          <w:color w:val="000000" w:themeColor="text1"/>
        </w:rPr>
        <w:t>Within both programs, we continue to see self-developed cohorts that allow students to develop an effective support network that directly relates to their success.</w:t>
      </w:r>
    </w:p>
    <w:p w:rsidR="000B5F45" w:rsidRDefault="000B5F45" w:rsidP="0007060A">
      <w:pPr>
        <w:rPr>
          <w:rFonts w:ascii="Arial" w:hAnsi="Arial" w:cs="Arial"/>
          <w:b/>
          <w:color w:val="000000" w:themeColor="text1"/>
        </w:rPr>
      </w:pPr>
    </w:p>
    <w:p w:rsidR="00A74AD8" w:rsidRDefault="000B5F45" w:rsidP="008258DA">
      <w:pPr>
        <w:rPr>
          <w:rFonts w:ascii="Arial" w:hAnsi="Arial" w:cs="Arial"/>
          <w:color w:val="000000" w:themeColor="text1"/>
        </w:rPr>
      </w:pPr>
      <w:r>
        <w:rPr>
          <w:rFonts w:ascii="Arial" w:hAnsi="Arial" w:cs="Arial"/>
          <w:b/>
          <w:color w:val="000000" w:themeColor="text1"/>
        </w:rPr>
        <w:t>MEE courses are calculus based and are part of the Engineering University Transfer parallel transfer degree.</w:t>
      </w: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A74AD8" w:rsidRDefault="00A74AD8" w:rsidP="008258DA">
      <w:pPr>
        <w:rPr>
          <w:rFonts w:ascii="Arial" w:hAnsi="Arial" w:cs="Arial"/>
          <w:color w:val="000000" w:themeColor="text1"/>
        </w:rPr>
      </w:pPr>
    </w:p>
    <w:p w:rsidR="0037786D" w:rsidRPr="008258DA" w:rsidRDefault="00A74AD8" w:rsidP="008258DA">
      <w:pPr>
        <w:rPr>
          <w:rFonts w:ascii="Arial" w:hAnsi="Arial" w:cs="Arial"/>
          <w:color w:val="000000" w:themeColor="text1"/>
        </w:rPr>
      </w:pPr>
      <w:r>
        <w:rPr>
          <w:rFonts w:ascii="Arial" w:hAnsi="Arial" w:cs="Arial"/>
          <w:color w:val="000000" w:themeColor="text1"/>
        </w:rPr>
        <w:lastRenderedPageBreak/>
        <w:t>P</w:t>
      </w:r>
      <w:r w:rsidR="001D3E1D" w:rsidRPr="008258DA">
        <w:rPr>
          <w:rFonts w:ascii="Arial" w:hAnsi="Arial" w:cs="Arial"/>
          <w:color w:val="000000" w:themeColor="text1"/>
        </w:rPr>
        <w:t>lease provide a</w:t>
      </w:r>
      <w:r w:rsidR="00CD2613" w:rsidRPr="008258DA">
        <w:rPr>
          <w:rFonts w:ascii="Arial" w:hAnsi="Arial" w:cs="Arial"/>
          <w:color w:val="000000" w:themeColor="text1"/>
        </w:rPr>
        <w:t>ny additional data</w:t>
      </w:r>
      <w:r w:rsidR="001D3E1D"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39652A" w:rsidRDefault="0039652A" w:rsidP="0007060A">
      <w:pPr>
        <w:spacing w:after="200" w:line="276" w:lineRule="auto"/>
        <w:rPr>
          <w:rFonts w:ascii="Arial" w:hAnsi="Arial" w:cs="Arial"/>
          <w:b/>
          <w:color w:val="000000" w:themeColor="text1"/>
        </w:rPr>
      </w:pPr>
    </w:p>
    <w:p w:rsidR="0007060A" w:rsidRPr="005336C6" w:rsidRDefault="001C2F4D" w:rsidP="0007060A">
      <w:pPr>
        <w:spacing w:after="200" w:line="276" w:lineRule="auto"/>
        <w:rPr>
          <w:rFonts w:ascii="Arial" w:hAnsi="Arial" w:cs="Arial"/>
          <w:b/>
          <w:color w:val="000000" w:themeColor="text1"/>
        </w:rPr>
      </w:pPr>
      <w:r w:rsidRPr="005336C6">
        <w:rPr>
          <w:rFonts w:ascii="Arial" w:hAnsi="Arial" w:cs="Arial"/>
          <w:b/>
          <w:color w:val="000000" w:themeColor="text1"/>
        </w:rPr>
        <w:t xml:space="preserve">Both programs received full accreditation from ETAC/ABET in the </w:t>
      </w:r>
      <w:proofErr w:type="gramStart"/>
      <w:r w:rsidRPr="005336C6">
        <w:rPr>
          <w:rFonts w:ascii="Arial" w:hAnsi="Arial" w:cs="Arial"/>
          <w:b/>
          <w:color w:val="000000" w:themeColor="text1"/>
        </w:rPr>
        <w:t>Fall</w:t>
      </w:r>
      <w:proofErr w:type="gramEnd"/>
      <w:r w:rsidRPr="005336C6">
        <w:rPr>
          <w:rFonts w:ascii="Arial" w:hAnsi="Arial" w:cs="Arial"/>
          <w:b/>
          <w:color w:val="000000" w:themeColor="text1"/>
        </w:rPr>
        <w:t xml:space="preserve"> of 2011.  Data continues to be collected in support this accreditation.  The next comprehensive review will occur in the 2016-2017 school year.</w:t>
      </w:r>
    </w:p>
    <w:p w:rsidR="001C2F4D" w:rsidRPr="005336C6" w:rsidRDefault="001C2F4D" w:rsidP="0007060A">
      <w:pPr>
        <w:spacing w:after="200" w:line="276" w:lineRule="auto"/>
        <w:rPr>
          <w:rFonts w:ascii="Arial" w:hAnsi="Arial" w:cs="Arial"/>
          <w:b/>
          <w:color w:val="000000" w:themeColor="text1"/>
        </w:rPr>
      </w:pPr>
      <w:r w:rsidRPr="005336C6">
        <w:rPr>
          <w:rFonts w:ascii="Arial" w:hAnsi="Arial" w:cs="Arial"/>
          <w:b/>
          <w:color w:val="000000" w:themeColor="text1"/>
        </w:rPr>
        <w:t>The department also performs face to face exit interviews of all graduates during their capstone experience.  Comments from these interviews are passed along to</w:t>
      </w:r>
      <w:r w:rsidR="00D46EDD" w:rsidRPr="005336C6">
        <w:rPr>
          <w:rFonts w:ascii="Arial" w:hAnsi="Arial" w:cs="Arial"/>
          <w:b/>
          <w:color w:val="000000" w:themeColor="text1"/>
        </w:rPr>
        <w:t xml:space="preserve"> </w:t>
      </w:r>
      <w:r w:rsidRPr="005336C6">
        <w:rPr>
          <w:rFonts w:ascii="Arial" w:hAnsi="Arial" w:cs="Arial"/>
          <w:b/>
          <w:color w:val="000000" w:themeColor="text1"/>
        </w:rPr>
        <w:t>faculty, discussed amongst advisory board members with any corrective action and/or improvements made as deemed necessary.</w:t>
      </w:r>
    </w:p>
    <w:p w:rsidR="004C52FC" w:rsidRDefault="004C52FC" w:rsidP="00377D40">
      <w:pPr>
        <w:spacing w:after="200" w:line="276" w:lineRule="auto"/>
        <w:rPr>
          <w:rFonts w:ascii="Arial" w:hAnsi="Arial" w:cs="Arial"/>
          <w:color w:val="000000" w:themeColor="text1"/>
        </w:rPr>
      </w:pPr>
    </w:p>
    <w:p w:rsidR="00387B1B" w:rsidRDefault="00387B1B" w:rsidP="00377D40">
      <w:pPr>
        <w:spacing w:after="200" w:line="276" w:lineRule="auto"/>
        <w:rPr>
          <w:rFonts w:ascii="Arial" w:hAnsi="Arial" w:cs="Arial"/>
          <w:color w:val="000000" w:themeColor="text1"/>
        </w:rPr>
        <w:sectPr w:rsidR="00387B1B" w:rsidSect="00D708C3">
          <w:footerReference w:type="default" r:id="rId12"/>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387B1B">
        <w:trPr>
          <w:trHeight w:val="466"/>
        </w:trPr>
        <w:tc>
          <w:tcPr>
            <w:tcW w:w="3951" w:type="dxa"/>
          </w:tcPr>
          <w:p w:rsidR="004C52FC" w:rsidRPr="0037786D" w:rsidRDefault="004C52FC" w:rsidP="00D67391">
            <w:pPr>
              <w:spacing w:before="120"/>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387B1B">
        <w:trPr>
          <w:trHeight w:val="1399"/>
        </w:trPr>
        <w:tc>
          <w:tcPr>
            <w:tcW w:w="3951" w:type="dxa"/>
          </w:tcPr>
          <w:p w:rsidR="00D67391" w:rsidRPr="00237037" w:rsidRDefault="00D67391" w:rsidP="00D67391">
            <w:pPr>
              <w:tabs>
                <w:tab w:val="left" w:pos="1260"/>
                <w:tab w:val="left" w:pos="3852"/>
              </w:tabs>
              <w:spacing w:after="120"/>
              <w:ind w:right="-117"/>
              <w:rPr>
                <w:rFonts w:ascii="Arial" w:hAnsi="Arial" w:cs="Arial"/>
                <w:color w:val="000000"/>
              </w:rPr>
            </w:pPr>
            <w:r>
              <w:rPr>
                <w:rFonts w:ascii="Arial" w:hAnsi="Arial" w:cs="Arial"/>
                <w:color w:val="000000" w:themeColor="text1"/>
              </w:rPr>
              <w:t>NEED TO BE DEVELOPED.  Self-study simply notes that “</w:t>
            </w:r>
            <w:r w:rsidRPr="00237037">
              <w:rPr>
                <w:rFonts w:ascii="Arial" w:hAnsi="Arial" w:cs="Arial"/>
                <w:color w:val="000000"/>
              </w:rPr>
              <w:t>Comments made in sections a through d above describe the department’s direction in curriculum and course delivery and innovative applied learning techniques</w:t>
            </w:r>
            <w:r>
              <w:rPr>
                <w:rFonts w:ascii="Arial" w:hAnsi="Arial" w:cs="Arial"/>
                <w:color w:val="000000"/>
              </w:rPr>
              <w:t>”</w:t>
            </w:r>
            <w:r w:rsidRPr="00237037">
              <w:rPr>
                <w:rFonts w:ascii="Arial" w:hAnsi="Arial" w:cs="Arial"/>
                <w:color w:val="000000"/>
              </w:rPr>
              <w:t xml:space="preserve">. </w:t>
            </w:r>
          </w:p>
          <w:p w:rsidR="00A201E2" w:rsidRPr="0037786D" w:rsidRDefault="00A201E2" w:rsidP="00D67391">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val="0"/>
                  </w:checkBox>
                </w:ffData>
              </w:fldChar>
            </w:r>
            <w:r>
              <w:instrText xml:space="preserve"> FORMCHECKBOX </w:instrText>
            </w:r>
            <w:r w:rsidR="00BD642F">
              <w:fldChar w:fldCharType="separate"/>
            </w:r>
            <w:r w:rsidR="005369A0">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BD642F">
              <w:fldChar w:fldCharType="separate"/>
            </w:r>
            <w:r w:rsidR="005369A0">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val="0"/>
                  </w:checkBox>
                </w:ffData>
              </w:fldChar>
            </w:r>
            <w:r>
              <w:instrText xml:space="preserve"> FORMCHECKBOX </w:instrText>
            </w:r>
            <w:r w:rsidR="00BD642F">
              <w:fldChar w:fldCharType="separate"/>
            </w:r>
            <w:r w:rsidR="005369A0">
              <w:fldChar w:fldCharType="end"/>
            </w:r>
          </w:p>
        </w:tc>
        <w:tc>
          <w:tcPr>
            <w:tcW w:w="6632" w:type="dxa"/>
          </w:tcPr>
          <w:p w:rsidR="00432A27" w:rsidRDefault="005369A0" w:rsidP="00432A27">
            <w:pPr>
              <w:pStyle w:val="ListParagraph"/>
              <w:ind w:left="0"/>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4165E">
              <w:t xml:space="preserve">Both the MET and HVACR programs investigate and use various techniques to improve student learning based upon goals provided by the industry we serve </w:t>
            </w:r>
            <w:r w:rsidR="00751689">
              <w:t>as delivered by our advisory committess.</w:t>
            </w:r>
          </w:p>
          <w:p w:rsidR="00751689" w:rsidRDefault="00751689" w:rsidP="00432A27">
            <w:pPr>
              <w:pStyle w:val="ListParagraph"/>
              <w:ind w:left="0"/>
            </w:pPr>
          </w:p>
          <w:p w:rsidR="00751689" w:rsidRDefault="00751689" w:rsidP="00432A27">
            <w:pPr>
              <w:pStyle w:val="ListParagraph"/>
              <w:ind w:left="0"/>
            </w:pPr>
            <w:r>
              <w:t>For example, the guitar class provides a serious look into product lifecycle management using a vehicle students find fun and attractive.  This has been so successful that we use it as a recruiting tool in area high schools.</w:t>
            </w:r>
          </w:p>
          <w:p w:rsidR="00432A27" w:rsidRDefault="00432A27" w:rsidP="00432A27">
            <w:pPr>
              <w:pStyle w:val="ListParagraph"/>
              <w:ind w:left="0"/>
            </w:pPr>
          </w:p>
          <w:p w:rsidR="00432A27" w:rsidRDefault="00751689" w:rsidP="00432A27">
            <w:pPr>
              <w:pStyle w:val="ListParagraph"/>
              <w:ind w:left="0"/>
            </w:pPr>
            <w:r>
              <w:t>Additionally, our MET capstone proje</w:t>
            </w:r>
            <w:r w:rsidR="0036625E">
              <w:t>c</w:t>
            </w:r>
            <w:r>
              <w:t xml:space="preserve">t over the last three years involved the design and construction of the SAE baja buggy.  This project included </w:t>
            </w:r>
            <w:r w:rsidR="00432A27">
              <w:t>heavy industry involvement, hands</w:t>
            </w:r>
            <w:r>
              <w:noBreakHyphen/>
            </w:r>
            <w:r w:rsidR="00432A27">
              <w:t xml:space="preserve">on </w:t>
            </w:r>
            <w:r>
              <w:t xml:space="preserve">activity </w:t>
            </w:r>
            <w:r w:rsidR="00432A27">
              <w:t>components, and applied learning</w:t>
            </w:r>
            <w:r>
              <w:t>.</w:t>
            </w:r>
          </w:p>
          <w:p w:rsidR="00432A27" w:rsidRDefault="00432A27" w:rsidP="00432A27">
            <w:pPr>
              <w:pStyle w:val="ListParagraph"/>
              <w:ind w:left="0"/>
            </w:pPr>
          </w:p>
          <w:p w:rsidR="00432A27" w:rsidRDefault="00751689" w:rsidP="00432A27">
            <w:pPr>
              <w:pStyle w:val="ListParagraph"/>
              <w:ind w:left="0"/>
            </w:pPr>
            <w:r>
              <w:t xml:space="preserve">Similary, the </w:t>
            </w:r>
            <w:r w:rsidR="00432A27">
              <w:t xml:space="preserve">Integrated Capstone for </w:t>
            </w:r>
            <w:r>
              <w:t xml:space="preserve">the </w:t>
            </w:r>
            <w:r w:rsidR="00432A27">
              <w:t>HVAC</w:t>
            </w:r>
            <w:r>
              <w:t xml:space="preserve"> program (which involved working with Archtectural, Civil, Construction Management, </w:t>
            </w:r>
            <w:r w:rsidR="00514544">
              <w:t>and Environmental) has provided students with a near 'real life' experience replete with proper design process, discussions with industry engineers and sales persons, and interpersonal issues that require solution so as to get the job done.</w:t>
            </w:r>
          </w:p>
          <w:p w:rsidR="00432A27" w:rsidRDefault="00432A27" w:rsidP="00432A27">
            <w:pPr>
              <w:pStyle w:val="ListParagraph"/>
              <w:ind w:left="0"/>
            </w:pPr>
          </w:p>
          <w:p w:rsidR="00514544" w:rsidRDefault="00514544" w:rsidP="00432A27">
            <w:pPr>
              <w:pStyle w:val="ListParagraph"/>
              <w:ind w:left="0"/>
            </w:pPr>
            <w:r>
              <w:t xml:space="preserve">The HVAC program has also been well supported by industry.  Local business has donated thens of thousands of dollars in money and equipment to improve our education in HVAC controls and systems.  This has included $25,000 worth of control products, $5,000 from ASHRAE to aid in the construction of a HW/CW </w:t>
            </w:r>
            <w:r>
              <w:lastRenderedPageBreak/>
              <w:t>system on which we will be able to train, and a new geothermal heat pump unit.</w:t>
            </w:r>
          </w:p>
          <w:p w:rsidR="00432A27" w:rsidRDefault="00432A27" w:rsidP="00432A27">
            <w:pPr>
              <w:pStyle w:val="ListParagraph"/>
              <w:ind w:left="0"/>
            </w:pPr>
          </w:p>
          <w:p w:rsidR="002E259A" w:rsidRDefault="00514544" w:rsidP="002E259A">
            <w:pPr>
              <w:pStyle w:val="ListParagraph"/>
              <w:ind w:left="0"/>
            </w:pPr>
            <w:r>
              <w:t>Also, local HVAC industry professionals visit our second year classes to make presentations to our students on current technologies relevant to the profession.  We currently have six persons providing such activities in four separate (quarter) courses.</w:t>
            </w:r>
            <w:r w:rsidR="002E259A">
              <w:t xml:space="preserve">  Such discussions serve to reinforce to the student all the material they've been learning in the classroom.</w:t>
            </w:r>
          </w:p>
          <w:p w:rsidR="002E259A" w:rsidRDefault="002E259A" w:rsidP="002E259A">
            <w:pPr>
              <w:pStyle w:val="ListParagraph"/>
              <w:ind w:left="0"/>
            </w:pPr>
          </w:p>
          <w:p w:rsidR="002E259A" w:rsidRDefault="002E259A" w:rsidP="002E259A">
            <w:pPr>
              <w:pStyle w:val="ListParagraph"/>
              <w:ind w:left="0"/>
            </w:pPr>
            <w:r>
              <w:t>Our HVAC students are all student members of ASHRAE.  As such, they make at least two visits to a local chapter student nights each year.  These visits are a required activity that is part of the second year curriculum.  These visits result in our students gaining exposure to local industry professionals often resulting in an offer for a job interview.</w:t>
            </w:r>
          </w:p>
          <w:p w:rsidR="00A201E2" w:rsidRPr="0037786D" w:rsidRDefault="005369A0" w:rsidP="002E259A">
            <w:pPr>
              <w:pStyle w:val="ListParagraph"/>
              <w:ind w:left="0"/>
              <w:rPr>
                <w:rFonts w:ascii="Arial" w:hAnsi="Arial" w:cs="Arial"/>
                <w:color w:val="000000" w:themeColor="text1"/>
              </w:rPr>
            </w:pPr>
            <w:r w:rsidRPr="00B71A40">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387B1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As the HVAC program has additional capacity, and there is a need for additional workers in the industry at a time when individuals in the community are seeking retraining, the department should explore creative means to market the degree and certificate programs to a variety of audiences. These could include e-marketing, a focus on green technologies, etc.  In the marketing of this program, consideration should be given to differentiating Sinclair’s HVAC program in the public’s perception from programs offered at other institutions.</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AF38FD">
            <w:pPr>
              <w:pStyle w:val="ListParagraph"/>
              <w:rPr>
                <w:rFonts w:ascii="Arial" w:hAnsi="Arial" w:cs="Arial"/>
                <w:color w:val="000000" w:themeColor="text1"/>
              </w:rPr>
            </w:pPr>
            <w:r>
              <w:rPr>
                <w:rFonts w:ascii="Arial" w:hAnsi="Arial" w:cs="Arial"/>
                <w:color w:val="000000" w:themeColor="text1"/>
              </w:rPr>
              <w:t xml:space="preserve">In progress </w:t>
            </w:r>
            <w:r w:rsidR="00F95754">
              <w:fldChar w:fldCharType="begin">
                <w:ffData>
                  <w:name w:val="Check1"/>
                  <w:enabled/>
                  <w:calcOnExit w:val="0"/>
                  <w:checkBox>
                    <w:sizeAuto/>
                    <w:default w:val="1"/>
                  </w:checkBox>
                </w:ffData>
              </w:fldChar>
            </w:r>
            <w:bookmarkStart w:id="0" w:name="Check1"/>
            <w:r w:rsidR="00F95754">
              <w:instrText xml:space="preserve"> FORMCHECKBOX </w:instrText>
            </w:r>
            <w:r w:rsidR="00BD642F">
              <w:fldChar w:fldCharType="separate"/>
            </w:r>
            <w:r w:rsidR="00F95754">
              <w:fldChar w:fldCharType="end"/>
            </w:r>
            <w:bookmarkEnd w:id="0"/>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tc>
        <w:tc>
          <w:tcPr>
            <w:tcW w:w="6480" w:type="dxa"/>
          </w:tcPr>
          <w:p w:rsidR="00136371" w:rsidRDefault="00136371" w:rsidP="00136371">
            <w:r>
              <w:t>In HVAC, there are at least eight programs in the region viewed as being competitive to our programs: MVCTC high school and Adult, UVJVS HS and Adult, Clark-Springfield HS and Adult, Kaplan College, and Warren County.  Although no single program is truly competitive with our two-year program (all are residential while ours is commercial), the difference is not understood by the public.  Until we are allowed to aggressively advertise our program, advertise the difference with competing programs, and feature the high degree of success and the lucrative salaries most of our graduates achieve, this will continue to be a problem.</w:t>
            </w:r>
          </w:p>
          <w:p w:rsidR="00136371" w:rsidRDefault="00136371" w:rsidP="00136371"/>
          <w:p w:rsidR="00136371" w:rsidRDefault="00136371" w:rsidP="00136371">
            <w:r>
              <w:t xml:space="preserve">As a department, we have signed up for nearly all high school career fairs in the area this academic year, including Engineer’s Day hosted by the division and Think College campus visit tours hosted by </w:t>
            </w:r>
            <w:proofErr w:type="spellStart"/>
            <w:r>
              <w:t>TechPrep</w:t>
            </w:r>
            <w:proofErr w:type="spellEnd"/>
            <w:r>
              <w:t xml:space="preserve"> to help spotlight the program.</w:t>
            </w:r>
          </w:p>
          <w:p w:rsidR="00387B1B" w:rsidRDefault="00387B1B" w:rsidP="00136371"/>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While learning experiences designed to facilitate the achievement of general education outcomes as well as program outcomes appear to be in place, there is no documented evidence that those outcomes are being met. Support is available through the College-</w:t>
            </w:r>
            <w:r w:rsidRPr="00387B1B">
              <w:rPr>
                <w:rFonts w:ascii="Arial" w:hAnsi="Arial" w:cs="Arial"/>
              </w:rPr>
              <w:lastRenderedPageBreak/>
              <w:t>Wide Assessment Committee to design methods for collecting, analyzing, and documenting these outcomes.</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val="0"/>
                  </w:checkBox>
                </w:ffData>
              </w:fldChar>
            </w:r>
            <w:r>
              <w:instrText xml:space="preserve"> FORMCHECKBOX </w:instrText>
            </w:r>
            <w:r w:rsidR="00BD642F">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BD642F">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tc>
        <w:tc>
          <w:tcPr>
            <w:tcW w:w="6480" w:type="dxa"/>
          </w:tcPr>
          <w:p w:rsidR="00387B1B" w:rsidRDefault="005369A0" w:rsidP="00DF4A4B">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DF4A4B">
              <w:t>Although such evidence is collected throughout the program, the primary point of assessment occurs during capstone.  Students are required to provide a number of written documents, presentations, and a final design.  These documents are presented to the advisory members for comment and graded/assessed by capstone faculty.  Shortcomings are documented under our capstone project 'Lessons Learned' list with improvements enacted over the following year where appropriate.</w:t>
            </w:r>
            <w:r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lastRenderedPageBreak/>
              <w:t xml:space="preserve">The department should consider the value of and need for the AAS degree in MET, given the current emphasis on the four year technical degree. Students with interest in mechanical engineering might be better served by the Engineering Science University Parallel degree. </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checkBox>
                </w:ffData>
              </w:fldChar>
            </w:r>
            <w:r>
              <w:instrText xml:space="preserve"> FORMCHECKBOX </w:instrText>
            </w:r>
            <w:r w:rsidR="00BD642F">
              <w:fldChar w:fldCharType="separate"/>
            </w:r>
            <w:r w:rsidR="005369A0">
              <w:fldChar w:fldCharType="end"/>
            </w:r>
          </w:p>
        </w:tc>
        <w:tc>
          <w:tcPr>
            <w:tcW w:w="6480" w:type="dxa"/>
          </w:tcPr>
          <w:p w:rsidR="001E50F6" w:rsidRDefault="005369A0" w:rsidP="001E50F6">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1E50F6">
              <w:t>The MET program is one of the three most highly recognizable and one of the most popular engineering technology programs that can exist at a</w:t>
            </w:r>
            <w:r w:rsidR="000A2453">
              <w:t>ny</w:t>
            </w:r>
            <w:r w:rsidR="001E50F6">
              <w:t xml:space="preserve"> school nationally.  Elimination of this program would be </w:t>
            </w:r>
            <w:r w:rsidR="002E259A">
              <w:t>quite quite hurtful to the local community</w:t>
            </w:r>
            <w:r w:rsidR="001E50F6">
              <w:t>.</w:t>
            </w:r>
            <w:r w:rsidR="00E4165E">
              <w:t xml:space="preserve">  </w:t>
            </w:r>
            <w:r w:rsidR="002E259A">
              <w:t xml:space="preserve">This program does </w:t>
            </w:r>
            <w:r w:rsidR="00E4165E">
              <w:t>feed many of the area four-year engineering technology programs</w:t>
            </w:r>
            <w:r w:rsidR="002E259A">
              <w:t xml:space="preserve"> including  University of Dayton and Miami</w:t>
            </w:r>
            <w:r w:rsidR="000A2453">
              <w:t xml:space="preserve"> University</w:t>
            </w:r>
            <w:r w:rsidR="002E259A">
              <w:t>.</w:t>
            </w:r>
          </w:p>
          <w:p w:rsidR="001E50F6" w:rsidRDefault="001E50F6" w:rsidP="001E50F6"/>
          <w:p w:rsidR="0036625E" w:rsidRDefault="002E259A" w:rsidP="001E50F6">
            <w:r>
              <w:t>As the name implies, the Engineering Science University Parallel program serves a completely different audience than the MET program.  ESUP</w:t>
            </w:r>
            <w:r w:rsidR="0036625E">
              <w:t xml:space="preserve"> is</w:t>
            </w:r>
            <w:r>
              <w:t xml:space="preserve"> a pre</w:t>
            </w:r>
            <w:r>
              <w:noBreakHyphen/>
              <w:t>engineering degree that transfers to any school with a</w:t>
            </w:r>
            <w:r w:rsidR="0036625E">
              <w:t xml:space="preserve"> four</w:t>
            </w:r>
            <w:r w:rsidR="0036625E">
              <w:noBreakHyphen/>
              <w:t xml:space="preserve">year </w:t>
            </w:r>
            <w:r>
              <w:t>Engineering Science curriculum such as Wright State and the University of Dayton.</w:t>
            </w:r>
            <w:r w:rsidR="0036625E">
              <w:t xml:space="preserve">  (Please note that UD has both Engineering Science and Engineering Technology programs)</w:t>
            </w:r>
          </w:p>
          <w:p w:rsidR="00387B1B" w:rsidRDefault="00E4165E" w:rsidP="002E259A">
            <w:r>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The department is encouraged to confer with the Mathematics Department to explore means of improving student success. The formation of learning communities between math and early program courses might be an effective strategy.</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36371">
              <w:fldChar w:fldCharType="begin">
                <w:ffData>
                  <w:name w:val=""/>
                  <w:enabled/>
                  <w:calcOnExit w:val="0"/>
                  <w:checkBox>
                    <w:sizeAuto/>
                    <w:default w:val="1"/>
                  </w:checkBox>
                </w:ffData>
              </w:fldChar>
            </w:r>
            <w:r w:rsidR="00136371">
              <w:instrText xml:space="preserve"> FORMCHECKBOX </w:instrText>
            </w:r>
            <w:r w:rsidR="00BD642F">
              <w:fldChar w:fldCharType="separate"/>
            </w:r>
            <w:r w:rsidR="00136371">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tc>
        <w:tc>
          <w:tcPr>
            <w:tcW w:w="6480" w:type="dxa"/>
          </w:tcPr>
          <w:p w:rsidR="00136371" w:rsidRDefault="00136371" w:rsidP="00136371">
            <w:r w:rsidRPr="00136371">
              <w:rPr>
                <w:color w:val="000000" w:themeColor="text1"/>
              </w:rPr>
              <w:t>We have been reviewing the math sequencing in both programs to ensure it meets or excee</w:t>
            </w:r>
            <w:r>
              <w:rPr>
                <w:color w:val="000000" w:themeColor="text1"/>
              </w:rPr>
              <w:t xml:space="preserve">ds industry standards and needs especially as we </w:t>
            </w:r>
            <w:r w:rsidRPr="00136371">
              <w:rPr>
                <w:color w:val="000000" w:themeColor="text1"/>
              </w:rPr>
              <w:t xml:space="preserve">look to expand the MET program at </w:t>
            </w:r>
            <w:proofErr w:type="spellStart"/>
            <w:r w:rsidRPr="00136371">
              <w:rPr>
                <w:color w:val="000000" w:themeColor="text1"/>
              </w:rPr>
              <w:t>Courseview</w:t>
            </w:r>
            <w:proofErr w:type="spellEnd"/>
            <w:r w:rsidRPr="00136371">
              <w:rPr>
                <w:color w:val="000000" w:themeColor="text1"/>
              </w:rPr>
              <w:t>.  Miami University would be the closest school to which students enrolled at</w:t>
            </w:r>
            <w:r>
              <w:rPr>
                <w:color w:val="000000" w:themeColor="text1"/>
              </w:rPr>
              <w:t xml:space="preserve"> </w:t>
            </w:r>
            <w:proofErr w:type="spellStart"/>
            <w:r>
              <w:rPr>
                <w:color w:val="000000" w:themeColor="text1"/>
              </w:rPr>
              <w:t>Courseview</w:t>
            </w:r>
            <w:proofErr w:type="spellEnd"/>
            <w:r>
              <w:rPr>
                <w:color w:val="000000" w:themeColor="text1"/>
              </w:rPr>
              <w:t xml:space="preserve"> in MET might attend and alignment with their math requirements will allow a smoother transition for students.</w:t>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 xml:space="preserve">Examine degree and certificate completion rates for the department’s programs and </w:t>
            </w:r>
            <w:r w:rsidRPr="00387B1B">
              <w:rPr>
                <w:rFonts w:ascii="Arial" w:hAnsi="Arial" w:cs="Arial"/>
              </w:rPr>
              <w:lastRenderedPageBreak/>
              <w:t>identify factors that contribute to low completion rates.  Determine whether low productivity programs should be revised in order to attract and graduate more students or whether selected offerings should be discontinued.</w:t>
            </w:r>
          </w:p>
          <w:p w:rsidR="00387B1B" w:rsidRPr="00654C15" w:rsidRDefault="00387B1B" w:rsidP="00D07030">
            <w:pPr>
              <w:pStyle w:val="ListParagraph"/>
              <w:ind w:left="0"/>
              <w:rPr>
                <w:rFonts w:ascii="Arial" w:hAnsi="Arial" w:cs="Arial"/>
                <w:color w:val="000000" w:themeColor="text1"/>
              </w:rPr>
            </w:pPr>
          </w:p>
        </w:tc>
        <w:tc>
          <w:tcPr>
            <w:tcW w:w="2700" w:type="dxa"/>
          </w:tcPr>
          <w:p w:rsidR="00387B1B" w:rsidRDefault="00387B1B" w:rsidP="00D07030">
            <w:pPr>
              <w:pStyle w:val="ListParagraph"/>
              <w:ind w:left="0"/>
              <w:rPr>
                <w:rFonts w:ascii="Arial" w:hAnsi="Arial" w:cs="Arial"/>
                <w:color w:val="000000" w:themeColor="text1"/>
              </w:rPr>
            </w:pPr>
          </w:p>
          <w:p w:rsidR="00387B1B"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Box>
                </w:ffData>
              </w:fldChar>
            </w:r>
            <w:r>
              <w:instrText xml:space="preserve"> FORMCHECKBOX </w:instrText>
            </w:r>
            <w:r w:rsidR="00BD642F">
              <w:fldChar w:fldCharType="separate"/>
            </w:r>
            <w:r w:rsidR="005369A0">
              <w:fldChar w:fldCharType="end"/>
            </w:r>
          </w:p>
          <w:p w:rsidR="00387B1B" w:rsidRDefault="00387B1B" w:rsidP="00D07030">
            <w:pPr>
              <w:pStyle w:val="ListParagraph"/>
              <w:ind w:left="0"/>
              <w:rPr>
                <w:rFonts w:ascii="Arial" w:hAnsi="Arial" w:cs="Arial"/>
                <w:color w:val="000000" w:themeColor="text1"/>
              </w:rPr>
            </w:pPr>
          </w:p>
          <w:p w:rsidR="00387B1B" w:rsidRDefault="00387B1B"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5369A0">
              <w:fldChar w:fldCharType="begin">
                <w:ffData>
                  <w:name w:val="Check1"/>
                  <w:enabled/>
                  <w:calcOnExit w:val="0"/>
                  <w:checkBox>
                    <w:sizeAuto/>
                    <w:default w:val="0"/>
                    <w:checked/>
                  </w:checkBox>
                </w:ffData>
              </w:fldChar>
            </w:r>
            <w:r>
              <w:instrText xml:space="preserve"> FORMCHECKBOX </w:instrText>
            </w:r>
            <w:r w:rsidR="00BD642F">
              <w:fldChar w:fldCharType="separate"/>
            </w:r>
            <w:r w:rsidR="005369A0">
              <w:fldChar w:fldCharType="end"/>
            </w:r>
          </w:p>
          <w:p w:rsidR="00387B1B" w:rsidRDefault="00387B1B" w:rsidP="00D07030">
            <w:pPr>
              <w:pStyle w:val="ListParagraph"/>
              <w:ind w:left="0"/>
              <w:rPr>
                <w:rFonts w:ascii="Arial" w:hAnsi="Arial" w:cs="Arial"/>
                <w:color w:val="000000" w:themeColor="text1"/>
              </w:rPr>
            </w:pPr>
          </w:p>
          <w:p w:rsidR="00387B1B" w:rsidRPr="0037786D"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val="0"/>
                  </w:checkBox>
                </w:ffData>
              </w:fldChar>
            </w:r>
            <w:r>
              <w:instrText xml:space="preserve"> FORMCHECKBOX </w:instrText>
            </w:r>
            <w:r w:rsidR="00BD642F">
              <w:fldChar w:fldCharType="separate"/>
            </w:r>
            <w:r w:rsidR="005369A0">
              <w:fldChar w:fldCharType="end"/>
            </w:r>
          </w:p>
        </w:tc>
        <w:tc>
          <w:tcPr>
            <w:tcW w:w="6480" w:type="dxa"/>
          </w:tcPr>
          <w:p w:rsidR="00387B1B" w:rsidRDefault="005369A0" w:rsidP="00FB30DD">
            <w:r w:rsidRPr="00000B4E">
              <w:rPr>
                <w:rFonts w:ascii="Arial" w:hAnsi="Arial" w:cs="Arial"/>
                <w:color w:val="000000" w:themeColor="text1"/>
              </w:rPr>
              <w:lastRenderedPageBreak/>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FB30DD">
              <w:t>Trend data indicates increased completion rates.  Our efforts have been successful and we will continue those efforts.</w:t>
            </w:r>
            <w:r w:rsidRPr="00000B4E">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AF38FD">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AF38FD">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07060A" w:rsidRDefault="0007060A" w:rsidP="0007060A">
            <w:pPr>
              <w:spacing w:after="200" w:line="276" w:lineRule="auto"/>
              <w:rPr>
                <w:rFonts w:ascii="Arial" w:hAnsi="Arial" w:cs="Arial"/>
                <w:b/>
                <w:color w:val="000000" w:themeColor="text1"/>
              </w:rPr>
            </w:pPr>
          </w:p>
          <w:p w:rsidR="00B34F9E" w:rsidRDefault="0007060A" w:rsidP="0007060A">
            <w:pPr>
              <w:ind w:left="72"/>
              <w:rPr>
                <w:rFonts w:asciiTheme="minorHAnsi" w:hAnsiTheme="minorHAnsi" w:cs="Arial"/>
                <w:color w:val="000000" w:themeColor="text1"/>
              </w:rPr>
            </w:pPr>
            <w:r>
              <w:rPr>
                <w:rFonts w:ascii="Arial" w:hAnsi="Arial" w:cs="Arial"/>
                <w:b/>
                <w:color w:val="000000" w:themeColor="text1"/>
              </w:rPr>
              <w:fldChar w:fldCharType="begin">
                <w:ffData>
                  <w:name w:val="Text1"/>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rsidR="00AF38FD" w:rsidRDefault="00AF38FD" w:rsidP="001D736E">
            <w:pPr>
              <w:ind w:left="72"/>
              <w:rPr>
                <w:rFonts w:asciiTheme="minorHAnsi" w:hAnsiTheme="minorHAnsi" w:cs="Arial"/>
                <w:color w:val="000000" w:themeColor="text1"/>
              </w:rPr>
            </w:pPr>
          </w:p>
          <w:p w:rsidR="00AF38FD" w:rsidRPr="004C52FC" w:rsidRDefault="00AF38FD" w:rsidP="001D736E">
            <w:pPr>
              <w:ind w:left="72"/>
              <w:rPr>
                <w:rFonts w:asciiTheme="minorHAnsi" w:hAnsiTheme="minorHAnsi" w:cs="Arial"/>
                <w:color w:val="000000" w:themeColor="text1"/>
              </w:rPr>
            </w:pPr>
          </w:p>
        </w:tc>
        <w:tc>
          <w:tcPr>
            <w:tcW w:w="4028" w:type="dxa"/>
            <w:shd w:val="clear" w:color="auto" w:fill="auto"/>
          </w:tcPr>
          <w:p w:rsidR="0007060A" w:rsidRDefault="0007060A" w:rsidP="0007060A">
            <w:pPr>
              <w:spacing w:after="200" w:line="276" w:lineRule="auto"/>
              <w:rPr>
                <w:rFonts w:ascii="Arial" w:hAnsi="Arial" w:cs="Arial"/>
                <w:b/>
                <w:color w:val="000000" w:themeColor="text1"/>
              </w:rPr>
            </w:pPr>
          </w:p>
          <w:p w:rsidR="00B34F9E" w:rsidRPr="004C52FC" w:rsidRDefault="0007060A" w:rsidP="0007060A">
            <w:pPr>
              <w:ind w:left="72"/>
              <w:rPr>
                <w:rFonts w:asciiTheme="minorHAnsi" w:hAnsiTheme="minorHAnsi" w:cs="Arial"/>
                <w:color w:val="000000" w:themeColor="text1"/>
              </w:rPr>
            </w:pPr>
            <w:r>
              <w:rPr>
                <w:rFonts w:ascii="Arial" w:hAnsi="Arial" w:cs="Arial"/>
                <w:b/>
                <w:color w:val="000000" w:themeColor="text1"/>
              </w:rPr>
              <w:fldChar w:fldCharType="begin">
                <w:ffData>
                  <w:name w:val="Text1"/>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AF38FD" w:rsidRPr="004C52FC" w:rsidTr="00387B1B">
        <w:trPr>
          <w:trHeight w:val="274"/>
        </w:trPr>
        <w:tc>
          <w:tcPr>
            <w:tcW w:w="3708" w:type="dxa"/>
            <w:gridSpan w:val="2"/>
            <w:tcBorders>
              <w:right w:val="single" w:sz="4" w:space="0" w:color="auto"/>
            </w:tcBorders>
            <w:shd w:val="clear" w:color="auto" w:fill="FFFFFF"/>
            <w:vAlign w:val="center"/>
          </w:tcPr>
          <w:p w:rsidR="00AF38FD" w:rsidRPr="004C52FC" w:rsidRDefault="00AF38FD"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F38FD" w:rsidRPr="004C52FC" w:rsidRDefault="00AF38FD"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AF38FD" w:rsidRPr="004C52FC" w:rsidRDefault="00AF38FD"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AF38FD" w:rsidRPr="004C52FC" w:rsidRDefault="00AF38FD" w:rsidP="001D736E">
            <w:pPr>
              <w:ind w:left="72"/>
              <w:rPr>
                <w:rFonts w:asciiTheme="minorHAnsi" w:hAnsiTheme="minorHAnsi" w:cs="Arial"/>
                <w:color w:val="000000" w:themeColor="text1"/>
              </w:rPr>
            </w:pPr>
          </w:p>
        </w:tc>
        <w:tc>
          <w:tcPr>
            <w:tcW w:w="4028" w:type="dxa"/>
            <w:shd w:val="clear" w:color="auto" w:fill="000000" w:themeFill="text1"/>
          </w:tcPr>
          <w:p w:rsidR="00AF38FD" w:rsidRPr="004C52FC" w:rsidRDefault="00AF38FD" w:rsidP="001D736E">
            <w:pPr>
              <w:ind w:left="72"/>
              <w:rPr>
                <w:rFonts w:asciiTheme="minorHAnsi" w:hAnsiTheme="minorHAnsi" w:cs="Arial"/>
                <w:color w:val="000000" w:themeColor="text1"/>
              </w:rPr>
            </w:pPr>
          </w:p>
        </w:tc>
      </w:tr>
      <w:tr w:rsidR="00AF38FD" w:rsidRPr="004C52FC" w:rsidTr="00387B1B">
        <w:trPr>
          <w:trHeight w:val="274"/>
        </w:trPr>
        <w:tc>
          <w:tcPr>
            <w:tcW w:w="3708" w:type="dxa"/>
            <w:gridSpan w:val="2"/>
            <w:tcBorders>
              <w:right w:val="single" w:sz="4" w:space="0" w:color="auto"/>
            </w:tcBorders>
            <w:shd w:val="clear" w:color="auto" w:fill="FFFFFF"/>
            <w:vAlign w:val="center"/>
          </w:tcPr>
          <w:p w:rsidR="00AF38FD" w:rsidRPr="004C52FC" w:rsidRDefault="00AF38FD"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AF38FD" w:rsidRPr="004C52FC" w:rsidRDefault="00AF38FD"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AF38FD" w:rsidRPr="004C52FC" w:rsidRDefault="00AF38FD"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AF38FD" w:rsidRPr="004C52FC" w:rsidRDefault="00AF38FD" w:rsidP="001D736E">
            <w:pPr>
              <w:ind w:left="72"/>
              <w:rPr>
                <w:rFonts w:asciiTheme="minorHAnsi" w:hAnsiTheme="minorHAnsi" w:cs="Arial"/>
                <w:color w:val="000000" w:themeColor="text1"/>
              </w:rPr>
            </w:pPr>
          </w:p>
        </w:tc>
        <w:tc>
          <w:tcPr>
            <w:tcW w:w="4028" w:type="dxa"/>
            <w:shd w:val="clear" w:color="auto" w:fill="000000" w:themeFill="text1"/>
          </w:tcPr>
          <w:p w:rsidR="00AF38FD" w:rsidRPr="004C52FC" w:rsidRDefault="00AF38FD"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87B1B" w:rsidRPr="004C52FC" w:rsidTr="00387B1B">
        <w:trPr>
          <w:trHeight w:val="274"/>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Communicate effectively in a technical environment, including written and oral communication, effective listening</w:t>
            </w:r>
            <w:r>
              <w:rPr>
                <w:rFonts w:ascii="Verdana" w:hAnsi="Verdana"/>
                <w:sz w:val="20"/>
                <w:szCs w:val="20"/>
              </w:rPr>
              <w:t xml:space="preserve"> </w:t>
            </w:r>
            <w:r w:rsidRPr="002D35E0">
              <w:rPr>
                <w:rFonts w:ascii="Verdana" w:hAnsi="Verdana"/>
                <w:sz w:val="20"/>
                <w:szCs w:val="20"/>
              </w:rPr>
              <w:t>and technical presentation</w:t>
            </w:r>
            <w:r>
              <w:rPr>
                <w:rFonts w:ascii="Verdana" w:hAnsi="Verdana"/>
                <w:sz w:val="20"/>
                <w:szCs w:val="20"/>
              </w:rPr>
              <w: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SCC 1101, ENG 1101, COM 2211, MET 1131, CAT 1111, CAT 1131</w:t>
            </w:r>
          </w:p>
        </w:tc>
        <w:tc>
          <w:tcPr>
            <w:tcW w:w="1430" w:type="dxa"/>
            <w:shd w:val="clear" w:color="auto" w:fill="auto"/>
          </w:tcPr>
          <w:p w:rsidR="00387B1B" w:rsidRPr="004C52FC" w:rsidRDefault="005369A0" w:rsidP="00D342DA">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342DA">
              <w:t>2012-13</w:t>
            </w:r>
            <w:r w:rsidRPr="00B71A40">
              <w:rPr>
                <w:rFonts w:ascii="Arial" w:hAnsi="Arial" w:cs="Arial"/>
                <w:color w:val="000000" w:themeColor="text1"/>
              </w:rPr>
              <w:fldChar w:fldCharType="end"/>
            </w:r>
          </w:p>
        </w:tc>
        <w:tc>
          <w:tcPr>
            <w:tcW w:w="2250" w:type="dxa"/>
          </w:tcPr>
          <w:p w:rsidR="00387B1B" w:rsidRDefault="00857D52"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Assessment of capstone.</w:t>
            </w:r>
          </w:p>
          <w:p w:rsidR="00DD0307" w:rsidRPr="00D52AC0" w:rsidRDefault="00DD0307" w:rsidP="00C1201E">
            <w:pPr>
              <w:ind w:left="72"/>
              <w:rPr>
                <w:rFonts w:ascii="Verdana" w:hAnsi="Verdana" w:cs="Arial"/>
                <w:color w:val="000000" w:themeColor="text1"/>
                <w:sz w:val="20"/>
                <w:szCs w:val="20"/>
              </w:rPr>
            </w:pPr>
          </w:p>
          <w:p w:rsidR="00D52AC0" w:rsidRDefault="00D52AC0"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Graduate exit interviews.</w:t>
            </w:r>
          </w:p>
          <w:p w:rsidR="00DD0307" w:rsidRPr="00D52AC0" w:rsidRDefault="00DD0307" w:rsidP="00C1201E">
            <w:pPr>
              <w:ind w:left="72"/>
              <w:rPr>
                <w:rFonts w:ascii="Verdana" w:hAnsi="Verdana" w:cs="Arial"/>
                <w:color w:val="000000" w:themeColor="text1"/>
                <w:sz w:val="20"/>
                <w:szCs w:val="20"/>
              </w:rPr>
            </w:pPr>
          </w:p>
          <w:p w:rsidR="00D52AC0" w:rsidRDefault="00D52AC0"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Employer surveys.</w:t>
            </w:r>
          </w:p>
          <w:p w:rsidR="00067299" w:rsidRPr="00857D52" w:rsidRDefault="00067299" w:rsidP="00C1201E">
            <w:pPr>
              <w:ind w:left="72"/>
              <w:rPr>
                <w:rFonts w:ascii="Verdana" w:hAnsi="Verdana" w:cs="Arial"/>
                <w:color w:val="000000" w:themeColor="text1"/>
              </w:rPr>
            </w:pPr>
            <w:r>
              <w:rPr>
                <w:rFonts w:ascii="Verdana" w:hAnsi="Verdana" w:cs="Arial"/>
                <w:color w:val="000000" w:themeColor="text1"/>
                <w:sz w:val="20"/>
                <w:szCs w:val="20"/>
              </w:rPr>
              <w:t>Co-op feedback.</w:t>
            </w:r>
          </w:p>
        </w:tc>
        <w:tc>
          <w:tcPr>
            <w:tcW w:w="4028" w:type="dxa"/>
          </w:tcPr>
          <w:p w:rsidR="00D52AC0" w:rsidRPr="00D52AC0" w:rsidRDefault="00D52AC0" w:rsidP="00D52AC0">
            <w:pPr>
              <w:rPr>
                <w:rFonts w:ascii="Verdana" w:hAnsi="Verdana" w:cs="Arial"/>
                <w:color w:val="000000" w:themeColor="text1"/>
                <w:sz w:val="20"/>
                <w:szCs w:val="20"/>
              </w:rPr>
            </w:pPr>
            <w:r w:rsidRPr="00D52AC0">
              <w:rPr>
                <w:rFonts w:ascii="Verdana" w:hAnsi="Verdana" w:cs="Arial"/>
                <w:color w:val="000000" w:themeColor="text1"/>
                <w:sz w:val="20"/>
                <w:szCs w:val="20"/>
              </w:rPr>
              <w:t>Current level is an improvement over years past, however, increased levels of proper communication encouraged.</w:t>
            </w:r>
          </w:p>
        </w:tc>
      </w:tr>
      <w:tr w:rsidR="00387B1B" w:rsidRPr="004C52FC" w:rsidTr="00387B1B">
        <w:trPr>
          <w:trHeight w:val="72"/>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 xml:space="preserve">Apply principles of environmental safety and health to HVACR system operation, maintenance, </w:t>
            </w:r>
            <w:r w:rsidRPr="002D35E0">
              <w:rPr>
                <w:rFonts w:ascii="Verdana" w:hAnsi="Verdana"/>
                <w:sz w:val="20"/>
                <w:szCs w:val="20"/>
              </w:rPr>
              <w:lastRenderedPageBreak/>
              <w:t>troubleshooting and design.</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HVA 1201, HVA 2251, HVA 2301</w:t>
            </w:r>
          </w:p>
        </w:tc>
        <w:tc>
          <w:tcPr>
            <w:tcW w:w="1430" w:type="dxa"/>
            <w:shd w:val="clear" w:color="auto" w:fill="auto"/>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rPr>
          <w:trHeight w:val="72"/>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lastRenderedPageBreak/>
              <w:t xml:space="preserve">Apply principles of mathematics, physics, chemistry, thermodynamics, </w:t>
            </w:r>
            <w:proofErr w:type="spellStart"/>
            <w:r w:rsidRPr="002D35E0">
              <w:rPr>
                <w:rFonts w:ascii="Verdana" w:hAnsi="Verdana"/>
                <w:sz w:val="20"/>
                <w:szCs w:val="20"/>
              </w:rPr>
              <w:t>psychrometrics</w:t>
            </w:r>
            <w:proofErr w:type="spellEnd"/>
            <w:r w:rsidRPr="002D35E0">
              <w:rPr>
                <w:rFonts w:ascii="Verdana" w:hAnsi="Verdana"/>
                <w:sz w:val="20"/>
                <w:szCs w:val="20"/>
              </w:rPr>
              <w:t xml:space="preserve"> and fluid mechanics to HVACR systems</w:t>
            </w:r>
            <w:r>
              <w:rPr>
                <w:rFonts w:ascii="Verdana" w:hAnsi="Verdana"/>
                <w:sz w:val="20"/>
                <w:szCs w:val="20"/>
              </w:rPr>
              <w: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MAT 1280, MAT 1290, PHY 1131, HVA 1301, HVA 1351, EET 1120</w:t>
            </w:r>
          </w:p>
        </w:tc>
        <w:tc>
          <w:tcPr>
            <w:tcW w:w="1430" w:type="dxa"/>
            <w:shd w:val="clear" w:color="auto" w:fill="auto"/>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Default="00D52AC0"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Assessment of capstone.</w:t>
            </w:r>
          </w:p>
          <w:p w:rsidR="00DD0307" w:rsidRPr="00D52AC0" w:rsidRDefault="00DD0307" w:rsidP="00C1201E">
            <w:pPr>
              <w:ind w:left="72"/>
              <w:rPr>
                <w:rFonts w:ascii="Verdana" w:hAnsi="Verdana" w:cs="Arial"/>
                <w:color w:val="000000" w:themeColor="text1"/>
                <w:sz w:val="20"/>
                <w:szCs w:val="20"/>
              </w:rPr>
            </w:pPr>
          </w:p>
          <w:p w:rsidR="00D52AC0" w:rsidRDefault="00D52AC0"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Placement testing results.</w:t>
            </w:r>
          </w:p>
          <w:p w:rsidR="00DD0307" w:rsidRPr="00D52AC0" w:rsidRDefault="00DD0307" w:rsidP="00C1201E">
            <w:pPr>
              <w:ind w:left="72"/>
              <w:rPr>
                <w:rFonts w:ascii="Verdana" w:hAnsi="Verdana" w:cs="Arial"/>
                <w:color w:val="000000" w:themeColor="text1"/>
                <w:sz w:val="20"/>
                <w:szCs w:val="20"/>
              </w:rPr>
            </w:pPr>
          </w:p>
          <w:p w:rsidR="00D52AC0" w:rsidRPr="00D52AC0" w:rsidRDefault="00D52AC0"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Locally developed tests and quizzes.</w:t>
            </w:r>
          </w:p>
        </w:tc>
        <w:tc>
          <w:tcPr>
            <w:tcW w:w="4028" w:type="dxa"/>
          </w:tcPr>
          <w:p w:rsidR="00387B1B" w:rsidRDefault="00D52AC0" w:rsidP="00C1201E">
            <w:pPr>
              <w:ind w:left="72"/>
              <w:rPr>
                <w:rFonts w:ascii="Verdana" w:hAnsi="Verdana" w:cs="Arial"/>
                <w:color w:val="000000" w:themeColor="text1"/>
                <w:sz w:val="20"/>
                <w:szCs w:val="20"/>
              </w:rPr>
            </w:pPr>
            <w:r w:rsidRPr="00D52AC0">
              <w:rPr>
                <w:rFonts w:ascii="Verdana" w:hAnsi="Verdana" w:cs="Arial"/>
                <w:color w:val="000000" w:themeColor="text1"/>
                <w:sz w:val="20"/>
                <w:szCs w:val="20"/>
              </w:rPr>
              <w:t>Students are generally underprepared to enter the program mathematically and often start in DEV courses or courses below the required math</w:t>
            </w:r>
            <w:r>
              <w:rPr>
                <w:rFonts w:ascii="Verdana" w:hAnsi="Verdana" w:cs="Arial"/>
                <w:color w:val="000000" w:themeColor="text1"/>
                <w:sz w:val="20"/>
                <w:szCs w:val="20"/>
              </w:rPr>
              <w:t xml:space="preserve"> sequence</w:t>
            </w:r>
            <w:r w:rsidRPr="00D52AC0">
              <w:rPr>
                <w:rFonts w:ascii="Verdana" w:hAnsi="Verdana" w:cs="Arial"/>
                <w:color w:val="000000" w:themeColor="text1"/>
                <w:sz w:val="20"/>
                <w:szCs w:val="20"/>
              </w:rPr>
              <w:t>.</w:t>
            </w:r>
          </w:p>
          <w:p w:rsidR="00D52AC0" w:rsidRDefault="00D52AC0" w:rsidP="00C1201E">
            <w:pPr>
              <w:ind w:left="72"/>
              <w:rPr>
                <w:rFonts w:ascii="Verdana" w:hAnsi="Verdana" w:cs="Arial"/>
                <w:color w:val="000000" w:themeColor="text1"/>
                <w:sz w:val="20"/>
                <w:szCs w:val="20"/>
              </w:rPr>
            </w:pPr>
          </w:p>
          <w:p w:rsidR="00D52AC0" w:rsidRDefault="00D52AC0" w:rsidP="00C1201E">
            <w:pPr>
              <w:ind w:left="72"/>
              <w:rPr>
                <w:rFonts w:ascii="Verdana" w:hAnsi="Verdana" w:cs="Arial"/>
                <w:color w:val="000000" w:themeColor="text1"/>
                <w:sz w:val="20"/>
                <w:szCs w:val="20"/>
              </w:rPr>
            </w:pPr>
            <w:r>
              <w:rPr>
                <w:rFonts w:ascii="Verdana" w:hAnsi="Verdana" w:cs="Arial"/>
                <w:color w:val="000000" w:themeColor="text1"/>
                <w:sz w:val="20"/>
                <w:szCs w:val="20"/>
              </w:rPr>
              <w:t xml:space="preserve">One strong point of our program is incorporating real world problems and solutions into the curriculum.  </w:t>
            </w:r>
          </w:p>
          <w:p w:rsidR="00D52AC0" w:rsidRDefault="00D52AC0" w:rsidP="00C1201E">
            <w:pPr>
              <w:ind w:left="72"/>
              <w:rPr>
                <w:rFonts w:ascii="Verdana" w:hAnsi="Verdana" w:cs="Arial"/>
                <w:color w:val="000000" w:themeColor="text1"/>
                <w:sz w:val="20"/>
                <w:szCs w:val="20"/>
              </w:rPr>
            </w:pPr>
          </w:p>
          <w:p w:rsidR="00D52AC0" w:rsidRPr="00D52AC0" w:rsidRDefault="00D52AC0" w:rsidP="00DD0307">
            <w:pPr>
              <w:ind w:left="72"/>
              <w:rPr>
                <w:rFonts w:ascii="Verdana" w:hAnsi="Verdana" w:cs="Arial"/>
                <w:color w:val="000000" w:themeColor="text1"/>
                <w:sz w:val="20"/>
                <w:szCs w:val="20"/>
              </w:rPr>
            </w:pPr>
            <w:r>
              <w:rPr>
                <w:rFonts w:ascii="Verdana" w:hAnsi="Verdana" w:cs="Arial"/>
                <w:color w:val="000000" w:themeColor="text1"/>
                <w:sz w:val="20"/>
                <w:szCs w:val="20"/>
              </w:rPr>
              <w:t>Students tend to have a better success rate and material retention w</w:t>
            </w:r>
            <w:r w:rsidR="00DD0307">
              <w:rPr>
                <w:rFonts w:ascii="Verdana" w:hAnsi="Verdana" w:cs="Arial"/>
                <w:color w:val="000000" w:themeColor="text1"/>
                <w:sz w:val="20"/>
                <w:szCs w:val="20"/>
              </w:rPr>
              <w:t>hen</w:t>
            </w:r>
            <w:r>
              <w:rPr>
                <w:rFonts w:ascii="Verdana" w:hAnsi="Verdana" w:cs="Arial"/>
                <w:color w:val="000000" w:themeColor="text1"/>
                <w:sz w:val="20"/>
                <w:szCs w:val="20"/>
              </w:rPr>
              <w:t xml:space="preserve"> the physical sciences are related to their chosen topic of study.</w:t>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2D35E0">
              <w:rPr>
                <w:rFonts w:ascii="Verdana" w:hAnsi="Verdana"/>
                <w:sz w:val="20"/>
                <w:szCs w:val="20"/>
              </w:rPr>
              <w:t>Demonstrate an in-depth understanding of the troubleshooting, commissioning, design and documentation processes for commercial HVACR systems and subsystems via the application of indust</w:t>
            </w:r>
            <w:r>
              <w:rPr>
                <w:rFonts w:ascii="Verdana" w:hAnsi="Verdana"/>
                <w:sz w:val="20"/>
                <w:szCs w:val="20"/>
              </w:rPr>
              <w:t>r</w:t>
            </w:r>
            <w:r w:rsidRPr="002D35E0">
              <w:rPr>
                <w:rFonts w:ascii="Verdana" w:hAnsi="Verdana"/>
                <w:sz w:val="20"/>
                <w:szCs w:val="20"/>
              </w:rPr>
              <w:t>y accepted techniques, methods, and tools including but not limited to handbooks, manuals, codes and software.</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 xml:space="preserve">EET 1139, HVA 2201, HVA 1451, HVA 2780, HVACR elective, HVACR elective </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2D35E0">
              <w:rPr>
                <w:rFonts w:ascii="Verdana" w:hAnsi="Verdana"/>
                <w:sz w:val="20"/>
                <w:szCs w:val="20"/>
              </w:rPr>
              <w:t>Recognize professional, ethical</w:t>
            </w:r>
            <w:r>
              <w:rPr>
                <w:rFonts w:ascii="Verdana" w:hAnsi="Verdana"/>
                <w:sz w:val="20"/>
                <w:szCs w:val="20"/>
              </w:rPr>
              <w:t xml:space="preserve"> </w:t>
            </w:r>
            <w:r w:rsidRPr="002D35E0">
              <w:rPr>
                <w:rFonts w:ascii="Verdana" w:hAnsi="Verdana"/>
                <w:sz w:val="20"/>
                <w:szCs w:val="20"/>
              </w:rPr>
              <w:t>and societal responsibilities, respect diversity and commit to life</w:t>
            </w:r>
            <w:r>
              <w:rPr>
                <w:rFonts w:ascii="Verdana" w:hAnsi="Verdana"/>
                <w:sz w:val="20"/>
                <w:szCs w:val="20"/>
              </w:rPr>
              <w:t>-</w:t>
            </w:r>
            <w:r w:rsidRPr="002D35E0">
              <w:rPr>
                <w:rFonts w:ascii="Verdana" w:hAnsi="Verdana"/>
                <w:sz w:val="20"/>
                <w:szCs w:val="20"/>
              </w:rPr>
              <w:t>long learning.</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 xml:space="preserve">MET 2711, OTM Social/Behavioral, OTM Arts/Humanities </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523603">
              <w:rPr>
                <w:rFonts w:ascii="Verdana" w:hAnsi="Verdana"/>
                <w:sz w:val="20"/>
                <w:szCs w:val="20"/>
              </w:rPr>
              <w:t xml:space="preserve">Apply basic science and fundamental engineering studies to identify, analyze and integrate solutions to emerging issues in environmental engineering </w:t>
            </w:r>
            <w:r w:rsidRPr="00523603">
              <w:rPr>
                <w:rFonts w:ascii="Verdana" w:hAnsi="Verdana"/>
                <w:sz w:val="20"/>
                <w:szCs w:val="20"/>
              </w:rPr>
              <w:lastRenderedPageBreak/>
              <w:t>technology including sustainability.</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 xml:space="preserve">OTM (Social/Behavioral), EGV 2781, EGV 2701, MAT </w:t>
            </w:r>
            <w:r>
              <w:rPr>
                <w:rFonts w:ascii="Verdana" w:hAnsi="Verdana"/>
                <w:sz w:val="20"/>
                <w:szCs w:val="20"/>
              </w:rPr>
              <w:lastRenderedPageBreak/>
              <w:t>1310, MAT 1410, MET 1161, PHY 1141, CHE 1211, CHE 1251, CHE 1221, CHE 1261, MET 2201, CAT 2421, MET 2301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lastRenderedPageBreak/>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lastRenderedPageBreak/>
              <w:t>R</w:t>
            </w:r>
            <w:r w:rsidRPr="00523603">
              <w:rPr>
                <w:rFonts w:ascii="Verdana" w:hAnsi="Verdana"/>
                <w:sz w:val="20"/>
                <w:szCs w:val="20"/>
              </w:rPr>
              <w:t>espect the ethical responsibility of public institutions and private organizations to society pertaining to environmental engineering technology.</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HUM 1135, MET 2711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523603">
              <w:rPr>
                <w:rFonts w:ascii="Verdana" w:hAnsi="Verdana"/>
                <w:sz w:val="20"/>
                <w:szCs w:val="20"/>
              </w:rPr>
              <w:t>Demonstrate knowledge and skills to assess and initiate response to hazardous exposure</w:t>
            </w:r>
            <w:r>
              <w:rPr>
                <w:rFonts w:ascii="Verdana" w:hAnsi="Verdana"/>
                <w:sz w:val="20"/>
                <w:szCs w:val="20"/>
              </w:rPr>
              <w:t>s,</w:t>
            </w:r>
            <w:r w:rsidRPr="00523603">
              <w:rPr>
                <w:rFonts w:ascii="Verdana" w:hAnsi="Verdana"/>
                <w:sz w:val="20"/>
                <w:szCs w:val="20"/>
              </w:rPr>
              <w:t xml:space="preserve"> minimizing their risk and the risk to surrounding population</w:t>
            </w:r>
            <w:r>
              <w:rPr>
                <w:rFonts w:ascii="Verdana" w:hAnsi="Verdana"/>
                <w:sz w:val="20"/>
                <w:szCs w:val="20"/>
              </w:rPr>
              <w:t>s,</w:t>
            </w:r>
            <w:r w:rsidRPr="00523603">
              <w:rPr>
                <w:rFonts w:ascii="Verdana" w:hAnsi="Verdana"/>
                <w:sz w:val="20"/>
                <w:szCs w:val="20"/>
              </w:rPr>
              <w:t xml:space="preserve"> immediate property and the environment.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FST 1555</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2012-13</w:t>
            </w:r>
            <w:r w:rsidRPr="00B71A40">
              <w:rPr>
                <w:rFonts w:ascii="Arial" w:hAnsi="Arial" w:cs="Arial"/>
                <w:color w:val="000000" w:themeColor="text1"/>
              </w:rPr>
              <w:fldChar w:fldCharType="end"/>
            </w:r>
          </w:p>
        </w:tc>
        <w:tc>
          <w:tcPr>
            <w:tcW w:w="2250" w:type="dxa"/>
          </w:tcPr>
          <w:p w:rsidR="00DD0307" w:rsidRDefault="00DD0307" w:rsidP="00DD0307">
            <w:pPr>
              <w:ind w:left="72"/>
              <w:rPr>
                <w:rFonts w:ascii="Verdana" w:hAnsi="Verdana" w:cs="Arial"/>
                <w:color w:val="000000" w:themeColor="text1"/>
                <w:sz w:val="20"/>
                <w:szCs w:val="20"/>
              </w:rPr>
            </w:pPr>
            <w:r w:rsidRPr="00D52AC0">
              <w:rPr>
                <w:rFonts w:ascii="Verdana" w:hAnsi="Verdana" w:cs="Arial"/>
                <w:color w:val="000000" w:themeColor="text1"/>
                <w:sz w:val="20"/>
                <w:szCs w:val="20"/>
              </w:rPr>
              <w:t>Graduate exit interviews.</w:t>
            </w:r>
          </w:p>
          <w:p w:rsidR="00DD0307" w:rsidRPr="00D52AC0" w:rsidRDefault="00DD0307" w:rsidP="00DD0307">
            <w:pPr>
              <w:ind w:left="72"/>
              <w:rPr>
                <w:rFonts w:ascii="Verdana" w:hAnsi="Verdana" w:cs="Arial"/>
                <w:color w:val="000000" w:themeColor="text1"/>
                <w:sz w:val="20"/>
                <w:szCs w:val="20"/>
              </w:rPr>
            </w:pPr>
          </w:p>
          <w:p w:rsidR="00387B1B" w:rsidRDefault="00DD0307" w:rsidP="00E561F1">
            <w:pPr>
              <w:ind w:left="72"/>
              <w:rPr>
                <w:rFonts w:ascii="Verdana" w:hAnsi="Verdana" w:cs="Arial"/>
                <w:color w:val="000000" w:themeColor="text1"/>
                <w:sz w:val="20"/>
                <w:szCs w:val="20"/>
              </w:rPr>
            </w:pPr>
            <w:r>
              <w:rPr>
                <w:rFonts w:ascii="Verdana" w:hAnsi="Verdana" w:cs="Arial"/>
                <w:color w:val="000000" w:themeColor="text1"/>
                <w:sz w:val="20"/>
                <w:szCs w:val="20"/>
              </w:rPr>
              <w:t>Locally developed tests and quizzes.</w:t>
            </w:r>
          </w:p>
          <w:p w:rsidR="00DD0307" w:rsidRDefault="00DD0307" w:rsidP="00E561F1">
            <w:pPr>
              <w:ind w:left="72"/>
              <w:rPr>
                <w:rFonts w:ascii="Verdana" w:hAnsi="Verdana" w:cs="Arial"/>
                <w:color w:val="000000" w:themeColor="text1"/>
                <w:sz w:val="20"/>
                <w:szCs w:val="20"/>
              </w:rPr>
            </w:pPr>
          </w:p>
          <w:p w:rsidR="00DD0307" w:rsidRPr="00831986" w:rsidRDefault="00DD0307" w:rsidP="00E561F1">
            <w:pPr>
              <w:ind w:left="72"/>
              <w:rPr>
                <w:rFonts w:ascii="Verdana" w:hAnsi="Verdana" w:cs="Arial"/>
                <w:color w:val="000000" w:themeColor="text1"/>
                <w:sz w:val="20"/>
                <w:szCs w:val="20"/>
              </w:rPr>
            </w:pPr>
            <w:r>
              <w:rPr>
                <w:rFonts w:ascii="Verdana" w:hAnsi="Verdana" w:cs="Arial"/>
                <w:color w:val="000000" w:themeColor="text1"/>
                <w:sz w:val="20"/>
                <w:szCs w:val="20"/>
              </w:rPr>
              <w:t>Co-op feedback.</w:t>
            </w:r>
          </w:p>
        </w:tc>
        <w:tc>
          <w:tcPr>
            <w:tcW w:w="4028" w:type="dxa"/>
          </w:tcPr>
          <w:p w:rsidR="00E561F1" w:rsidRDefault="00DD0307" w:rsidP="00831986">
            <w:pPr>
              <w:ind w:left="72"/>
              <w:rPr>
                <w:rFonts w:ascii="Verdana" w:hAnsi="Verdana" w:cs="Arial"/>
                <w:color w:val="000000" w:themeColor="text1"/>
                <w:sz w:val="20"/>
                <w:szCs w:val="20"/>
              </w:rPr>
            </w:pPr>
            <w:r>
              <w:rPr>
                <w:rFonts w:ascii="Verdana" w:hAnsi="Verdana" w:cs="Arial"/>
                <w:color w:val="000000" w:themeColor="text1"/>
                <w:sz w:val="20"/>
                <w:szCs w:val="20"/>
              </w:rPr>
              <w:t xml:space="preserve">Course continues to provide the necessary industry accepted training for hazardous material training.  </w:t>
            </w:r>
          </w:p>
          <w:p w:rsidR="00DD0307" w:rsidRDefault="00DD0307" w:rsidP="00831986">
            <w:pPr>
              <w:ind w:left="72"/>
              <w:rPr>
                <w:rFonts w:ascii="Verdana" w:hAnsi="Verdana" w:cs="Arial"/>
                <w:color w:val="000000" w:themeColor="text1"/>
                <w:sz w:val="20"/>
                <w:szCs w:val="20"/>
              </w:rPr>
            </w:pPr>
          </w:p>
          <w:p w:rsidR="00DD0307" w:rsidRDefault="00DD0307" w:rsidP="00831986">
            <w:pPr>
              <w:ind w:left="72"/>
              <w:rPr>
                <w:rFonts w:ascii="Verdana" w:hAnsi="Verdana" w:cs="Arial"/>
                <w:color w:val="000000" w:themeColor="text1"/>
                <w:sz w:val="20"/>
                <w:szCs w:val="20"/>
              </w:rPr>
            </w:pPr>
            <w:r>
              <w:rPr>
                <w:rFonts w:ascii="Verdana" w:hAnsi="Verdana" w:cs="Arial"/>
                <w:color w:val="000000" w:themeColor="text1"/>
                <w:sz w:val="20"/>
                <w:szCs w:val="20"/>
              </w:rPr>
              <w:t>Scheduling can be a challenge if it is offered as a week long course during the semester.  Working with FST chair to offer training during Winter or Spring break.</w:t>
            </w:r>
          </w:p>
          <w:p w:rsidR="00DD0307" w:rsidRDefault="00DD0307" w:rsidP="00831986">
            <w:pPr>
              <w:ind w:left="72"/>
              <w:rPr>
                <w:rFonts w:ascii="Verdana" w:hAnsi="Verdana" w:cs="Arial"/>
                <w:color w:val="000000" w:themeColor="text1"/>
                <w:sz w:val="20"/>
                <w:szCs w:val="20"/>
              </w:rPr>
            </w:pPr>
          </w:p>
          <w:p w:rsidR="00E561F1" w:rsidRPr="00831986" w:rsidRDefault="00E561F1" w:rsidP="00831986">
            <w:pPr>
              <w:ind w:left="72"/>
              <w:rPr>
                <w:rFonts w:ascii="Verdana" w:hAnsi="Verdana" w:cs="Arial"/>
                <w:color w:val="000000" w:themeColor="text1"/>
                <w:sz w:val="20"/>
                <w:szCs w:val="20"/>
              </w:rPr>
            </w:pPr>
            <w:r>
              <w:rPr>
                <w:rFonts w:ascii="Verdana" w:hAnsi="Verdana" w:cs="Arial"/>
                <w:color w:val="000000" w:themeColor="text1"/>
                <w:sz w:val="20"/>
                <w:szCs w:val="20"/>
              </w:rPr>
              <w:t>Note:  This class is now serviced by the Fire Science Department effective Fall 2012.</w:t>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F</w:t>
            </w:r>
            <w:r w:rsidRPr="00523603">
              <w:rPr>
                <w:rFonts w:ascii="Verdana" w:hAnsi="Verdana"/>
                <w:sz w:val="20"/>
                <w:szCs w:val="20"/>
              </w:rPr>
              <w:t xml:space="preserve">ollow and apply protocols for environmental site assessments. Detect the conditions indicative of releases or threatened releases of hazardous substances, pollutants, contaminants, petroleum, petroleum products and controlled substances by records review or field sampling. Identify potential </w:t>
            </w:r>
            <w:r w:rsidRPr="00523603">
              <w:rPr>
                <w:rFonts w:ascii="Verdana" w:hAnsi="Verdana"/>
                <w:sz w:val="20"/>
                <w:szCs w:val="20"/>
              </w:rPr>
              <w:lastRenderedPageBreak/>
              <w:t>environmental liabilities associated with properties considered for transfer.</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EGV 1501, CAT 1501, CAT 2501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lastRenderedPageBreak/>
              <w:t>Apply principle</w:t>
            </w:r>
            <w:r w:rsidRPr="00523603">
              <w:rPr>
                <w:rFonts w:ascii="Verdana" w:hAnsi="Verdana"/>
                <w:sz w:val="20"/>
                <w:szCs w:val="20"/>
              </w:rPr>
              <w:t>s of system design, management and operation of water supply/treatment</w:t>
            </w:r>
            <w:r>
              <w:rPr>
                <w:rFonts w:ascii="Verdana" w:hAnsi="Verdana"/>
                <w:sz w:val="20"/>
                <w:szCs w:val="20"/>
              </w:rPr>
              <w:t>,</w:t>
            </w:r>
            <w:r w:rsidRPr="00523603">
              <w:rPr>
                <w:rFonts w:ascii="Verdana" w:hAnsi="Verdana"/>
                <w:sz w:val="20"/>
                <w:szCs w:val="20"/>
              </w:rPr>
              <w:t xml:space="preserve"> including skills and knowledge to sample and interpret contamination distribution in surface water and ground water.</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1551, EGV 2551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A</w:t>
            </w:r>
            <w:r w:rsidRPr="00523603">
              <w:rPr>
                <w:rFonts w:ascii="Verdana" w:hAnsi="Verdana"/>
                <w:sz w:val="20"/>
                <w:szCs w:val="20"/>
              </w:rPr>
              <w:t>pply principl</w:t>
            </w:r>
            <w:r>
              <w:rPr>
                <w:rFonts w:ascii="Verdana" w:hAnsi="Verdana"/>
                <w:sz w:val="20"/>
                <w:szCs w:val="20"/>
              </w:rPr>
              <w:t>e</w:t>
            </w:r>
            <w:r w:rsidRPr="00523603">
              <w:rPr>
                <w:rFonts w:ascii="Verdana" w:hAnsi="Verdana"/>
                <w:sz w:val="20"/>
                <w:szCs w:val="20"/>
              </w:rPr>
              <w:t>s of system design, management and operation of waste treatment and disposal</w:t>
            </w:r>
            <w:r>
              <w:rPr>
                <w:rFonts w:ascii="Verdana" w:hAnsi="Verdana"/>
                <w:sz w:val="20"/>
                <w:szCs w:val="20"/>
              </w:rPr>
              <w:t>,</w:t>
            </w:r>
            <w:r w:rsidRPr="00523603">
              <w:rPr>
                <w:rFonts w:ascii="Verdana" w:hAnsi="Verdana"/>
                <w:sz w:val="20"/>
                <w:szCs w:val="20"/>
              </w:rPr>
              <w:t xml:space="preserve"> including skills and knowledge to identify, analyze and process hazardous substances and wastes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2501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523603" w:rsidRDefault="00387B1B" w:rsidP="00C1201E">
            <w:pPr>
              <w:rPr>
                <w:rFonts w:ascii="Verdana" w:hAnsi="Verdana"/>
                <w:sz w:val="20"/>
                <w:szCs w:val="20"/>
              </w:rPr>
            </w:pPr>
            <w:r w:rsidRPr="00523603">
              <w:rPr>
                <w:rFonts w:ascii="Verdana" w:hAnsi="Verdana"/>
                <w:sz w:val="20"/>
                <w:szCs w:val="20"/>
              </w:rPr>
              <w:t>Apply knowledge of environmental laws to support compliance with current and future local, state and federal requirements.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1501, EGV 2501, EGV 1551, FST 1555</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As an interdisciplinary team member, develop products, processes, solve problems, perform project planning, prepare time estimates and make sound, ethical decisions.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MAN 2110, MET 124</w:t>
            </w:r>
          </w:p>
        </w:tc>
        <w:tc>
          <w:tcPr>
            <w:tcW w:w="1430" w:type="dxa"/>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8D1EC1" w:rsidRDefault="008D1EC1" w:rsidP="008D1EC1">
            <w:pPr>
              <w:ind w:left="72"/>
              <w:rPr>
                <w:rFonts w:ascii="Verdana" w:hAnsi="Verdana" w:cs="Arial"/>
                <w:color w:val="000000" w:themeColor="text1"/>
                <w:sz w:val="20"/>
                <w:szCs w:val="20"/>
              </w:rPr>
            </w:pPr>
            <w:r w:rsidRPr="00D52AC0">
              <w:rPr>
                <w:rFonts w:ascii="Verdana" w:hAnsi="Verdana" w:cs="Arial"/>
                <w:color w:val="000000" w:themeColor="text1"/>
                <w:sz w:val="20"/>
                <w:szCs w:val="20"/>
              </w:rPr>
              <w:t>Assessment of capstone.</w:t>
            </w:r>
          </w:p>
          <w:p w:rsidR="00DD0307" w:rsidRPr="00D52AC0" w:rsidRDefault="00DD0307" w:rsidP="008D1EC1">
            <w:pPr>
              <w:ind w:left="72"/>
              <w:rPr>
                <w:rFonts w:ascii="Verdana" w:hAnsi="Verdana" w:cs="Arial"/>
                <w:color w:val="000000" w:themeColor="text1"/>
                <w:sz w:val="20"/>
                <w:szCs w:val="20"/>
              </w:rPr>
            </w:pPr>
          </w:p>
          <w:p w:rsidR="008D1EC1" w:rsidRDefault="008D1EC1" w:rsidP="008D1EC1">
            <w:pPr>
              <w:ind w:left="72"/>
              <w:rPr>
                <w:rFonts w:ascii="Verdana" w:hAnsi="Verdana" w:cs="Arial"/>
                <w:color w:val="000000" w:themeColor="text1"/>
                <w:sz w:val="20"/>
                <w:szCs w:val="20"/>
              </w:rPr>
            </w:pPr>
            <w:r>
              <w:rPr>
                <w:rFonts w:ascii="Verdana" w:hAnsi="Verdana" w:cs="Arial"/>
                <w:color w:val="000000" w:themeColor="text1"/>
                <w:sz w:val="20"/>
                <w:szCs w:val="20"/>
              </w:rPr>
              <w:t>Graduate exit interviews.</w:t>
            </w:r>
          </w:p>
          <w:p w:rsidR="00DD0307" w:rsidRDefault="00DD0307" w:rsidP="008D1EC1">
            <w:pPr>
              <w:ind w:left="72"/>
              <w:rPr>
                <w:rFonts w:ascii="Verdana" w:hAnsi="Verdana" w:cs="Arial"/>
                <w:color w:val="000000" w:themeColor="text1"/>
                <w:sz w:val="20"/>
                <w:szCs w:val="20"/>
              </w:rPr>
            </w:pPr>
          </w:p>
          <w:p w:rsidR="00067299" w:rsidRPr="00D52AC0" w:rsidRDefault="00067299" w:rsidP="008D1EC1">
            <w:pPr>
              <w:ind w:left="72"/>
              <w:rPr>
                <w:rFonts w:ascii="Verdana" w:hAnsi="Verdana" w:cs="Arial"/>
                <w:color w:val="000000" w:themeColor="text1"/>
                <w:sz w:val="20"/>
                <w:szCs w:val="20"/>
              </w:rPr>
            </w:pPr>
            <w:r>
              <w:rPr>
                <w:rFonts w:ascii="Verdana" w:hAnsi="Verdana" w:cs="Arial"/>
                <w:color w:val="000000" w:themeColor="text1"/>
                <w:sz w:val="20"/>
                <w:szCs w:val="20"/>
              </w:rPr>
              <w:t>Co-op feedback.</w:t>
            </w:r>
          </w:p>
          <w:p w:rsidR="00387B1B" w:rsidRPr="004C52FC" w:rsidRDefault="00387B1B" w:rsidP="008D1EC1">
            <w:pPr>
              <w:ind w:left="72"/>
              <w:rPr>
                <w:rFonts w:asciiTheme="minorHAnsi" w:hAnsiTheme="minorHAnsi" w:cs="Arial"/>
                <w:color w:val="000000" w:themeColor="text1"/>
              </w:rPr>
            </w:pPr>
          </w:p>
        </w:tc>
        <w:tc>
          <w:tcPr>
            <w:tcW w:w="4028" w:type="dxa"/>
          </w:tcPr>
          <w:p w:rsidR="00067299" w:rsidRDefault="008D1EC1" w:rsidP="009B781F">
            <w:pPr>
              <w:ind w:left="72"/>
              <w:rPr>
                <w:rFonts w:ascii="Verdana" w:hAnsi="Verdana" w:cs="Arial"/>
                <w:color w:val="000000" w:themeColor="text1"/>
                <w:sz w:val="20"/>
                <w:szCs w:val="20"/>
              </w:rPr>
            </w:pPr>
            <w:r w:rsidRPr="008D1EC1">
              <w:rPr>
                <w:rFonts w:ascii="Verdana" w:hAnsi="Verdana" w:cs="Arial"/>
                <w:color w:val="000000" w:themeColor="text1"/>
                <w:sz w:val="20"/>
                <w:szCs w:val="20"/>
              </w:rPr>
              <w:t>Students have performed well in in</w:t>
            </w:r>
            <w:r w:rsidR="00255269">
              <w:rPr>
                <w:rFonts w:ascii="Verdana" w:hAnsi="Verdana" w:cs="Arial"/>
                <w:color w:val="000000" w:themeColor="text1"/>
                <w:sz w:val="20"/>
                <w:szCs w:val="20"/>
              </w:rPr>
              <w:t xml:space="preserve">terdisciplinary teams.  </w:t>
            </w:r>
          </w:p>
          <w:p w:rsidR="00067299" w:rsidRDefault="00067299" w:rsidP="009B781F">
            <w:pPr>
              <w:ind w:left="72"/>
              <w:rPr>
                <w:rFonts w:ascii="Verdana" w:hAnsi="Verdana" w:cs="Arial"/>
                <w:color w:val="000000" w:themeColor="text1"/>
                <w:sz w:val="20"/>
                <w:szCs w:val="20"/>
              </w:rPr>
            </w:pPr>
          </w:p>
          <w:p w:rsidR="00387B1B" w:rsidRPr="008D1EC1" w:rsidRDefault="00255269" w:rsidP="009B0D13">
            <w:pPr>
              <w:ind w:left="72"/>
              <w:rPr>
                <w:rFonts w:ascii="Verdana" w:hAnsi="Verdana" w:cs="Arial"/>
                <w:color w:val="000000" w:themeColor="text1"/>
                <w:sz w:val="20"/>
                <w:szCs w:val="20"/>
              </w:rPr>
            </w:pPr>
            <w:proofErr w:type="gramStart"/>
            <w:r>
              <w:rPr>
                <w:rFonts w:ascii="Verdana" w:hAnsi="Verdana" w:cs="Arial"/>
                <w:color w:val="000000" w:themeColor="text1"/>
                <w:sz w:val="20"/>
                <w:szCs w:val="20"/>
              </w:rPr>
              <w:t>Faculty</w:t>
            </w:r>
            <w:r w:rsidR="009B0D13">
              <w:rPr>
                <w:rFonts w:ascii="Verdana" w:hAnsi="Verdana" w:cs="Arial"/>
                <w:color w:val="000000" w:themeColor="text1"/>
                <w:sz w:val="20"/>
                <w:szCs w:val="20"/>
              </w:rPr>
              <w:t xml:space="preserve"> </w:t>
            </w:r>
            <w:r w:rsidR="008D1EC1" w:rsidRPr="008D1EC1">
              <w:rPr>
                <w:rFonts w:ascii="Verdana" w:hAnsi="Verdana" w:cs="Arial"/>
                <w:color w:val="000000" w:themeColor="text1"/>
                <w:sz w:val="20"/>
                <w:szCs w:val="20"/>
              </w:rPr>
              <w:t>have</w:t>
            </w:r>
            <w:proofErr w:type="gramEnd"/>
            <w:r w:rsidR="008D1EC1" w:rsidRPr="008D1EC1">
              <w:rPr>
                <w:rFonts w:ascii="Verdana" w:hAnsi="Verdana" w:cs="Arial"/>
                <w:color w:val="000000" w:themeColor="text1"/>
                <w:sz w:val="20"/>
                <w:szCs w:val="20"/>
              </w:rPr>
              <w:t xml:space="preserve"> made improvements and modifications to the integrated capstone over the past five years resulting in positive reviews from advisory board members and students.</w:t>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Design in detail individual parts from functional sketches provided by an engineer, and model them using a three-dimensional parametric modeler. (i.e. 3-D CAD)</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MET 1301, MET 2101, MET 2151, MET 2201, MET 2251, MET 2780</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8D1EC1" w:rsidRDefault="008D1EC1" w:rsidP="008D1EC1">
            <w:pPr>
              <w:ind w:left="72"/>
              <w:rPr>
                <w:rFonts w:ascii="Verdana" w:hAnsi="Verdana" w:cs="Arial"/>
                <w:color w:val="000000" w:themeColor="text1"/>
                <w:sz w:val="20"/>
                <w:szCs w:val="20"/>
              </w:rPr>
            </w:pPr>
            <w:r w:rsidRPr="00DA0069">
              <w:rPr>
                <w:rFonts w:ascii="Verdana" w:hAnsi="Verdana" w:cs="Arial"/>
                <w:color w:val="000000" w:themeColor="text1"/>
                <w:sz w:val="20"/>
                <w:szCs w:val="20"/>
              </w:rPr>
              <w:t>Assessment of capstone.</w:t>
            </w:r>
          </w:p>
          <w:p w:rsidR="00DD0307" w:rsidRPr="00DA0069" w:rsidRDefault="00DD0307" w:rsidP="008D1EC1">
            <w:pPr>
              <w:ind w:left="72"/>
              <w:rPr>
                <w:rFonts w:ascii="Verdana" w:hAnsi="Verdana" w:cs="Arial"/>
                <w:color w:val="000000" w:themeColor="text1"/>
                <w:sz w:val="20"/>
                <w:szCs w:val="20"/>
              </w:rPr>
            </w:pPr>
          </w:p>
          <w:p w:rsidR="00387B1B" w:rsidRDefault="008D1EC1" w:rsidP="00C1201E">
            <w:pPr>
              <w:ind w:left="72"/>
              <w:rPr>
                <w:rFonts w:ascii="Verdana" w:hAnsi="Verdana" w:cs="Arial"/>
                <w:color w:val="000000" w:themeColor="text1"/>
                <w:sz w:val="20"/>
                <w:szCs w:val="20"/>
              </w:rPr>
            </w:pPr>
            <w:r w:rsidRPr="00DA0069">
              <w:rPr>
                <w:rFonts w:ascii="Verdana" w:hAnsi="Verdana" w:cs="Arial"/>
                <w:color w:val="000000" w:themeColor="text1"/>
                <w:sz w:val="20"/>
                <w:szCs w:val="20"/>
              </w:rPr>
              <w:t>Locally developed tests and quizzes.</w:t>
            </w:r>
          </w:p>
          <w:p w:rsidR="00DD0307" w:rsidRDefault="00DD0307" w:rsidP="00C1201E">
            <w:pPr>
              <w:ind w:left="72"/>
              <w:rPr>
                <w:rFonts w:ascii="Verdana" w:hAnsi="Verdana" w:cs="Arial"/>
                <w:color w:val="000000" w:themeColor="text1"/>
                <w:sz w:val="20"/>
                <w:szCs w:val="20"/>
              </w:rPr>
            </w:pPr>
            <w:bookmarkStart w:id="1" w:name="_GoBack"/>
            <w:bookmarkEnd w:id="1"/>
          </w:p>
          <w:p w:rsidR="00067299" w:rsidRPr="004C52FC" w:rsidRDefault="00067299" w:rsidP="00C1201E">
            <w:pPr>
              <w:ind w:left="72"/>
              <w:rPr>
                <w:rFonts w:asciiTheme="minorHAnsi" w:hAnsiTheme="minorHAnsi" w:cs="Arial"/>
                <w:color w:val="000000" w:themeColor="text1"/>
              </w:rPr>
            </w:pPr>
            <w:r>
              <w:rPr>
                <w:rFonts w:ascii="Verdana" w:hAnsi="Verdana" w:cs="Arial"/>
                <w:color w:val="000000" w:themeColor="text1"/>
                <w:sz w:val="20"/>
                <w:szCs w:val="20"/>
              </w:rPr>
              <w:t>Co-op feedback.</w:t>
            </w:r>
          </w:p>
        </w:tc>
        <w:tc>
          <w:tcPr>
            <w:tcW w:w="4028" w:type="dxa"/>
          </w:tcPr>
          <w:p w:rsidR="00067299" w:rsidRDefault="00255269" w:rsidP="000D5991">
            <w:pPr>
              <w:ind w:left="72"/>
              <w:rPr>
                <w:rFonts w:ascii="Verdana" w:hAnsi="Verdana" w:cs="Arial"/>
                <w:color w:val="000000" w:themeColor="text1"/>
                <w:sz w:val="20"/>
                <w:szCs w:val="20"/>
              </w:rPr>
            </w:pPr>
            <w:r w:rsidRPr="00067299">
              <w:rPr>
                <w:rFonts w:ascii="Verdana" w:hAnsi="Verdana" w:cs="Arial"/>
                <w:color w:val="000000" w:themeColor="text1"/>
                <w:sz w:val="20"/>
                <w:szCs w:val="20"/>
              </w:rPr>
              <w:t xml:space="preserve">Students </w:t>
            </w:r>
            <w:r w:rsidR="00067299" w:rsidRPr="00067299">
              <w:rPr>
                <w:rFonts w:ascii="Verdana" w:hAnsi="Verdana" w:cs="Arial"/>
                <w:color w:val="000000" w:themeColor="text1"/>
                <w:sz w:val="20"/>
                <w:szCs w:val="20"/>
              </w:rPr>
              <w:t xml:space="preserve">excel in hands on skills such as design and modeling. </w:t>
            </w:r>
          </w:p>
          <w:p w:rsidR="00067299" w:rsidRDefault="00067299" w:rsidP="000D5991">
            <w:pPr>
              <w:ind w:left="72"/>
              <w:rPr>
                <w:rFonts w:ascii="Verdana" w:hAnsi="Verdana" w:cs="Arial"/>
                <w:color w:val="000000" w:themeColor="text1"/>
                <w:sz w:val="20"/>
                <w:szCs w:val="20"/>
              </w:rPr>
            </w:pPr>
          </w:p>
          <w:p w:rsidR="00387B1B" w:rsidRDefault="00067299" w:rsidP="00067299">
            <w:pPr>
              <w:ind w:left="72"/>
              <w:rPr>
                <w:rFonts w:ascii="Verdana" w:hAnsi="Verdana" w:cs="Arial"/>
                <w:color w:val="000000" w:themeColor="text1"/>
                <w:sz w:val="20"/>
                <w:szCs w:val="20"/>
              </w:rPr>
            </w:pPr>
            <w:r w:rsidRPr="00067299">
              <w:rPr>
                <w:rFonts w:ascii="Verdana" w:hAnsi="Verdana" w:cs="Arial"/>
                <w:color w:val="000000" w:themeColor="text1"/>
                <w:sz w:val="20"/>
                <w:szCs w:val="20"/>
              </w:rPr>
              <w:t xml:space="preserve">Software in use is </w:t>
            </w:r>
            <w:r>
              <w:rPr>
                <w:rFonts w:ascii="Verdana" w:hAnsi="Verdana" w:cs="Arial"/>
                <w:color w:val="000000" w:themeColor="text1"/>
                <w:sz w:val="20"/>
                <w:szCs w:val="20"/>
              </w:rPr>
              <w:t xml:space="preserve">current version of the </w:t>
            </w:r>
            <w:r w:rsidRPr="00067299">
              <w:rPr>
                <w:rFonts w:ascii="Verdana" w:hAnsi="Verdana" w:cs="Arial"/>
                <w:color w:val="000000" w:themeColor="text1"/>
                <w:sz w:val="20"/>
                <w:szCs w:val="20"/>
              </w:rPr>
              <w:t>industry standard</w:t>
            </w:r>
            <w:r>
              <w:rPr>
                <w:rFonts w:ascii="Verdana" w:hAnsi="Verdana" w:cs="Arial"/>
                <w:color w:val="000000" w:themeColor="text1"/>
                <w:sz w:val="20"/>
                <w:szCs w:val="20"/>
              </w:rPr>
              <w:t>.</w:t>
            </w:r>
          </w:p>
          <w:p w:rsidR="00067299" w:rsidRDefault="00067299" w:rsidP="00067299">
            <w:pPr>
              <w:ind w:left="72"/>
              <w:rPr>
                <w:rFonts w:ascii="Verdana" w:hAnsi="Verdana" w:cs="Arial"/>
                <w:color w:val="000000" w:themeColor="text1"/>
                <w:sz w:val="20"/>
                <w:szCs w:val="20"/>
              </w:rPr>
            </w:pPr>
          </w:p>
          <w:p w:rsidR="00067299" w:rsidRPr="00067299" w:rsidRDefault="00067299" w:rsidP="00067299">
            <w:pPr>
              <w:ind w:left="72"/>
              <w:rPr>
                <w:rFonts w:ascii="Verdana" w:hAnsi="Verdana" w:cs="Arial"/>
                <w:color w:val="000000" w:themeColor="text1"/>
                <w:sz w:val="20"/>
                <w:szCs w:val="20"/>
              </w:rPr>
            </w:pPr>
            <w:r>
              <w:rPr>
                <w:rFonts w:ascii="Verdana" w:hAnsi="Verdana" w:cs="Arial"/>
                <w:color w:val="000000" w:themeColor="text1"/>
                <w:sz w:val="20"/>
                <w:szCs w:val="20"/>
              </w:rPr>
              <w:t xml:space="preserve">With this skillset, students find increased job opportunities. </w:t>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lastRenderedPageBreak/>
              <w:t>Use mathematical and scientific skills to analyze product properties including form, function, fit, strength, thermal, fluid, etc.</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MAT 1310, MAT 1410, PHY 1141, MET 1111, MET 1161, MET 2301, MET 2351, MET 2401</w:t>
            </w:r>
          </w:p>
        </w:tc>
        <w:tc>
          <w:tcPr>
            <w:tcW w:w="1430" w:type="dxa"/>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Use solid model data as input to drive rapid prototyping or N/C machining equipment.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CAM 1109, MET 1281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820425" w:rsidRPr="004C52FC" w:rsidTr="00387B1B">
        <w:tblPrEx>
          <w:shd w:val="clear" w:color="auto" w:fill="auto"/>
          <w:tblLook w:val="04A0" w:firstRow="1" w:lastRow="0" w:firstColumn="1" w:lastColumn="0" w:noHBand="0" w:noVBand="1"/>
        </w:tblPrEx>
        <w:trPr>
          <w:trHeight w:val="72"/>
        </w:trPr>
        <w:tc>
          <w:tcPr>
            <w:tcW w:w="3708" w:type="dxa"/>
            <w:gridSpan w:val="2"/>
            <w:vAlign w:val="center"/>
          </w:tcPr>
          <w:p w:rsidR="00820425" w:rsidRPr="00814EB1" w:rsidRDefault="00820425" w:rsidP="00C1201E">
            <w:pPr>
              <w:rPr>
                <w:rFonts w:ascii="Verdana" w:hAnsi="Verdana"/>
                <w:sz w:val="20"/>
                <w:szCs w:val="20"/>
              </w:rPr>
            </w:pPr>
            <w:r w:rsidRPr="00CA1ECE">
              <w:rPr>
                <w:rFonts w:ascii="Verdana" w:hAnsi="Verdana"/>
                <w:sz w:val="20"/>
                <w:szCs w:val="20"/>
              </w:rPr>
              <w:t>Document the product/process model using appropriate means (mu</w:t>
            </w:r>
            <w:r>
              <w:rPr>
                <w:rFonts w:ascii="Verdana" w:hAnsi="Verdana"/>
                <w:sz w:val="20"/>
                <w:szCs w:val="20"/>
              </w:rPr>
              <w:t>l</w:t>
            </w:r>
            <w:r w:rsidRPr="00CA1ECE">
              <w:rPr>
                <w:rFonts w:ascii="Verdana" w:hAnsi="Verdana"/>
                <w:sz w:val="20"/>
                <w:szCs w:val="20"/>
              </w:rPr>
              <w:t>ti-view drawings, pictorials, catalog/manual illustrations, charts/graphs, shaded image, animation, etc.)</w:t>
            </w:r>
          </w:p>
        </w:tc>
        <w:tc>
          <w:tcPr>
            <w:tcW w:w="1742" w:type="dxa"/>
            <w:vAlign w:val="center"/>
          </w:tcPr>
          <w:p w:rsidR="00820425" w:rsidRPr="00AD236A" w:rsidRDefault="00820425" w:rsidP="00C1201E">
            <w:pPr>
              <w:rPr>
                <w:rFonts w:ascii="Verdana" w:hAnsi="Verdana"/>
                <w:sz w:val="20"/>
                <w:szCs w:val="20"/>
              </w:rPr>
            </w:pPr>
            <w:r>
              <w:rPr>
                <w:rFonts w:ascii="Verdana" w:hAnsi="Verdana"/>
                <w:sz w:val="20"/>
                <w:szCs w:val="20"/>
              </w:rPr>
              <w:t>MET 1201, MET 1301, MET elective</w:t>
            </w:r>
          </w:p>
        </w:tc>
        <w:tc>
          <w:tcPr>
            <w:tcW w:w="1430" w:type="dxa"/>
          </w:tcPr>
          <w:p w:rsidR="00820425"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820425" w:rsidRPr="004C52FC" w:rsidRDefault="005369A0" w:rsidP="001D736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820425" w:rsidRPr="004C52FC" w:rsidRDefault="005369A0" w:rsidP="001D736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07060A" w:rsidRDefault="0007060A" w:rsidP="0007060A">
      <w:pPr>
        <w:pStyle w:val="ListParagraph"/>
        <w:spacing w:after="200" w:line="276" w:lineRule="auto"/>
        <w:rPr>
          <w:rFonts w:ascii="Arial" w:hAnsi="Arial" w:cs="Arial"/>
          <w:b/>
          <w:color w:val="000000" w:themeColor="text1"/>
        </w:rPr>
      </w:pPr>
    </w:p>
    <w:p w:rsidR="003E791C" w:rsidRPr="005336C6" w:rsidRDefault="003E3BB2" w:rsidP="0007060A">
      <w:pPr>
        <w:spacing w:after="200" w:line="276" w:lineRule="auto"/>
        <w:rPr>
          <w:rFonts w:ascii="Arial" w:hAnsi="Arial" w:cs="Arial"/>
          <w:b/>
          <w:color w:val="000000" w:themeColor="text1"/>
        </w:rPr>
      </w:pPr>
      <w:r w:rsidRPr="005336C6">
        <w:rPr>
          <w:rFonts w:ascii="Arial" w:hAnsi="Arial" w:cs="Arial"/>
          <w:b/>
          <w:color w:val="000000" w:themeColor="text1"/>
        </w:rPr>
        <w:t xml:space="preserve">Advisory board feedback indicates that writing assignments such as memos, emails, notes, and reports are an ever increasing part of any job.  The department will look at ways to improve current writing assignments and evaluate whether or not additional assignments should be developed to allow students to hone their writing skills.  </w:t>
      </w: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87B1B">
      <w:pPr>
        <w:tabs>
          <w:tab w:val="left" w:pos="5040"/>
        </w:tabs>
        <w:rPr>
          <w:rFonts w:ascii="Arial" w:hAnsi="Arial" w:cs="Arial"/>
          <w:color w:val="000000" w:themeColor="text1"/>
        </w:rPr>
      </w:pPr>
    </w:p>
    <w:p w:rsidR="00387B1B" w:rsidRPr="000B5F45" w:rsidRDefault="00175C7F" w:rsidP="0007060A">
      <w:pPr>
        <w:tabs>
          <w:tab w:val="left" w:pos="5040"/>
        </w:tabs>
        <w:rPr>
          <w:rFonts w:ascii="Arial" w:hAnsi="Arial" w:cs="Arial"/>
          <w:b/>
          <w:color w:val="000000" w:themeColor="text1"/>
        </w:rPr>
      </w:pPr>
      <w:proofErr w:type="gramStart"/>
      <w:r w:rsidRPr="000B5F45">
        <w:rPr>
          <w:rFonts w:ascii="Arial" w:hAnsi="Arial" w:cs="Arial"/>
          <w:b/>
          <w:color w:val="000000" w:themeColor="text1"/>
        </w:rPr>
        <w:t>Long term feedback from employers who hire our students.</w:t>
      </w:r>
      <w:proofErr w:type="gramEnd"/>
    </w:p>
    <w:p w:rsidR="002D428E" w:rsidRDefault="002D428E">
      <w:pPr>
        <w:pStyle w:val="ListParagraph"/>
        <w:tabs>
          <w:tab w:val="left" w:pos="5040"/>
        </w:tabs>
        <w:ind w:left="0"/>
        <w:rPr>
          <w:rFonts w:ascii="Arial" w:hAnsi="Arial" w:cs="Arial"/>
          <w:b/>
          <w:color w:val="000000" w:themeColor="text1"/>
        </w:rPr>
      </w:pPr>
    </w:p>
    <w:p w:rsidR="00175C7F" w:rsidRDefault="00175C7F">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Pr="005336C6" w:rsidRDefault="00175C7F" w:rsidP="0007060A">
      <w:pPr>
        <w:pStyle w:val="ListParagraph"/>
        <w:tabs>
          <w:tab w:val="left" w:pos="5040"/>
        </w:tabs>
        <w:ind w:left="0"/>
        <w:rPr>
          <w:rFonts w:ascii="Arial" w:hAnsi="Arial" w:cs="Arial"/>
          <w:b/>
          <w:color w:val="000000" w:themeColor="text1"/>
        </w:rPr>
      </w:pPr>
      <w:r w:rsidRPr="005336C6">
        <w:rPr>
          <w:rFonts w:ascii="Arial" w:hAnsi="Arial" w:cs="Arial"/>
          <w:b/>
          <w:color w:val="000000" w:themeColor="text1"/>
        </w:rPr>
        <w:t>No, both programs are fully accredited through ETAC/ABET and all program outcomes are in line with this accreditation.</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387B1B" w:rsidRDefault="00175C7F" w:rsidP="0007060A">
      <w:pPr>
        <w:tabs>
          <w:tab w:val="left" w:pos="5040"/>
        </w:tabs>
        <w:rPr>
          <w:rFonts w:ascii="Arial" w:hAnsi="Arial" w:cs="Arial"/>
          <w:color w:val="000000" w:themeColor="text1"/>
        </w:rPr>
      </w:pPr>
      <w:r>
        <w:rPr>
          <w:rFonts w:ascii="Arial" w:hAnsi="Arial" w:cs="Arial"/>
          <w:b/>
          <w:color w:val="000000" w:themeColor="text1"/>
        </w:rPr>
        <w:t>N/A</w:t>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387B1B" w:rsidRDefault="005336C6" w:rsidP="0007060A">
      <w:pPr>
        <w:tabs>
          <w:tab w:val="left" w:pos="5040"/>
        </w:tabs>
        <w:rPr>
          <w:rFonts w:ascii="Arial" w:hAnsi="Arial" w:cs="Arial"/>
          <w:color w:val="000000" w:themeColor="text1"/>
        </w:rPr>
      </w:pPr>
      <w:r>
        <w:rPr>
          <w:rFonts w:ascii="Arial" w:hAnsi="Arial" w:cs="Arial"/>
          <w:b/>
          <w:color w:val="000000" w:themeColor="text1"/>
        </w:rPr>
        <w:t xml:space="preserve">MET1111 Preparatory Math has been fully developed and taught.  The environmental </w:t>
      </w:r>
      <w:proofErr w:type="gramStart"/>
      <w:r>
        <w:rPr>
          <w:rFonts w:ascii="Arial" w:hAnsi="Arial" w:cs="Arial"/>
          <w:b/>
          <w:color w:val="000000" w:themeColor="text1"/>
        </w:rPr>
        <w:t>program which serve</w:t>
      </w:r>
      <w:proofErr w:type="gramEnd"/>
      <w:r>
        <w:rPr>
          <w:rFonts w:ascii="Arial" w:hAnsi="Arial" w:cs="Arial"/>
          <w:b/>
          <w:color w:val="000000" w:themeColor="text1"/>
        </w:rPr>
        <w:t xml:space="preserve"> HVACR with electives, has been slowly refocusing to address more sustainability issues.</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AF38FD" w:rsidRPr="005336C6" w:rsidRDefault="00175C7F" w:rsidP="0007060A">
      <w:pPr>
        <w:tabs>
          <w:tab w:val="left" w:pos="5040"/>
        </w:tabs>
        <w:rPr>
          <w:rFonts w:ascii="Arial" w:hAnsi="Arial" w:cs="Arial"/>
          <w:b/>
          <w:color w:val="000000" w:themeColor="text1"/>
        </w:rPr>
        <w:sectPr w:rsidR="00AF38FD" w:rsidRPr="005336C6" w:rsidSect="00A201E2">
          <w:pgSz w:w="12240" w:h="15840"/>
          <w:pgMar w:top="1152" w:right="1440" w:bottom="1152" w:left="1440" w:header="720" w:footer="288" w:gutter="0"/>
          <w:cols w:space="720"/>
          <w:docGrid w:linePitch="360"/>
        </w:sectPr>
      </w:pPr>
      <w:r w:rsidRPr="005336C6">
        <w:rPr>
          <w:rFonts w:ascii="Arial" w:hAnsi="Arial" w:cs="Arial"/>
          <w:b/>
          <w:color w:val="000000" w:themeColor="text1"/>
        </w:rPr>
        <w:t>Through an equipment grant through the American Society of Heating, Refrigeration and Air-Conditioning Engineers (ASHRAE)</w:t>
      </w:r>
      <w:r w:rsidR="00C55094" w:rsidRPr="005336C6">
        <w:rPr>
          <w:rFonts w:ascii="Arial" w:hAnsi="Arial" w:cs="Arial"/>
          <w:b/>
          <w:color w:val="000000" w:themeColor="text1"/>
        </w:rPr>
        <w:t xml:space="preserve"> and under the direction of Professor Russ Marcks, students have helped design and build a chilled water/hot water system.  This system will be utilized as a capstone commissioning exercise for the first time in Spring Semester 2014 capstone.</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AF38FD" w:rsidRDefault="00AF38FD" w:rsidP="00174C4B">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AF38FD" w:rsidRPr="00AF38FD" w:rsidTr="00AF38FD">
        <w:trPr>
          <w:trHeight w:val="300"/>
        </w:trPr>
        <w:tc>
          <w:tcPr>
            <w:tcW w:w="960" w:type="dxa"/>
            <w:tcBorders>
              <w:top w:val="nil"/>
              <w:left w:val="nil"/>
              <w:bottom w:val="nil"/>
              <w:right w:val="nil"/>
            </w:tcBorders>
            <w:shd w:val="clear" w:color="auto" w:fill="auto"/>
            <w:noWrap/>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FY 12-13</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DD.STC</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DRT.AAS</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EGMT.S.ATS</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EMT.AAS</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ENRGY.S.STC</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ENRGY.STC</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ETD.AAS</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EVT.AAS</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IDGT.AAS</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MEGT.AAS</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14</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METMM.STC</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FCMG.STC</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HACO.AAS</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HVAAS.STC</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HVACR.AAS</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3</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LCHS.S.STC</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LCHS.STC</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22</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24</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w:t>
            </w:r>
          </w:p>
        </w:tc>
      </w:tr>
      <w:tr w:rsidR="00AF38FD" w:rsidRPr="00AF38FD" w:rsidTr="00AF38FD">
        <w:trPr>
          <w:trHeight w:val="300"/>
        </w:trPr>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PPJC.STC</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23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SHAS.STC</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r>
    </w:tbl>
    <w:p w:rsidR="00174C4B" w:rsidRDefault="00174C4B" w:rsidP="00B61D81">
      <w:pPr>
        <w:rPr>
          <w:rFonts w:ascii="Arial" w:hAnsi="Arial" w:cs="Arial"/>
          <w:color w:val="000000" w:themeColor="text1"/>
        </w:rPr>
      </w:pPr>
    </w:p>
    <w:p w:rsidR="00AF38FD" w:rsidRDefault="00AF38FD" w:rsidP="00B61D81">
      <w:pPr>
        <w:rPr>
          <w:rFonts w:ascii="Arial" w:hAnsi="Arial" w:cs="Arial"/>
          <w:color w:val="000000" w:themeColor="text1"/>
        </w:rPr>
      </w:pPr>
    </w:p>
    <w:p w:rsidR="00AF38FD" w:rsidRDefault="00AF38FD" w:rsidP="00B61D81">
      <w:pPr>
        <w:rPr>
          <w:rFonts w:ascii="Arial" w:hAnsi="Arial" w:cs="Arial"/>
          <w:color w:val="000000" w:themeColor="text1"/>
        </w:rPr>
      </w:pPr>
    </w:p>
    <w:p w:rsidR="00AF38FD" w:rsidRDefault="00AF38FD" w:rsidP="00B61D81">
      <w:pPr>
        <w:rPr>
          <w:rFonts w:ascii="Arial" w:hAnsi="Arial" w:cs="Arial"/>
          <w:color w:val="000000" w:themeColor="text1"/>
        </w:rPr>
      </w:pPr>
    </w:p>
    <w:p w:rsidR="00AF38FD" w:rsidRDefault="00AF38FD"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lastRenderedPageBreak/>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AF38FD" w:rsidRPr="00AF38FD" w:rsidTr="00AF38FD">
        <w:trPr>
          <w:trHeight w:val="600"/>
        </w:trPr>
        <w:tc>
          <w:tcPr>
            <w:tcW w:w="1420" w:type="dxa"/>
            <w:tcBorders>
              <w:top w:val="nil"/>
              <w:left w:val="nil"/>
              <w:bottom w:val="nil"/>
              <w:right w:val="nil"/>
            </w:tcBorders>
            <w:shd w:val="clear" w:color="auto" w:fill="auto"/>
            <w:hideMark/>
          </w:tcPr>
          <w:p w:rsidR="00AF38FD" w:rsidRPr="00AF38FD" w:rsidRDefault="00AF38FD" w:rsidP="00AF38FD">
            <w:pPr>
              <w:rPr>
                <w:rFonts w:ascii="Calibri" w:hAnsi="Calibri" w:cs="Calibri"/>
                <w:b/>
                <w:bCs/>
                <w:color w:val="000000"/>
              </w:rPr>
            </w:pPr>
            <w:r w:rsidRPr="00AF38FD">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AF38FD" w:rsidRPr="00AF38FD" w:rsidRDefault="00AF38FD" w:rsidP="00AF38FD">
            <w:pPr>
              <w:rPr>
                <w:rFonts w:ascii="Calibri" w:hAnsi="Calibri" w:cs="Calibri"/>
                <w:b/>
                <w:bCs/>
                <w:color w:val="000000"/>
              </w:rPr>
            </w:pPr>
            <w:r w:rsidRPr="00AF38FD">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AF38FD" w:rsidRPr="00AF38FD" w:rsidRDefault="00AF38FD" w:rsidP="00AF38FD">
            <w:pPr>
              <w:rPr>
                <w:rFonts w:ascii="Calibri" w:hAnsi="Calibri" w:cs="Calibri"/>
                <w:b/>
                <w:bCs/>
                <w:color w:val="000000"/>
              </w:rPr>
            </w:pPr>
            <w:r w:rsidRPr="00AF38FD">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AF38FD" w:rsidRPr="00AF38FD" w:rsidRDefault="00AF38FD" w:rsidP="00AF38FD">
            <w:pPr>
              <w:jc w:val="right"/>
              <w:rPr>
                <w:rFonts w:ascii="Calibri" w:hAnsi="Calibri" w:cs="Calibri"/>
                <w:b/>
                <w:bCs/>
                <w:color w:val="000000"/>
              </w:rPr>
            </w:pPr>
            <w:r w:rsidRPr="00AF38FD">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AF38FD" w:rsidRPr="00AF38FD" w:rsidRDefault="00AF38FD" w:rsidP="00AF38FD">
            <w:pPr>
              <w:jc w:val="right"/>
              <w:rPr>
                <w:rFonts w:ascii="Calibri" w:hAnsi="Calibri" w:cs="Calibri"/>
                <w:b/>
                <w:bCs/>
                <w:color w:val="000000"/>
              </w:rPr>
            </w:pPr>
            <w:r w:rsidRPr="00AF38FD">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AF38FD" w:rsidRPr="00AF38FD" w:rsidRDefault="00AF38FD" w:rsidP="00AF38FD">
            <w:pPr>
              <w:jc w:val="right"/>
              <w:rPr>
                <w:rFonts w:ascii="Calibri" w:hAnsi="Calibri" w:cs="Calibri"/>
                <w:b/>
                <w:bCs/>
                <w:color w:val="000000"/>
              </w:rPr>
            </w:pPr>
            <w:r w:rsidRPr="00AF38FD">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AF38FD" w:rsidRPr="00AF38FD" w:rsidRDefault="00AF38FD" w:rsidP="00AF38FD">
            <w:pPr>
              <w:jc w:val="right"/>
              <w:rPr>
                <w:rFonts w:ascii="Calibri" w:hAnsi="Calibri" w:cs="Calibri"/>
                <w:b/>
                <w:bCs/>
                <w:color w:val="000000"/>
              </w:rPr>
            </w:pPr>
            <w:r w:rsidRPr="00AF38FD">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AF38FD" w:rsidRPr="00AF38FD" w:rsidRDefault="00AF38FD" w:rsidP="00AF38FD">
            <w:pPr>
              <w:jc w:val="right"/>
              <w:rPr>
                <w:rFonts w:ascii="Calibri" w:hAnsi="Calibri" w:cs="Calibri"/>
                <w:b/>
                <w:bCs/>
                <w:color w:val="000000"/>
              </w:rPr>
            </w:pPr>
            <w:r w:rsidRPr="00AF38FD">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AF38FD" w:rsidRPr="00AF38FD" w:rsidRDefault="00AF38FD" w:rsidP="00AF38FD">
            <w:pPr>
              <w:jc w:val="right"/>
              <w:rPr>
                <w:rFonts w:ascii="Calibri" w:hAnsi="Calibri" w:cs="Calibri"/>
                <w:b/>
                <w:bCs/>
                <w:color w:val="000000"/>
              </w:rPr>
            </w:pPr>
            <w:r w:rsidRPr="00AF38FD">
              <w:rPr>
                <w:rFonts w:ascii="Calibri" w:hAnsi="Calibri" w:cs="Calibri"/>
                <w:b/>
                <w:bCs/>
                <w:color w:val="000000"/>
                <w:sz w:val="22"/>
                <w:szCs w:val="22"/>
              </w:rPr>
              <w:t>FY 12-13</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EGV-1501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70.6%</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EGV-2781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74.4%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72.8%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61.7%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73.5%</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58.9%</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ETD-102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56.5%</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77.8%</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ETD-110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ETD-118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79.1%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68.8%</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ETD-121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69.7%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81.6%</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64.4%</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62.7%</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ETD-128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72.3%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68.9%</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74.3%</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ETD-132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82.4%</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84.6%</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90.9%</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ETD-150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69.2%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92.9%</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61.9%</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ETD-155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72.7%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78.6%</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ETD-198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77.6%</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70.9%</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ETD-199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74.2%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79.9%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77.7%</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69.1%</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81.8%</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ETD-211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84.6%</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70.3%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74.4%</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62.5%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ETD-212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72.0%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78.8%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90.5%</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ETD-213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65.4%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62.1%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48.8%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65.2%</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42.4%</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90.9%</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ETD-222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60.9%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63.4%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50.9%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96.3%</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97.1%</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ETD-228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ETD-230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76.9%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ETD-231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ETD-238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ETD-245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54.5%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ETD-251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ETD-252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98.5%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ETD-255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77.8%</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lastRenderedPageBreak/>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ETD-260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ETD-261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76.9%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62.1%</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63.8%</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ETD-270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ETD-278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ETD-280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94.1%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70.6%</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79.2%</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ETD-284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94.1%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93.0%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93.9%</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89.8%</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ETD-287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ETD-291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86.7%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84.2%</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ETD-297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89.3%</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MEE-2101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57.1%</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MEE-2301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MEE-2401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MET-1101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65.3%</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MET-1111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MET-1131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63.9%</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MET-1151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81.7%</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MET-1201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58.5%</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MET-1241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77.8%</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MET-1281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MET-1301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76.9%</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MET-1331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MET-1371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82.6%</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MET-2151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MET-2201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51.5%</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MET-2251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43.6%</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MET-2297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MET-2301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MET-2351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MET-2401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MET-2711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77.8%</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0551</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Engineering Technical Design</w:t>
            </w:r>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MET-2780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lastRenderedPageBreak/>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CAT-2501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76.9%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69.2%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HVA-102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HVA-103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HVA-104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HVA-112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HVA-113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46.7%</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HVA-1221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68.5%</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HVA-1241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94.7%</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HVA-1261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91.7%</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HVA-1301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88.9%</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HVA-1351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HVA-140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82.5%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79.3%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70.4%</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78.6%</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HVA-1401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88.2%</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HVA-141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97.4%</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89.7%</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HVA-144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82.9%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68.0%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72.8%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71.3%</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66.1%</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HVA-1451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HVA-160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86.1%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81.8%</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95.8%</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HVA-162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74.5%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76.9%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73.8%</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91.2%</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HVA-170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84.6%</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HVA-174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HVA-177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77.5%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82.4%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79.7%</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78.1%</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HVA-180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89.3%</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92.3%</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HVA-184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80.9%</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73.0%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91.8%</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85.3%</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HVA-186</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82.4%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84.6%</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HVA-190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81.1%</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96.6%</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lastRenderedPageBreak/>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HVA-194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93.8%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94.7%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92.6%</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HVA-202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HVA-203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HVA-204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HVA-211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HVA-212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HVA-213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HVA-214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HVA-221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HVA-222</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HVA-223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HVA-224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HVA-2297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HVA-231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HVA-232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HVA-234</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HVA-235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HVA-236</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HVA-240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57.1%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88.9%</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HVA-243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HVA-250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HVA-253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50.0%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62.5%</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54.5%</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HVA-254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HVA-270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HVA-272</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91.7%</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HVA-276</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90.9%</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HVA-278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90.9%</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HVA-286</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68.8%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95.2%</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HVA-288</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84.6%</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HVA-297</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93.0%</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90.8%</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lastRenderedPageBreak/>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MEE-2201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60.0%</w:t>
            </w:r>
          </w:p>
        </w:tc>
      </w:tr>
      <w:tr w:rsidR="00AF38FD" w:rsidRPr="00AF38FD" w:rsidTr="00AF38FD">
        <w:trPr>
          <w:trHeight w:val="300"/>
        </w:trPr>
        <w:tc>
          <w:tcPr>
            <w:tcW w:w="14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000000" w:fill="D9D9D9"/>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MET-1161</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27.3%</w:t>
            </w:r>
          </w:p>
        </w:tc>
      </w:tr>
      <w:tr w:rsidR="00AF38FD" w:rsidRPr="00AF38FD" w:rsidTr="00AF38FD">
        <w:trPr>
          <w:trHeight w:val="300"/>
        </w:trPr>
        <w:tc>
          <w:tcPr>
            <w:tcW w:w="14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0552</w:t>
            </w:r>
          </w:p>
        </w:tc>
        <w:tc>
          <w:tcPr>
            <w:tcW w:w="322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 xml:space="preserve">Heating, Air Cond, &amp; </w:t>
            </w:r>
            <w:proofErr w:type="spellStart"/>
            <w:r w:rsidRPr="00AF38FD">
              <w:rPr>
                <w:rFonts w:ascii="Calibri" w:hAnsi="Calibri" w:cs="Calibri"/>
                <w:color w:val="000000"/>
                <w:sz w:val="22"/>
                <w:szCs w:val="22"/>
              </w:rPr>
              <w:t>Refrig</w:t>
            </w:r>
            <w:proofErr w:type="spellEnd"/>
          </w:p>
        </w:tc>
        <w:tc>
          <w:tcPr>
            <w:tcW w:w="1760" w:type="dxa"/>
            <w:tcBorders>
              <w:top w:val="nil"/>
              <w:left w:val="nil"/>
              <w:bottom w:val="nil"/>
              <w:right w:val="nil"/>
            </w:tcBorders>
            <w:shd w:val="clear" w:color="auto" w:fill="auto"/>
            <w:noWrap/>
            <w:vAlign w:val="bottom"/>
            <w:hideMark/>
          </w:tcPr>
          <w:p w:rsidR="00AF38FD" w:rsidRPr="00AF38FD" w:rsidRDefault="00AF38FD" w:rsidP="00AF38FD">
            <w:pPr>
              <w:rPr>
                <w:rFonts w:ascii="Calibri" w:hAnsi="Calibri" w:cs="Calibri"/>
                <w:color w:val="000000"/>
              </w:rPr>
            </w:pPr>
            <w:r w:rsidRPr="00AF38FD">
              <w:rPr>
                <w:rFonts w:ascii="Calibri" w:hAnsi="Calibri" w:cs="Calibri"/>
                <w:color w:val="000000"/>
                <w:sz w:val="22"/>
                <w:szCs w:val="22"/>
              </w:rPr>
              <w:t>MET-2101</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AF38FD" w:rsidRPr="00AF38FD" w:rsidRDefault="00AF38FD" w:rsidP="00AF38FD">
            <w:pPr>
              <w:jc w:val="right"/>
              <w:rPr>
                <w:rFonts w:ascii="Calibri" w:hAnsi="Calibri" w:cs="Calibri"/>
                <w:color w:val="000000"/>
              </w:rPr>
            </w:pPr>
            <w:r w:rsidRPr="00AF38FD">
              <w:rPr>
                <w:rFonts w:ascii="Calibri" w:hAnsi="Calibri" w:cs="Calibri"/>
                <w:color w:val="000000"/>
                <w:sz w:val="22"/>
                <w:szCs w:val="22"/>
              </w:rPr>
              <w:t>75.0%</w:t>
            </w:r>
          </w:p>
        </w:tc>
      </w:tr>
    </w:tbl>
    <w:p w:rsidR="00AF38FD" w:rsidRDefault="00AF38FD" w:rsidP="00225B53">
      <w:pPr>
        <w:spacing w:after="200" w:line="276" w:lineRule="auto"/>
        <w:rPr>
          <w:rFonts w:ascii="Arial" w:hAnsi="Arial" w:cs="Arial"/>
          <w:b/>
          <w:color w:val="000000" w:themeColor="text1"/>
        </w:rPr>
      </w:pPr>
    </w:p>
    <w:p w:rsidR="00AF38FD" w:rsidRDefault="00AF38FD" w:rsidP="00225B53">
      <w:pPr>
        <w:spacing w:after="200" w:line="276" w:lineRule="auto"/>
        <w:rPr>
          <w:rFonts w:ascii="Arial" w:hAnsi="Arial" w:cs="Arial"/>
          <w:b/>
          <w:color w:val="000000" w:themeColor="text1"/>
        </w:rPr>
      </w:pPr>
    </w:p>
    <w:sectPr w:rsidR="00AF38FD" w:rsidSect="00AF38FD">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2F" w:rsidRDefault="00BD642F" w:rsidP="0094204C">
      <w:r>
        <w:separator/>
      </w:r>
    </w:p>
  </w:endnote>
  <w:endnote w:type="continuationSeparator" w:id="0">
    <w:p w:rsidR="00BD642F" w:rsidRDefault="00BD642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0F5AE1" w:rsidRDefault="000F5AE1">
        <w:pPr>
          <w:pStyle w:val="Footer"/>
          <w:jc w:val="right"/>
        </w:pPr>
        <w:r>
          <w:fldChar w:fldCharType="begin"/>
        </w:r>
        <w:r>
          <w:instrText xml:space="preserve"> PAGE   \* MERGEFORMAT </w:instrText>
        </w:r>
        <w:r>
          <w:fldChar w:fldCharType="separate"/>
        </w:r>
        <w:r w:rsidR="00DD0307">
          <w:rPr>
            <w:noProof/>
          </w:rPr>
          <w:t>1</w:t>
        </w:r>
        <w:r>
          <w:rPr>
            <w:noProof/>
          </w:rPr>
          <w:fldChar w:fldCharType="end"/>
        </w:r>
      </w:p>
    </w:sdtContent>
  </w:sdt>
  <w:p w:rsidR="000F5AE1" w:rsidRDefault="000F5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2F" w:rsidRDefault="00BD642F" w:rsidP="0094204C">
      <w:r>
        <w:separator/>
      </w:r>
    </w:p>
  </w:footnote>
  <w:footnote w:type="continuationSeparator" w:id="0">
    <w:p w:rsidR="00BD642F" w:rsidRDefault="00BD642F"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D516EA"/>
    <w:multiLevelType w:val="hybridMultilevel"/>
    <w:tmpl w:val="6DD4D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6D64DB"/>
    <w:multiLevelType w:val="hybridMultilevel"/>
    <w:tmpl w:val="D670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5303C"/>
    <w:multiLevelType w:val="hybridMultilevel"/>
    <w:tmpl w:val="30A2F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51FC6F68"/>
    <w:multiLevelType w:val="hybridMultilevel"/>
    <w:tmpl w:val="6CE63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2"/>
  </w:num>
  <w:num w:numId="5">
    <w:abstractNumId w:val="2"/>
  </w:num>
  <w:num w:numId="6">
    <w:abstractNumId w:val="7"/>
  </w:num>
  <w:num w:numId="7">
    <w:abstractNumId w:val="16"/>
  </w:num>
  <w:num w:numId="8">
    <w:abstractNumId w:val="13"/>
  </w:num>
  <w:num w:numId="9">
    <w:abstractNumId w:val="1"/>
  </w:num>
  <w:num w:numId="10">
    <w:abstractNumId w:val="17"/>
  </w:num>
  <w:num w:numId="11">
    <w:abstractNumId w:val="0"/>
  </w:num>
  <w:num w:numId="12">
    <w:abstractNumId w:val="15"/>
  </w:num>
  <w:num w:numId="13">
    <w:abstractNumId w:val="11"/>
  </w:num>
  <w:num w:numId="14">
    <w:abstractNumId w:val="3"/>
  </w:num>
  <w:num w:numId="15">
    <w:abstractNumId w:val="9"/>
  </w:num>
  <w:num w:numId="16">
    <w:abstractNumId w:val="10"/>
  </w:num>
  <w:num w:numId="17">
    <w:abstractNumId w:val="14"/>
  </w:num>
  <w:num w:numId="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5374C"/>
    <w:rsid w:val="00054BFD"/>
    <w:rsid w:val="00056964"/>
    <w:rsid w:val="000616F3"/>
    <w:rsid w:val="00063778"/>
    <w:rsid w:val="00065129"/>
    <w:rsid w:val="00066CD6"/>
    <w:rsid w:val="00067299"/>
    <w:rsid w:val="0007060A"/>
    <w:rsid w:val="000738FE"/>
    <w:rsid w:val="00074BD5"/>
    <w:rsid w:val="0007644A"/>
    <w:rsid w:val="00077739"/>
    <w:rsid w:val="00080933"/>
    <w:rsid w:val="0008426D"/>
    <w:rsid w:val="00097843"/>
    <w:rsid w:val="000A089D"/>
    <w:rsid w:val="000A123F"/>
    <w:rsid w:val="000A2453"/>
    <w:rsid w:val="000A2A44"/>
    <w:rsid w:val="000A4EE0"/>
    <w:rsid w:val="000B0D23"/>
    <w:rsid w:val="000B261C"/>
    <w:rsid w:val="000B5F45"/>
    <w:rsid w:val="000D1111"/>
    <w:rsid w:val="000D3A39"/>
    <w:rsid w:val="000D5991"/>
    <w:rsid w:val="000E4EFE"/>
    <w:rsid w:val="000F0AF3"/>
    <w:rsid w:val="000F154F"/>
    <w:rsid w:val="000F1823"/>
    <w:rsid w:val="000F21F2"/>
    <w:rsid w:val="000F2F76"/>
    <w:rsid w:val="000F4249"/>
    <w:rsid w:val="000F5AE1"/>
    <w:rsid w:val="0010227C"/>
    <w:rsid w:val="001026AA"/>
    <w:rsid w:val="00115E77"/>
    <w:rsid w:val="001201D5"/>
    <w:rsid w:val="00120277"/>
    <w:rsid w:val="00120E81"/>
    <w:rsid w:val="001240D0"/>
    <w:rsid w:val="001324D2"/>
    <w:rsid w:val="00136371"/>
    <w:rsid w:val="00142776"/>
    <w:rsid w:val="001532B7"/>
    <w:rsid w:val="001628B1"/>
    <w:rsid w:val="00174C4B"/>
    <w:rsid w:val="00175C7F"/>
    <w:rsid w:val="001803A0"/>
    <w:rsid w:val="00181457"/>
    <w:rsid w:val="00183806"/>
    <w:rsid w:val="00183A7F"/>
    <w:rsid w:val="00184AE5"/>
    <w:rsid w:val="0018798A"/>
    <w:rsid w:val="00190F5C"/>
    <w:rsid w:val="0019135D"/>
    <w:rsid w:val="00195B7B"/>
    <w:rsid w:val="001A1B67"/>
    <w:rsid w:val="001A7AF7"/>
    <w:rsid w:val="001B6007"/>
    <w:rsid w:val="001C202C"/>
    <w:rsid w:val="001C2F4D"/>
    <w:rsid w:val="001C42D0"/>
    <w:rsid w:val="001C5DC3"/>
    <w:rsid w:val="001D3E1D"/>
    <w:rsid w:val="001D5757"/>
    <w:rsid w:val="001D7080"/>
    <w:rsid w:val="001D736E"/>
    <w:rsid w:val="001E0764"/>
    <w:rsid w:val="001E50F6"/>
    <w:rsid w:val="001E64BA"/>
    <w:rsid w:val="001E7137"/>
    <w:rsid w:val="001F4B9E"/>
    <w:rsid w:val="001F5075"/>
    <w:rsid w:val="002105E7"/>
    <w:rsid w:val="00210FF3"/>
    <w:rsid w:val="002245AB"/>
    <w:rsid w:val="00225B53"/>
    <w:rsid w:val="0022692B"/>
    <w:rsid w:val="0023139F"/>
    <w:rsid w:val="002315EE"/>
    <w:rsid w:val="00255269"/>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A2B9A"/>
    <w:rsid w:val="002B0740"/>
    <w:rsid w:val="002C1797"/>
    <w:rsid w:val="002C56AC"/>
    <w:rsid w:val="002D1DFE"/>
    <w:rsid w:val="002D2748"/>
    <w:rsid w:val="002D3CAD"/>
    <w:rsid w:val="002D428E"/>
    <w:rsid w:val="002E175B"/>
    <w:rsid w:val="002E259A"/>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CB0"/>
    <w:rsid w:val="00337A3A"/>
    <w:rsid w:val="00340030"/>
    <w:rsid w:val="003454F6"/>
    <w:rsid w:val="00350D53"/>
    <w:rsid w:val="003641BA"/>
    <w:rsid w:val="0036625E"/>
    <w:rsid w:val="00372B02"/>
    <w:rsid w:val="0037786D"/>
    <w:rsid w:val="00377D40"/>
    <w:rsid w:val="00387B1B"/>
    <w:rsid w:val="0039652A"/>
    <w:rsid w:val="003A15DC"/>
    <w:rsid w:val="003A298D"/>
    <w:rsid w:val="003B2034"/>
    <w:rsid w:val="003B5176"/>
    <w:rsid w:val="003B5F45"/>
    <w:rsid w:val="003B6EA6"/>
    <w:rsid w:val="003C1C8E"/>
    <w:rsid w:val="003D2587"/>
    <w:rsid w:val="003D6946"/>
    <w:rsid w:val="003D6D6E"/>
    <w:rsid w:val="003E3BB2"/>
    <w:rsid w:val="003E791C"/>
    <w:rsid w:val="00404810"/>
    <w:rsid w:val="00414645"/>
    <w:rsid w:val="00424E5D"/>
    <w:rsid w:val="00425F46"/>
    <w:rsid w:val="00432A27"/>
    <w:rsid w:val="00434F56"/>
    <w:rsid w:val="004359FC"/>
    <w:rsid w:val="0044080E"/>
    <w:rsid w:val="0044130D"/>
    <w:rsid w:val="004467C4"/>
    <w:rsid w:val="00455833"/>
    <w:rsid w:val="0045771B"/>
    <w:rsid w:val="004604FB"/>
    <w:rsid w:val="00461386"/>
    <w:rsid w:val="00462D00"/>
    <w:rsid w:val="00466AAC"/>
    <w:rsid w:val="004712EB"/>
    <w:rsid w:val="00476425"/>
    <w:rsid w:val="0048088F"/>
    <w:rsid w:val="00480BB2"/>
    <w:rsid w:val="004818E1"/>
    <w:rsid w:val="00481A7E"/>
    <w:rsid w:val="0048427F"/>
    <w:rsid w:val="00495799"/>
    <w:rsid w:val="00495C9D"/>
    <w:rsid w:val="004B7492"/>
    <w:rsid w:val="004C2B30"/>
    <w:rsid w:val="004C52FC"/>
    <w:rsid w:val="004C7DB2"/>
    <w:rsid w:val="004D083E"/>
    <w:rsid w:val="004D3BE1"/>
    <w:rsid w:val="004D3C8C"/>
    <w:rsid w:val="004E0A34"/>
    <w:rsid w:val="004E47AA"/>
    <w:rsid w:val="004E4BD6"/>
    <w:rsid w:val="004E5349"/>
    <w:rsid w:val="004F41D5"/>
    <w:rsid w:val="00507353"/>
    <w:rsid w:val="0051294F"/>
    <w:rsid w:val="00514544"/>
    <w:rsid w:val="00516463"/>
    <w:rsid w:val="00520FBE"/>
    <w:rsid w:val="0052152C"/>
    <w:rsid w:val="005336C6"/>
    <w:rsid w:val="005369A0"/>
    <w:rsid w:val="00542E2B"/>
    <w:rsid w:val="0054350A"/>
    <w:rsid w:val="005531E8"/>
    <w:rsid w:val="00553BF3"/>
    <w:rsid w:val="00555276"/>
    <w:rsid w:val="005674F9"/>
    <w:rsid w:val="00573ECD"/>
    <w:rsid w:val="00585766"/>
    <w:rsid w:val="005863ED"/>
    <w:rsid w:val="005864A4"/>
    <w:rsid w:val="005918B2"/>
    <w:rsid w:val="00597F85"/>
    <w:rsid w:val="005D19D9"/>
    <w:rsid w:val="005F5F7E"/>
    <w:rsid w:val="005F6B5B"/>
    <w:rsid w:val="005F7377"/>
    <w:rsid w:val="00601E46"/>
    <w:rsid w:val="006102B5"/>
    <w:rsid w:val="0061376B"/>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862C9"/>
    <w:rsid w:val="00690A3D"/>
    <w:rsid w:val="006A2AA3"/>
    <w:rsid w:val="006B5D02"/>
    <w:rsid w:val="006B6194"/>
    <w:rsid w:val="006C142B"/>
    <w:rsid w:val="006C28B1"/>
    <w:rsid w:val="006C4C0B"/>
    <w:rsid w:val="006C4F5E"/>
    <w:rsid w:val="006D67EB"/>
    <w:rsid w:val="006E3686"/>
    <w:rsid w:val="006F0183"/>
    <w:rsid w:val="00716A26"/>
    <w:rsid w:val="00740D35"/>
    <w:rsid w:val="007452D6"/>
    <w:rsid w:val="00746675"/>
    <w:rsid w:val="00751689"/>
    <w:rsid w:val="00751FC5"/>
    <w:rsid w:val="00781DA4"/>
    <w:rsid w:val="007825CC"/>
    <w:rsid w:val="007856A2"/>
    <w:rsid w:val="0078669D"/>
    <w:rsid w:val="00786F00"/>
    <w:rsid w:val="00791FF2"/>
    <w:rsid w:val="0079281D"/>
    <w:rsid w:val="00794EA2"/>
    <w:rsid w:val="007A43CE"/>
    <w:rsid w:val="007B0108"/>
    <w:rsid w:val="007C1FEF"/>
    <w:rsid w:val="007C46D3"/>
    <w:rsid w:val="007C74F5"/>
    <w:rsid w:val="007E36F4"/>
    <w:rsid w:val="007F45E6"/>
    <w:rsid w:val="007F66F9"/>
    <w:rsid w:val="0080292B"/>
    <w:rsid w:val="008034BE"/>
    <w:rsid w:val="008056C5"/>
    <w:rsid w:val="00805C23"/>
    <w:rsid w:val="00807113"/>
    <w:rsid w:val="00817DDA"/>
    <w:rsid w:val="00820425"/>
    <w:rsid w:val="00821011"/>
    <w:rsid w:val="008258DA"/>
    <w:rsid w:val="00827AE5"/>
    <w:rsid w:val="00831986"/>
    <w:rsid w:val="00833DCC"/>
    <w:rsid w:val="00847243"/>
    <w:rsid w:val="00857D52"/>
    <w:rsid w:val="008642E1"/>
    <w:rsid w:val="0086773D"/>
    <w:rsid w:val="00875A7C"/>
    <w:rsid w:val="00877383"/>
    <w:rsid w:val="00880686"/>
    <w:rsid w:val="008836F4"/>
    <w:rsid w:val="008860C1"/>
    <w:rsid w:val="008909D4"/>
    <w:rsid w:val="008942FA"/>
    <w:rsid w:val="00897A68"/>
    <w:rsid w:val="008B52A0"/>
    <w:rsid w:val="008D1EC1"/>
    <w:rsid w:val="008D4D55"/>
    <w:rsid w:val="008E063A"/>
    <w:rsid w:val="008F334B"/>
    <w:rsid w:val="008F3D47"/>
    <w:rsid w:val="008F41A6"/>
    <w:rsid w:val="009108ED"/>
    <w:rsid w:val="00915CDA"/>
    <w:rsid w:val="00925394"/>
    <w:rsid w:val="0092540D"/>
    <w:rsid w:val="009268A3"/>
    <w:rsid w:val="0094204C"/>
    <w:rsid w:val="00952FA6"/>
    <w:rsid w:val="00963DD8"/>
    <w:rsid w:val="00973F2A"/>
    <w:rsid w:val="00981D62"/>
    <w:rsid w:val="0098613E"/>
    <w:rsid w:val="009A2F4E"/>
    <w:rsid w:val="009A616E"/>
    <w:rsid w:val="009A69F0"/>
    <w:rsid w:val="009B0D13"/>
    <w:rsid w:val="009B781F"/>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37048"/>
    <w:rsid w:val="00A51345"/>
    <w:rsid w:val="00A54831"/>
    <w:rsid w:val="00A6078F"/>
    <w:rsid w:val="00A62968"/>
    <w:rsid w:val="00A63ACE"/>
    <w:rsid w:val="00A74AD8"/>
    <w:rsid w:val="00A8476F"/>
    <w:rsid w:val="00AC0386"/>
    <w:rsid w:val="00AC62F8"/>
    <w:rsid w:val="00AD4FA7"/>
    <w:rsid w:val="00AE4AD2"/>
    <w:rsid w:val="00AE5F43"/>
    <w:rsid w:val="00AF1271"/>
    <w:rsid w:val="00AF2854"/>
    <w:rsid w:val="00AF38FD"/>
    <w:rsid w:val="00AF6A23"/>
    <w:rsid w:val="00B11F28"/>
    <w:rsid w:val="00B27095"/>
    <w:rsid w:val="00B31728"/>
    <w:rsid w:val="00B34F9E"/>
    <w:rsid w:val="00B42C55"/>
    <w:rsid w:val="00B44B23"/>
    <w:rsid w:val="00B4625A"/>
    <w:rsid w:val="00B608D5"/>
    <w:rsid w:val="00B61D81"/>
    <w:rsid w:val="00B700A5"/>
    <w:rsid w:val="00B71307"/>
    <w:rsid w:val="00B75DD0"/>
    <w:rsid w:val="00B764F8"/>
    <w:rsid w:val="00B812F8"/>
    <w:rsid w:val="00B81607"/>
    <w:rsid w:val="00B8227E"/>
    <w:rsid w:val="00B90F20"/>
    <w:rsid w:val="00B91F1E"/>
    <w:rsid w:val="00BA3246"/>
    <w:rsid w:val="00BA411F"/>
    <w:rsid w:val="00BA527A"/>
    <w:rsid w:val="00BB17D4"/>
    <w:rsid w:val="00BB272C"/>
    <w:rsid w:val="00BB28CF"/>
    <w:rsid w:val="00BB4ABC"/>
    <w:rsid w:val="00BB4C9F"/>
    <w:rsid w:val="00BB5574"/>
    <w:rsid w:val="00BC12BF"/>
    <w:rsid w:val="00BC5FF1"/>
    <w:rsid w:val="00BC6C11"/>
    <w:rsid w:val="00BD2C4F"/>
    <w:rsid w:val="00BD3EF3"/>
    <w:rsid w:val="00BD642F"/>
    <w:rsid w:val="00BE51FF"/>
    <w:rsid w:val="00BF3561"/>
    <w:rsid w:val="00BF556C"/>
    <w:rsid w:val="00C05015"/>
    <w:rsid w:val="00C05EFD"/>
    <w:rsid w:val="00C1201E"/>
    <w:rsid w:val="00C22083"/>
    <w:rsid w:val="00C32DEA"/>
    <w:rsid w:val="00C45053"/>
    <w:rsid w:val="00C50A91"/>
    <w:rsid w:val="00C52D74"/>
    <w:rsid w:val="00C5365F"/>
    <w:rsid w:val="00C55094"/>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E68C4"/>
    <w:rsid w:val="00CF0112"/>
    <w:rsid w:val="00CF34BC"/>
    <w:rsid w:val="00D07030"/>
    <w:rsid w:val="00D07C89"/>
    <w:rsid w:val="00D23E74"/>
    <w:rsid w:val="00D31DDA"/>
    <w:rsid w:val="00D342DA"/>
    <w:rsid w:val="00D44D7D"/>
    <w:rsid w:val="00D46EDD"/>
    <w:rsid w:val="00D52978"/>
    <w:rsid w:val="00D52AC0"/>
    <w:rsid w:val="00D57E53"/>
    <w:rsid w:val="00D60F74"/>
    <w:rsid w:val="00D632DC"/>
    <w:rsid w:val="00D67391"/>
    <w:rsid w:val="00D708C3"/>
    <w:rsid w:val="00D72CCC"/>
    <w:rsid w:val="00D73E22"/>
    <w:rsid w:val="00D92896"/>
    <w:rsid w:val="00D9642E"/>
    <w:rsid w:val="00DA0069"/>
    <w:rsid w:val="00DA5E37"/>
    <w:rsid w:val="00DA7FA2"/>
    <w:rsid w:val="00DB041B"/>
    <w:rsid w:val="00DB17B2"/>
    <w:rsid w:val="00DB2F12"/>
    <w:rsid w:val="00DC0672"/>
    <w:rsid w:val="00DC5CEE"/>
    <w:rsid w:val="00DD0307"/>
    <w:rsid w:val="00DD42DB"/>
    <w:rsid w:val="00DE53D7"/>
    <w:rsid w:val="00DF4A4B"/>
    <w:rsid w:val="00DF5973"/>
    <w:rsid w:val="00DF738A"/>
    <w:rsid w:val="00DF7501"/>
    <w:rsid w:val="00E108E3"/>
    <w:rsid w:val="00E12A67"/>
    <w:rsid w:val="00E12E4F"/>
    <w:rsid w:val="00E13C55"/>
    <w:rsid w:val="00E14C90"/>
    <w:rsid w:val="00E16205"/>
    <w:rsid w:val="00E22B88"/>
    <w:rsid w:val="00E254D9"/>
    <w:rsid w:val="00E25ACC"/>
    <w:rsid w:val="00E37922"/>
    <w:rsid w:val="00E4165E"/>
    <w:rsid w:val="00E47A53"/>
    <w:rsid w:val="00E501C6"/>
    <w:rsid w:val="00E55AD1"/>
    <w:rsid w:val="00E561F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1A99"/>
    <w:rsid w:val="00ED4142"/>
    <w:rsid w:val="00EF15CD"/>
    <w:rsid w:val="00EF6E21"/>
    <w:rsid w:val="00F0239E"/>
    <w:rsid w:val="00F07EFD"/>
    <w:rsid w:val="00F1164D"/>
    <w:rsid w:val="00F1200D"/>
    <w:rsid w:val="00F154DF"/>
    <w:rsid w:val="00F17C08"/>
    <w:rsid w:val="00F27D5C"/>
    <w:rsid w:val="00F339F4"/>
    <w:rsid w:val="00F340B8"/>
    <w:rsid w:val="00F37373"/>
    <w:rsid w:val="00F43F29"/>
    <w:rsid w:val="00F44294"/>
    <w:rsid w:val="00F4711A"/>
    <w:rsid w:val="00F509AE"/>
    <w:rsid w:val="00F60941"/>
    <w:rsid w:val="00F60C52"/>
    <w:rsid w:val="00F60FAC"/>
    <w:rsid w:val="00F7110B"/>
    <w:rsid w:val="00F8044E"/>
    <w:rsid w:val="00F81080"/>
    <w:rsid w:val="00F8191D"/>
    <w:rsid w:val="00F86156"/>
    <w:rsid w:val="00F920EB"/>
    <w:rsid w:val="00F938A3"/>
    <w:rsid w:val="00F94D4D"/>
    <w:rsid w:val="00F95754"/>
    <w:rsid w:val="00F95896"/>
    <w:rsid w:val="00FA24D1"/>
    <w:rsid w:val="00FA7DDB"/>
    <w:rsid w:val="00FB0E89"/>
    <w:rsid w:val="00FB231A"/>
    <w:rsid w:val="00FB30DD"/>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AF38FD"/>
    <w:pPr>
      <w:spacing w:before="100" w:beforeAutospacing="1" w:after="100" w:afterAutospacing="1"/>
      <w:jc w:val="right"/>
    </w:pPr>
  </w:style>
  <w:style w:type="paragraph" w:customStyle="1" w:styleId="xl67">
    <w:name w:val="xl67"/>
    <w:basedOn w:val="Normal"/>
    <w:rsid w:val="00AF38FD"/>
    <w:pPr>
      <w:spacing w:before="100" w:beforeAutospacing="1" w:after="100" w:afterAutospacing="1"/>
      <w:textAlignment w:val="top"/>
    </w:pPr>
  </w:style>
  <w:style w:type="paragraph" w:customStyle="1" w:styleId="xl69">
    <w:name w:val="xl69"/>
    <w:basedOn w:val="Normal"/>
    <w:rsid w:val="00AF38FD"/>
    <w:pPr>
      <w:shd w:val="clear" w:color="000000" w:fill="D9D9D9"/>
      <w:spacing w:before="100" w:beforeAutospacing="1" w:after="100" w:afterAutospacing="1"/>
    </w:pPr>
  </w:style>
  <w:style w:type="paragraph" w:customStyle="1" w:styleId="xl70">
    <w:name w:val="xl70"/>
    <w:basedOn w:val="Normal"/>
    <w:rsid w:val="00AF38FD"/>
    <w:pPr>
      <w:shd w:val="clear" w:color="000000" w:fill="D9D9D9"/>
      <w:spacing w:before="100" w:beforeAutospacing="1" w:after="100" w:afterAutospacing="1"/>
    </w:pPr>
  </w:style>
  <w:style w:type="paragraph" w:customStyle="1" w:styleId="xl71">
    <w:name w:val="xl71"/>
    <w:basedOn w:val="Normal"/>
    <w:rsid w:val="00AF38FD"/>
    <w:pPr>
      <w:shd w:val="clear" w:color="000000" w:fill="D9D9D9"/>
      <w:spacing w:before="100" w:beforeAutospacing="1" w:after="100" w:afterAutospacing="1"/>
      <w:jc w:val="right"/>
    </w:pPr>
  </w:style>
  <w:style w:type="paragraph" w:customStyle="1" w:styleId="xl72">
    <w:name w:val="xl72"/>
    <w:basedOn w:val="Normal"/>
    <w:rsid w:val="00AF38FD"/>
    <w:pPr>
      <w:shd w:val="clear" w:color="000000" w:fill="D9D9D9"/>
      <w:spacing w:before="100" w:beforeAutospacing="1" w:after="100" w:afterAutospacing="1"/>
    </w:pPr>
  </w:style>
  <w:style w:type="paragraph" w:customStyle="1" w:styleId="xl73">
    <w:name w:val="xl73"/>
    <w:basedOn w:val="Normal"/>
    <w:rsid w:val="00AF38FD"/>
    <w:pPr>
      <w:spacing w:before="100" w:beforeAutospacing="1" w:after="100" w:afterAutospacing="1"/>
      <w:textAlignment w:val="top"/>
    </w:pPr>
    <w:rPr>
      <w:b/>
      <w:bCs/>
    </w:rPr>
  </w:style>
  <w:style w:type="paragraph" w:customStyle="1" w:styleId="xl74">
    <w:name w:val="xl74"/>
    <w:basedOn w:val="Normal"/>
    <w:rsid w:val="00AF38FD"/>
    <w:pPr>
      <w:spacing w:before="100" w:beforeAutospacing="1" w:after="100" w:afterAutospacing="1"/>
      <w:textAlignment w:val="top"/>
    </w:pPr>
    <w:rPr>
      <w:b/>
      <w:bCs/>
    </w:rPr>
  </w:style>
  <w:style w:type="paragraph" w:customStyle="1" w:styleId="xl75">
    <w:name w:val="xl75"/>
    <w:basedOn w:val="Normal"/>
    <w:rsid w:val="00AF38FD"/>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AF38FD"/>
    <w:pPr>
      <w:spacing w:before="100" w:beforeAutospacing="1" w:after="100" w:afterAutospacing="1"/>
      <w:jc w:val="right"/>
    </w:pPr>
  </w:style>
  <w:style w:type="paragraph" w:customStyle="1" w:styleId="xl67">
    <w:name w:val="xl67"/>
    <w:basedOn w:val="Normal"/>
    <w:rsid w:val="00AF38FD"/>
    <w:pPr>
      <w:spacing w:before="100" w:beforeAutospacing="1" w:after="100" w:afterAutospacing="1"/>
      <w:textAlignment w:val="top"/>
    </w:pPr>
  </w:style>
  <w:style w:type="paragraph" w:customStyle="1" w:styleId="xl69">
    <w:name w:val="xl69"/>
    <w:basedOn w:val="Normal"/>
    <w:rsid w:val="00AF38FD"/>
    <w:pPr>
      <w:shd w:val="clear" w:color="000000" w:fill="D9D9D9"/>
      <w:spacing w:before="100" w:beforeAutospacing="1" w:after="100" w:afterAutospacing="1"/>
    </w:pPr>
  </w:style>
  <w:style w:type="paragraph" w:customStyle="1" w:styleId="xl70">
    <w:name w:val="xl70"/>
    <w:basedOn w:val="Normal"/>
    <w:rsid w:val="00AF38FD"/>
    <w:pPr>
      <w:shd w:val="clear" w:color="000000" w:fill="D9D9D9"/>
      <w:spacing w:before="100" w:beforeAutospacing="1" w:after="100" w:afterAutospacing="1"/>
    </w:pPr>
  </w:style>
  <w:style w:type="paragraph" w:customStyle="1" w:styleId="xl71">
    <w:name w:val="xl71"/>
    <w:basedOn w:val="Normal"/>
    <w:rsid w:val="00AF38FD"/>
    <w:pPr>
      <w:shd w:val="clear" w:color="000000" w:fill="D9D9D9"/>
      <w:spacing w:before="100" w:beforeAutospacing="1" w:after="100" w:afterAutospacing="1"/>
      <w:jc w:val="right"/>
    </w:pPr>
  </w:style>
  <w:style w:type="paragraph" w:customStyle="1" w:styleId="xl72">
    <w:name w:val="xl72"/>
    <w:basedOn w:val="Normal"/>
    <w:rsid w:val="00AF38FD"/>
    <w:pPr>
      <w:shd w:val="clear" w:color="000000" w:fill="D9D9D9"/>
      <w:spacing w:before="100" w:beforeAutospacing="1" w:after="100" w:afterAutospacing="1"/>
    </w:pPr>
  </w:style>
  <w:style w:type="paragraph" w:customStyle="1" w:styleId="xl73">
    <w:name w:val="xl73"/>
    <w:basedOn w:val="Normal"/>
    <w:rsid w:val="00AF38FD"/>
    <w:pPr>
      <w:spacing w:before="100" w:beforeAutospacing="1" w:after="100" w:afterAutospacing="1"/>
      <w:textAlignment w:val="top"/>
    </w:pPr>
    <w:rPr>
      <w:b/>
      <w:bCs/>
    </w:rPr>
  </w:style>
  <w:style w:type="paragraph" w:customStyle="1" w:styleId="xl74">
    <w:name w:val="xl74"/>
    <w:basedOn w:val="Normal"/>
    <w:rsid w:val="00AF38FD"/>
    <w:pPr>
      <w:spacing w:before="100" w:beforeAutospacing="1" w:after="100" w:afterAutospacing="1"/>
      <w:textAlignment w:val="top"/>
    </w:pPr>
    <w:rPr>
      <w:b/>
      <w:bCs/>
    </w:rPr>
  </w:style>
  <w:style w:type="paragraph" w:customStyle="1" w:styleId="xl75">
    <w:name w:val="xl75"/>
    <w:basedOn w:val="Normal"/>
    <w:rsid w:val="00AF38FD"/>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70446824">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09144593">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0551 - Engineering Technical Design</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30</c:v>
                </c:pt>
                <c:pt idx="1">
                  <c:v>25</c:v>
                </c:pt>
                <c:pt idx="2">
                  <c:v>22</c:v>
                </c:pt>
                <c:pt idx="3">
                  <c:v>27</c:v>
                </c:pt>
                <c:pt idx="4" formatCode="General">
                  <c:v>31</c:v>
                </c:pt>
                <c:pt idx="5" formatCode="General">
                  <c:v>17</c:v>
                </c:pt>
              </c:numCache>
            </c:numRef>
          </c:val>
        </c:ser>
        <c:ser>
          <c:idx val="1"/>
          <c:order val="1"/>
          <c:tx>
            <c:strRef>
              <c:f>'CHART FOR COMPLETIONS'!$K$7</c:f>
              <c:strCache>
                <c:ptCount val="1"/>
                <c:pt idx="0">
                  <c:v>0552 - Heating, Air Cond, &amp; Refrig</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COMPLETIONS'!$E$7:$J$7</c:f>
              <c:numCache>
                <c:formatCode>#,##0</c:formatCode>
                <c:ptCount val="6"/>
                <c:pt idx="0">
                  <c:v>17</c:v>
                </c:pt>
                <c:pt idx="1">
                  <c:v>28</c:v>
                </c:pt>
                <c:pt idx="2">
                  <c:v>27</c:v>
                </c:pt>
                <c:pt idx="3">
                  <c:v>33</c:v>
                </c:pt>
                <c:pt idx="4" formatCode="General">
                  <c:v>34</c:v>
                </c:pt>
                <c:pt idx="5" formatCode="General">
                  <c:v>16</c:v>
                </c:pt>
              </c:numCache>
            </c:numRef>
          </c:val>
        </c:ser>
        <c:dLbls>
          <c:showLegendKey val="0"/>
          <c:showVal val="0"/>
          <c:showCatName val="0"/>
          <c:showSerName val="0"/>
          <c:showPercent val="0"/>
          <c:showBubbleSize val="0"/>
        </c:dLbls>
        <c:gapWidth val="150"/>
        <c:axId val="95124864"/>
        <c:axId val="95130752"/>
      </c:barChart>
      <c:catAx>
        <c:axId val="95124864"/>
        <c:scaling>
          <c:orientation val="minMax"/>
        </c:scaling>
        <c:delete val="0"/>
        <c:axPos val="b"/>
        <c:majorTickMark val="out"/>
        <c:minorTickMark val="none"/>
        <c:tickLblPos val="nextTo"/>
        <c:crossAx val="95130752"/>
        <c:crosses val="autoZero"/>
        <c:auto val="1"/>
        <c:lblAlgn val="ctr"/>
        <c:lblOffset val="100"/>
        <c:noMultiLvlLbl val="0"/>
      </c:catAx>
      <c:valAx>
        <c:axId val="9513075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9512486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0551 - Engineering Technical Design</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0.76100000000000001</c:v>
                </c:pt>
                <c:pt idx="1">
                  <c:v>0.76300000000000001</c:v>
                </c:pt>
                <c:pt idx="2">
                  <c:v>0.76500000000000001</c:v>
                </c:pt>
                <c:pt idx="3">
                  <c:v>0.76900000000000002</c:v>
                </c:pt>
                <c:pt idx="4">
                  <c:v>0.72199999999999998</c:v>
                </c:pt>
                <c:pt idx="5">
                  <c:v>0.70599999999999996</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95182208"/>
        <c:axId val="95184000"/>
      </c:barChart>
      <c:catAx>
        <c:axId val="95182208"/>
        <c:scaling>
          <c:orientation val="minMax"/>
        </c:scaling>
        <c:delete val="0"/>
        <c:axPos val="b"/>
        <c:numFmt formatCode="0.0%" sourceLinked="1"/>
        <c:majorTickMark val="none"/>
        <c:minorTickMark val="none"/>
        <c:tickLblPos val="nextTo"/>
        <c:crossAx val="95184000"/>
        <c:crosses val="autoZero"/>
        <c:auto val="1"/>
        <c:lblAlgn val="ctr"/>
        <c:lblOffset val="100"/>
        <c:noMultiLvlLbl val="0"/>
      </c:catAx>
      <c:valAx>
        <c:axId val="9518400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9518220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0552 - Heating, Air Cond, &amp; Refrig</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0.86099999999999999</c:v>
                </c:pt>
                <c:pt idx="1">
                  <c:v>0.879</c:v>
                </c:pt>
                <c:pt idx="2">
                  <c:v>0.82599999999999996</c:v>
                </c:pt>
                <c:pt idx="3">
                  <c:v>0.84899999999999998</c:v>
                </c:pt>
                <c:pt idx="4">
                  <c:v>0.86099999999999999</c:v>
                </c:pt>
                <c:pt idx="5">
                  <c:v>0.68100000000000005</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95202688"/>
        <c:axId val="134788224"/>
      </c:barChart>
      <c:catAx>
        <c:axId val="95202688"/>
        <c:scaling>
          <c:orientation val="minMax"/>
        </c:scaling>
        <c:delete val="0"/>
        <c:axPos val="b"/>
        <c:numFmt formatCode="0.0%" sourceLinked="1"/>
        <c:majorTickMark val="none"/>
        <c:minorTickMark val="none"/>
        <c:tickLblPos val="nextTo"/>
        <c:crossAx val="134788224"/>
        <c:crosses val="autoZero"/>
        <c:auto val="1"/>
        <c:lblAlgn val="ctr"/>
        <c:lblOffset val="100"/>
        <c:noMultiLvlLbl val="0"/>
      </c:catAx>
      <c:valAx>
        <c:axId val="13478822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9520268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5A72-FDD9-4C6C-ABEE-F70A161B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21</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Marcks, Russell</dc:creator>
  <cp:lastModifiedBy>eric.dunn</cp:lastModifiedBy>
  <cp:revision>21</cp:revision>
  <cp:lastPrinted>2012-10-01T13:52:00Z</cp:lastPrinted>
  <dcterms:created xsi:type="dcterms:W3CDTF">2013-09-25T11:53:00Z</dcterms:created>
  <dcterms:modified xsi:type="dcterms:W3CDTF">2013-09-27T15:18:00Z</dcterms:modified>
</cp:coreProperties>
</file>