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3C" w:rsidRDefault="005A79E2" w:rsidP="00CF02EE">
      <w:pPr>
        <w:spacing w:before="120" w:beforeAutospacing="0" w:after="240" w:line="240" w:lineRule="auto"/>
        <w:rPr>
          <w:b/>
          <w:sz w:val="24"/>
          <w:szCs w:val="24"/>
          <w:u w:val="single"/>
        </w:rPr>
      </w:pPr>
      <w:r w:rsidRPr="00CB3060">
        <w:rPr>
          <w:sz w:val="24"/>
          <w:szCs w:val="24"/>
        </w:rPr>
        <w:t xml:space="preserve">Program:  </w:t>
      </w:r>
      <w:r w:rsidRPr="00CB3060">
        <w:rPr>
          <w:sz w:val="24"/>
          <w:szCs w:val="24"/>
          <w:u w:val="single"/>
        </w:rPr>
        <w:t>Heating, Ventilation, Air Conditioning &amp;</w:t>
      </w:r>
      <w:r w:rsidR="00CB3060" w:rsidRPr="00CB3060">
        <w:rPr>
          <w:sz w:val="24"/>
          <w:szCs w:val="24"/>
          <w:u w:val="single"/>
        </w:rPr>
        <w:t>Refrigeration</w:t>
      </w:r>
      <w:r w:rsidR="00CB3060" w:rsidRPr="00CB3060">
        <w:rPr>
          <w:sz w:val="24"/>
          <w:szCs w:val="24"/>
          <w:u w:val="single"/>
        </w:rPr>
        <w:tab/>
      </w:r>
    </w:p>
    <w:p w:rsidR="00CB3060" w:rsidRDefault="00CB3060" w:rsidP="00CF02EE">
      <w:pPr>
        <w:spacing w:before="120" w:beforeAutospacing="0" w:after="240" w:line="240" w:lineRule="auto"/>
        <w:rPr>
          <w:sz w:val="24"/>
          <w:szCs w:val="24"/>
          <w:u w:val="single"/>
        </w:rPr>
      </w:pPr>
      <w:r>
        <w:rPr>
          <w:sz w:val="24"/>
          <w:szCs w:val="24"/>
          <w:u w:val="single"/>
        </w:rPr>
        <w:t>Section I: Trend Data</w:t>
      </w:r>
    </w:p>
    <w:p w:rsidR="00CB3060" w:rsidRDefault="00CB3060" w:rsidP="00CF02EE">
      <w:pPr>
        <w:pStyle w:val="ListParagraph"/>
        <w:numPr>
          <w:ilvl w:val="0"/>
          <w:numId w:val="1"/>
        </w:numPr>
        <w:spacing w:before="120" w:beforeAutospacing="0" w:after="240" w:line="240" w:lineRule="auto"/>
        <w:rPr>
          <w:sz w:val="24"/>
          <w:szCs w:val="24"/>
        </w:rPr>
      </w:pPr>
      <w:r>
        <w:rPr>
          <w:sz w:val="24"/>
          <w:szCs w:val="24"/>
        </w:rPr>
        <w:t>Program Trend Data</w:t>
      </w:r>
    </w:p>
    <w:p w:rsidR="00625D7D" w:rsidRPr="00625D7D" w:rsidRDefault="006F11C4" w:rsidP="00D87A7F">
      <w:pPr>
        <w:spacing w:after="360" w:line="240" w:lineRule="auto"/>
        <w:ind w:left="720"/>
        <w:jc w:val="center"/>
        <w:rPr>
          <w:b/>
          <w:sz w:val="20"/>
          <w:szCs w:val="24"/>
        </w:rPr>
      </w:pPr>
      <w:r>
        <w:rPr>
          <w:b/>
          <w:noProof/>
          <w:sz w:val="20"/>
          <w:szCs w:val="24"/>
        </w:rPr>
        <w:drawing>
          <wp:inline distT="0" distB="0" distL="0" distR="0">
            <wp:extent cx="4835338" cy="1727948"/>
            <wp:effectExtent l="19050" t="0" r="22412" b="560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5D7D" w:rsidRPr="00625D7D" w:rsidRDefault="00A70D9F" w:rsidP="00D87A7F">
      <w:pPr>
        <w:spacing w:after="360" w:line="240" w:lineRule="auto"/>
        <w:ind w:left="720"/>
        <w:jc w:val="center"/>
        <w:rPr>
          <w:b/>
          <w:sz w:val="20"/>
          <w:szCs w:val="24"/>
        </w:rPr>
      </w:pPr>
      <w:r w:rsidRPr="00A70D9F">
        <w:rPr>
          <w:b/>
          <w:noProof/>
          <w:sz w:val="20"/>
          <w:szCs w:val="24"/>
        </w:rPr>
        <w:drawing>
          <wp:inline distT="0" distB="0" distL="0" distR="0">
            <wp:extent cx="4831267" cy="1727947"/>
            <wp:effectExtent l="19050" t="0" r="26483" b="5603"/>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7A7F" w:rsidRDefault="00D65E6B" w:rsidP="00D87A7F">
      <w:pPr>
        <w:spacing w:after="0" w:line="240" w:lineRule="auto"/>
        <w:ind w:left="720"/>
        <w:jc w:val="center"/>
        <w:rPr>
          <w:sz w:val="20"/>
          <w:szCs w:val="24"/>
        </w:rPr>
      </w:pPr>
      <w:r w:rsidRPr="00A70D9F">
        <w:rPr>
          <w:b/>
          <w:noProof/>
          <w:sz w:val="20"/>
          <w:szCs w:val="24"/>
        </w:rPr>
        <w:drawing>
          <wp:inline distT="0" distB="0" distL="0" distR="0">
            <wp:extent cx="4831379" cy="2259106"/>
            <wp:effectExtent l="19050" t="0" r="26371" b="7844"/>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5E6B" w:rsidRPr="00316541" w:rsidRDefault="00D87A7F" w:rsidP="00D87A7F">
      <w:pPr>
        <w:spacing w:after="0" w:line="240" w:lineRule="auto"/>
        <w:ind w:left="720"/>
        <w:rPr>
          <w:sz w:val="20"/>
          <w:szCs w:val="24"/>
        </w:rPr>
      </w:pPr>
      <w:r>
        <w:rPr>
          <w:sz w:val="20"/>
          <w:szCs w:val="24"/>
        </w:rPr>
        <w:t xml:space="preserve">In the above graph, </w:t>
      </w:r>
      <w:r w:rsidR="00316541">
        <w:rPr>
          <w:sz w:val="20"/>
          <w:szCs w:val="24"/>
        </w:rPr>
        <w:t>HVA 144 is the introduction to both the certificate and the degree.  HVA 190 and 194 represent terminal courses for the certificate. HVA 243 and 254 represent the final courses of two course sequences critical to the understanding of commercial HVAC.  HVA 278 is the capstone course for the degree program.</w:t>
      </w:r>
    </w:p>
    <w:p w:rsidR="00CB3060" w:rsidRPr="00CB3060" w:rsidRDefault="00CB3060" w:rsidP="00E20ED5">
      <w:pPr>
        <w:pStyle w:val="ListParagraph"/>
        <w:keepLines/>
        <w:numPr>
          <w:ilvl w:val="0"/>
          <w:numId w:val="1"/>
        </w:numPr>
        <w:rPr>
          <w:sz w:val="24"/>
          <w:szCs w:val="24"/>
        </w:rPr>
      </w:pPr>
      <w:r>
        <w:rPr>
          <w:sz w:val="24"/>
          <w:szCs w:val="24"/>
        </w:rPr>
        <w:lastRenderedPageBreak/>
        <w:t xml:space="preserve">Interpretation and Analysis of Data  </w:t>
      </w:r>
      <w:r w:rsidRPr="00CB3060">
        <w:rPr>
          <w:i/>
          <w:sz w:val="22"/>
          <w:szCs w:val="24"/>
        </w:rPr>
        <w:t xml:space="preserve">  </w:t>
      </w:r>
      <w:r w:rsidRPr="00CB3060">
        <w:rPr>
          <w:i/>
          <w:sz w:val="20"/>
          <w:szCs w:val="24"/>
        </w:rPr>
        <w:t>Suggestions</w:t>
      </w:r>
      <w:r>
        <w:rPr>
          <w:i/>
          <w:sz w:val="20"/>
          <w:szCs w:val="24"/>
        </w:rPr>
        <w:t xml:space="preserve">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w:t>
      </w:r>
      <w:r w:rsidR="006828F9">
        <w:rPr>
          <w:i/>
          <w:sz w:val="20"/>
          <w:szCs w:val="24"/>
        </w:rPr>
        <w:t>t</w:t>
      </w:r>
      <w:r>
        <w:rPr>
          <w:i/>
          <w:sz w:val="20"/>
          <w:szCs w:val="24"/>
        </w:rPr>
        <w:t>ment implement as a result of this data?</w:t>
      </w:r>
    </w:p>
    <w:p w:rsidR="00CB3060" w:rsidRDefault="001C70E3" w:rsidP="00625D7D">
      <w:pPr>
        <w:spacing w:after="240" w:line="240" w:lineRule="auto"/>
        <w:ind w:left="720"/>
        <w:rPr>
          <w:b/>
          <w:sz w:val="20"/>
          <w:szCs w:val="24"/>
        </w:rPr>
      </w:pPr>
      <w:r>
        <w:rPr>
          <w:sz w:val="20"/>
          <w:szCs w:val="24"/>
        </w:rPr>
        <w:t xml:space="preserve">There has been a substantial increase in enrollment as a result of a large influx of displaced workers.  Enrollment in both the HVAC Associate Degree Program and the </w:t>
      </w:r>
      <w:proofErr w:type="spellStart"/>
      <w:r>
        <w:rPr>
          <w:sz w:val="20"/>
          <w:szCs w:val="24"/>
        </w:rPr>
        <w:t>short</w:t>
      </w:r>
      <w:r>
        <w:rPr>
          <w:sz w:val="20"/>
          <w:szCs w:val="24"/>
        </w:rPr>
        <w:noBreakHyphen/>
        <w:t>term</w:t>
      </w:r>
      <w:proofErr w:type="spellEnd"/>
      <w:r>
        <w:rPr>
          <w:sz w:val="20"/>
          <w:szCs w:val="24"/>
        </w:rPr>
        <w:t xml:space="preserve"> certificate continue to rise, although there is probably substantial duplication in these numbers as many students receiving workforce retraining money declare for both the certificate and the degree with the intention of only completing the certificate.  The program still tends to be a predominantly “white male” program, although </w:t>
      </w:r>
      <w:proofErr w:type="spellStart"/>
      <w:r>
        <w:rPr>
          <w:sz w:val="20"/>
          <w:szCs w:val="24"/>
        </w:rPr>
        <w:t>African</w:t>
      </w:r>
      <w:r>
        <w:rPr>
          <w:sz w:val="20"/>
          <w:szCs w:val="24"/>
        </w:rPr>
        <w:noBreakHyphen/>
        <w:t>American</w:t>
      </w:r>
      <w:proofErr w:type="spellEnd"/>
      <w:r>
        <w:rPr>
          <w:sz w:val="20"/>
          <w:szCs w:val="24"/>
        </w:rPr>
        <w:t xml:space="preserve"> enrollment averages around 25%.  Female enrollment</w:t>
      </w:r>
      <w:r w:rsidR="00A52E15">
        <w:rPr>
          <w:sz w:val="20"/>
          <w:szCs w:val="24"/>
        </w:rPr>
        <w:t xml:space="preserve"> remains low in both programs averaging 2</w:t>
      </w:r>
      <w:r w:rsidR="00A52E15">
        <w:rPr>
          <w:sz w:val="20"/>
          <w:szCs w:val="24"/>
        </w:rPr>
        <w:noBreakHyphen/>
        <w:t>4% per year.  The average age of students in the degree program has been trending up, although the majority of students are still in the under 30 age group.  While not large, the number of students over 50 has been trending up with more displaced workers.</w:t>
      </w:r>
    </w:p>
    <w:p w:rsidR="00A94CC7" w:rsidRPr="00316541" w:rsidRDefault="00A52E15" w:rsidP="00625D7D">
      <w:pPr>
        <w:spacing w:after="240" w:line="240" w:lineRule="auto"/>
        <w:ind w:left="720"/>
        <w:rPr>
          <w:sz w:val="20"/>
          <w:szCs w:val="24"/>
        </w:rPr>
      </w:pPr>
      <w:r w:rsidRPr="00316541">
        <w:rPr>
          <w:sz w:val="20"/>
          <w:szCs w:val="24"/>
        </w:rPr>
        <w:t>Program completions have been reasonably stable.  The HVACR.AAS program</w:t>
      </w:r>
      <w:r w:rsidR="00255396" w:rsidRPr="00316541">
        <w:rPr>
          <w:sz w:val="20"/>
          <w:szCs w:val="24"/>
        </w:rPr>
        <w:t>, which replaces the HACO program,</w:t>
      </w:r>
      <w:r w:rsidRPr="00316541">
        <w:rPr>
          <w:sz w:val="20"/>
          <w:szCs w:val="24"/>
        </w:rPr>
        <w:t xml:space="preserve"> had its first graduate in 07</w:t>
      </w:r>
      <w:r w:rsidRPr="00316541">
        <w:rPr>
          <w:sz w:val="20"/>
          <w:szCs w:val="24"/>
        </w:rPr>
        <w:noBreakHyphen/>
        <w:t>08</w:t>
      </w:r>
      <w:r w:rsidR="00255396" w:rsidRPr="00316541">
        <w:rPr>
          <w:sz w:val="20"/>
          <w:szCs w:val="24"/>
        </w:rPr>
        <w:t xml:space="preserve">.  </w:t>
      </w:r>
      <w:r w:rsidR="00A94CC7" w:rsidRPr="00316541">
        <w:rPr>
          <w:sz w:val="20"/>
          <w:szCs w:val="24"/>
        </w:rPr>
        <w:t xml:space="preserve">Most students with a declared major code of </w:t>
      </w:r>
      <w:r w:rsidR="00255396" w:rsidRPr="00316541">
        <w:rPr>
          <w:sz w:val="20"/>
          <w:szCs w:val="24"/>
        </w:rPr>
        <w:t xml:space="preserve">HACO </w:t>
      </w:r>
      <w:r w:rsidR="00A94CC7" w:rsidRPr="00316541">
        <w:rPr>
          <w:sz w:val="20"/>
          <w:szCs w:val="24"/>
        </w:rPr>
        <w:t xml:space="preserve">have </w:t>
      </w:r>
      <w:r w:rsidRPr="00316541">
        <w:rPr>
          <w:sz w:val="20"/>
          <w:szCs w:val="24"/>
        </w:rPr>
        <w:t>graduate</w:t>
      </w:r>
      <w:r w:rsidR="00D256F6" w:rsidRPr="00316541">
        <w:rPr>
          <w:sz w:val="20"/>
          <w:szCs w:val="24"/>
        </w:rPr>
        <w:t>d</w:t>
      </w:r>
      <w:r w:rsidR="00A94CC7" w:rsidRPr="00316541">
        <w:rPr>
          <w:sz w:val="20"/>
          <w:szCs w:val="24"/>
        </w:rPr>
        <w:t>; there is but a handful left.</w:t>
      </w:r>
    </w:p>
    <w:p w:rsidR="00A52E15" w:rsidRDefault="00A52E15" w:rsidP="00625D7D">
      <w:pPr>
        <w:spacing w:after="240" w:line="240" w:lineRule="auto"/>
        <w:ind w:left="720"/>
        <w:rPr>
          <w:sz w:val="20"/>
          <w:szCs w:val="24"/>
        </w:rPr>
      </w:pPr>
      <w:r w:rsidRPr="00316541">
        <w:rPr>
          <w:sz w:val="20"/>
          <w:szCs w:val="24"/>
        </w:rPr>
        <w:t xml:space="preserve">The enrollment in </w:t>
      </w:r>
      <w:r w:rsidR="00A94CC7" w:rsidRPr="00316541">
        <w:rPr>
          <w:sz w:val="20"/>
          <w:szCs w:val="24"/>
        </w:rPr>
        <w:t>first year</w:t>
      </w:r>
      <w:r w:rsidRPr="00316541">
        <w:rPr>
          <w:sz w:val="20"/>
          <w:szCs w:val="24"/>
        </w:rPr>
        <w:t xml:space="preserve"> HVACR 2</w:t>
      </w:r>
      <w:r w:rsidRPr="00316541">
        <w:rPr>
          <w:sz w:val="20"/>
          <w:szCs w:val="24"/>
        </w:rPr>
        <w:noBreakHyphen/>
        <w:t xml:space="preserve">year classes has increased recently.  Historically, HVAC students have not completed degree graduation requirements citing lack of interest in taking their general education, mathematics, and science requirements.  However, </w:t>
      </w:r>
      <w:r w:rsidR="00A94CC7" w:rsidRPr="00316541">
        <w:rPr>
          <w:sz w:val="20"/>
          <w:szCs w:val="24"/>
        </w:rPr>
        <w:t xml:space="preserve">in recent years, department </w:t>
      </w:r>
      <w:proofErr w:type="gramStart"/>
      <w:r w:rsidR="00A94CC7" w:rsidRPr="00316541">
        <w:rPr>
          <w:sz w:val="20"/>
          <w:szCs w:val="24"/>
        </w:rPr>
        <w:t>faculty continually emphasize</w:t>
      </w:r>
      <w:proofErr w:type="gramEnd"/>
      <w:r w:rsidR="00A94CC7" w:rsidRPr="00316541">
        <w:rPr>
          <w:sz w:val="20"/>
          <w:szCs w:val="24"/>
        </w:rPr>
        <w:t xml:space="preserve"> the importance </w:t>
      </w:r>
      <w:r w:rsidRPr="00316541">
        <w:rPr>
          <w:sz w:val="20"/>
          <w:szCs w:val="24"/>
        </w:rPr>
        <w:t>of life</w:t>
      </w:r>
      <w:r w:rsidRPr="00316541">
        <w:rPr>
          <w:sz w:val="20"/>
          <w:szCs w:val="24"/>
        </w:rPr>
        <w:noBreakHyphen/>
        <w:t>long learning</w:t>
      </w:r>
      <w:r w:rsidR="00A94CC7" w:rsidRPr="00316541">
        <w:rPr>
          <w:sz w:val="20"/>
          <w:szCs w:val="24"/>
        </w:rPr>
        <w:t>.  This emphasis manifests</w:t>
      </w:r>
      <w:r w:rsidRPr="00316541">
        <w:rPr>
          <w:sz w:val="20"/>
          <w:szCs w:val="24"/>
        </w:rPr>
        <w:t xml:space="preserve"> </w:t>
      </w:r>
      <w:r w:rsidR="00A94CC7" w:rsidRPr="00316541">
        <w:rPr>
          <w:sz w:val="20"/>
          <w:szCs w:val="24"/>
        </w:rPr>
        <w:t xml:space="preserve">itself primarily </w:t>
      </w:r>
      <w:r w:rsidRPr="00316541">
        <w:rPr>
          <w:sz w:val="20"/>
          <w:szCs w:val="24"/>
        </w:rPr>
        <w:t>through required attendance</w:t>
      </w:r>
      <w:r w:rsidR="00A94CC7" w:rsidRPr="00316541">
        <w:rPr>
          <w:sz w:val="20"/>
          <w:szCs w:val="24"/>
        </w:rPr>
        <w:t xml:space="preserve"> (as part of select courses)</w:t>
      </w:r>
      <w:r w:rsidRPr="00316541">
        <w:rPr>
          <w:sz w:val="20"/>
          <w:szCs w:val="24"/>
        </w:rPr>
        <w:t xml:space="preserve"> of local ASHRAE meetings</w:t>
      </w:r>
      <w:r w:rsidR="00A94CC7" w:rsidRPr="00316541">
        <w:rPr>
          <w:sz w:val="20"/>
          <w:szCs w:val="24"/>
        </w:rPr>
        <w:t>.  Secondarily, use of industry guest lecturers and</w:t>
      </w:r>
      <w:r w:rsidRPr="00316541">
        <w:rPr>
          <w:sz w:val="20"/>
          <w:szCs w:val="24"/>
        </w:rPr>
        <w:t xml:space="preserve"> </w:t>
      </w:r>
      <w:r w:rsidR="00A94CC7" w:rsidRPr="00316541">
        <w:rPr>
          <w:sz w:val="20"/>
          <w:szCs w:val="24"/>
        </w:rPr>
        <w:t>field trips to industry partners allow the student to ask specific questions that tend to validate not only the requirement to graduate, but also the necessity to continue one’s education after graduation.</w:t>
      </w:r>
    </w:p>
    <w:p w:rsidR="00CB3060" w:rsidRDefault="00CB3060" w:rsidP="00CB3060">
      <w:pPr>
        <w:rPr>
          <w:sz w:val="24"/>
          <w:szCs w:val="24"/>
          <w:u w:val="single"/>
        </w:rPr>
      </w:pPr>
      <w:r>
        <w:rPr>
          <w:sz w:val="24"/>
          <w:szCs w:val="24"/>
          <w:u w:val="single"/>
        </w:rPr>
        <w:t xml:space="preserve">Section II: Progress </w:t>
      </w:r>
      <w:proofErr w:type="gramStart"/>
      <w:r>
        <w:rPr>
          <w:sz w:val="24"/>
          <w:szCs w:val="24"/>
          <w:u w:val="single"/>
        </w:rPr>
        <w:t>Since</w:t>
      </w:r>
      <w:proofErr w:type="gramEnd"/>
      <w:r>
        <w:rPr>
          <w:sz w:val="24"/>
          <w:szCs w:val="24"/>
          <w:u w:val="single"/>
        </w:rPr>
        <w:t xml:space="preserve"> the Most Recent Review</w:t>
      </w:r>
    </w:p>
    <w:p w:rsidR="00CB3060" w:rsidRPr="00D87A7F" w:rsidRDefault="00CB3060" w:rsidP="00CB3060">
      <w:pPr>
        <w:pStyle w:val="ListParagraph"/>
        <w:numPr>
          <w:ilvl w:val="0"/>
          <w:numId w:val="2"/>
        </w:numPr>
        <w:spacing w:after="240" w:line="240" w:lineRule="auto"/>
        <w:contextualSpacing w:val="0"/>
        <w:rPr>
          <w:sz w:val="20"/>
          <w:szCs w:val="24"/>
        </w:rPr>
      </w:pPr>
      <w:r w:rsidRPr="00D87A7F">
        <w:rPr>
          <w:sz w:val="20"/>
          <w:szCs w:val="24"/>
        </w:rPr>
        <w:t>What was the fiscal year of the most recent Program Review for this program?</w:t>
      </w:r>
      <w:r w:rsidRPr="00D87A7F">
        <w:rPr>
          <w:sz w:val="20"/>
          <w:szCs w:val="24"/>
        </w:rPr>
        <w:br/>
      </w:r>
      <w:r w:rsidRPr="00D87A7F">
        <w:rPr>
          <w:sz w:val="20"/>
          <w:szCs w:val="24"/>
        </w:rPr>
        <w:br/>
        <w:t>2010-2011</w:t>
      </w:r>
    </w:p>
    <w:p w:rsidR="00374403" w:rsidRPr="00D87A7F" w:rsidRDefault="00CB3060" w:rsidP="00374403">
      <w:pPr>
        <w:pStyle w:val="ListParagraph"/>
        <w:numPr>
          <w:ilvl w:val="0"/>
          <w:numId w:val="2"/>
        </w:numPr>
        <w:spacing w:after="240"/>
        <w:contextualSpacing w:val="0"/>
        <w:rPr>
          <w:sz w:val="20"/>
          <w:szCs w:val="24"/>
        </w:rPr>
      </w:pPr>
      <w:r w:rsidRPr="00D87A7F">
        <w:rPr>
          <w:sz w:val="20"/>
          <w:szCs w:val="24"/>
        </w:rPr>
        <w:t>Briefly summarize the goals that were listed in Section IV part E of the most recent Program Review Self-Study (this section of the Self-Study asks “What are the department’s/program’s goals and rationale for expanding and improving student learning, including new courses, programs, delivery formats and locations”)?</w:t>
      </w:r>
      <w:r w:rsidRPr="00D87A7F">
        <w:rPr>
          <w:sz w:val="20"/>
          <w:szCs w:val="24"/>
        </w:rPr>
        <w:br/>
      </w:r>
      <w:r w:rsidRPr="00D87A7F">
        <w:rPr>
          <w:sz w:val="20"/>
          <w:szCs w:val="24"/>
        </w:rPr>
        <w:br/>
      </w:r>
      <w:r w:rsidR="00374403" w:rsidRPr="00D87A7F">
        <w:rPr>
          <w:sz w:val="20"/>
          <w:szCs w:val="24"/>
        </w:rPr>
        <w:t>Increasing delivery options for course materials</w:t>
      </w:r>
      <w:r w:rsidR="00374403" w:rsidRPr="00D87A7F">
        <w:rPr>
          <w:sz w:val="20"/>
          <w:szCs w:val="24"/>
        </w:rPr>
        <w:br/>
        <w:t>Increasing project-based learning in classes</w:t>
      </w:r>
      <w:r w:rsidR="00374403" w:rsidRPr="00D87A7F">
        <w:rPr>
          <w:sz w:val="20"/>
          <w:szCs w:val="24"/>
        </w:rPr>
        <w:br/>
        <w:t>Embedding new material as technology and the state of the profession changes</w:t>
      </w:r>
    </w:p>
    <w:p w:rsidR="00374403" w:rsidRPr="00F070FA" w:rsidRDefault="00374403" w:rsidP="00374403">
      <w:pPr>
        <w:pStyle w:val="ListParagraph"/>
        <w:numPr>
          <w:ilvl w:val="0"/>
          <w:numId w:val="2"/>
        </w:numPr>
        <w:spacing w:after="240"/>
        <w:contextualSpacing w:val="0"/>
        <w:rPr>
          <w:sz w:val="20"/>
          <w:szCs w:val="24"/>
        </w:rPr>
      </w:pPr>
      <w:r>
        <w:rPr>
          <w:sz w:val="20"/>
          <w:szCs w:val="24"/>
        </w:rPr>
        <w:t>Have these goals changed since your last Program Review Self-Study?  If so, please describe the changes.</w:t>
      </w:r>
      <w:r>
        <w:rPr>
          <w:sz w:val="20"/>
          <w:szCs w:val="24"/>
        </w:rPr>
        <w:br/>
      </w:r>
      <w:r>
        <w:rPr>
          <w:sz w:val="20"/>
          <w:szCs w:val="24"/>
        </w:rPr>
        <w:br/>
      </w:r>
      <w:r w:rsidR="00BE163D" w:rsidRPr="00F070FA">
        <w:rPr>
          <w:sz w:val="20"/>
          <w:szCs w:val="24"/>
        </w:rPr>
        <w:t>There is little</w:t>
      </w:r>
      <w:r w:rsidRPr="00F070FA">
        <w:rPr>
          <w:sz w:val="20"/>
          <w:szCs w:val="24"/>
        </w:rPr>
        <w:t xml:space="preserve"> emphasis on different delivery modes</w:t>
      </w:r>
      <w:r w:rsidR="00BE163D" w:rsidRPr="00F070FA">
        <w:rPr>
          <w:sz w:val="20"/>
          <w:szCs w:val="24"/>
        </w:rPr>
        <w:t xml:space="preserve"> at this time.  The </w:t>
      </w:r>
      <w:r w:rsidR="009319C2" w:rsidRPr="00F070FA">
        <w:rPr>
          <w:sz w:val="20"/>
          <w:szCs w:val="24"/>
        </w:rPr>
        <w:t xml:space="preserve">sole </w:t>
      </w:r>
      <w:r w:rsidR="00BE163D" w:rsidRPr="00F070FA">
        <w:rPr>
          <w:sz w:val="20"/>
          <w:szCs w:val="24"/>
        </w:rPr>
        <w:t>exception is to use more</w:t>
      </w:r>
      <w:r w:rsidR="00A77FF5" w:rsidRPr="00F070FA">
        <w:rPr>
          <w:sz w:val="20"/>
          <w:szCs w:val="24"/>
        </w:rPr>
        <w:t xml:space="preserve"> industry published material (usually via the Internet),</w:t>
      </w:r>
      <w:r w:rsidR="00BE163D" w:rsidRPr="00F070FA">
        <w:rPr>
          <w:sz w:val="20"/>
          <w:szCs w:val="24"/>
        </w:rPr>
        <w:t xml:space="preserve"> </w:t>
      </w:r>
      <w:proofErr w:type="spellStart"/>
      <w:r w:rsidR="00BE163D" w:rsidRPr="00F070FA">
        <w:rPr>
          <w:sz w:val="20"/>
          <w:szCs w:val="24"/>
        </w:rPr>
        <w:t>Internet</w:t>
      </w:r>
      <w:r w:rsidR="00BE163D" w:rsidRPr="00F070FA">
        <w:rPr>
          <w:sz w:val="20"/>
          <w:szCs w:val="24"/>
        </w:rPr>
        <w:noBreakHyphen/>
        <w:t>based</w:t>
      </w:r>
      <w:proofErr w:type="spellEnd"/>
      <w:r w:rsidR="00BE163D" w:rsidRPr="00F070FA">
        <w:rPr>
          <w:sz w:val="20"/>
          <w:szCs w:val="24"/>
        </w:rPr>
        <w:t xml:space="preserve"> material</w:t>
      </w:r>
      <w:r w:rsidR="00A77FF5" w:rsidRPr="00F070FA">
        <w:rPr>
          <w:sz w:val="20"/>
          <w:szCs w:val="24"/>
        </w:rPr>
        <w:t xml:space="preserve">, </w:t>
      </w:r>
      <w:r w:rsidR="009319C2" w:rsidRPr="00F070FA">
        <w:rPr>
          <w:sz w:val="20"/>
          <w:szCs w:val="24"/>
        </w:rPr>
        <w:t xml:space="preserve">and </w:t>
      </w:r>
      <w:r w:rsidR="00A77FF5" w:rsidRPr="00F070FA">
        <w:rPr>
          <w:sz w:val="20"/>
          <w:szCs w:val="24"/>
        </w:rPr>
        <w:t xml:space="preserve">HVAC industry </w:t>
      </w:r>
      <w:r w:rsidR="009319C2" w:rsidRPr="00F070FA">
        <w:rPr>
          <w:sz w:val="20"/>
          <w:szCs w:val="24"/>
        </w:rPr>
        <w:t>websites such as ASHRAE.org</w:t>
      </w:r>
      <w:r w:rsidR="00A77FF5" w:rsidRPr="00F070FA">
        <w:rPr>
          <w:sz w:val="20"/>
          <w:szCs w:val="24"/>
        </w:rPr>
        <w:t xml:space="preserve"> (W</w:t>
      </w:r>
      <w:r w:rsidR="00BE163D" w:rsidRPr="00F070FA">
        <w:rPr>
          <w:sz w:val="20"/>
          <w:szCs w:val="24"/>
        </w:rPr>
        <w:t>ebsite of the American Society for Heating, Refrigeration, and Air Conditioning Engineers</w:t>
      </w:r>
      <w:r w:rsidR="00A77FF5" w:rsidRPr="00F070FA">
        <w:rPr>
          <w:sz w:val="20"/>
          <w:szCs w:val="24"/>
        </w:rPr>
        <w:t>)</w:t>
      </w:r>
      <w:r w:rsidR="00A02248" w:rsidRPr="00F070FA">
        <w:rPr>
          <w:sz w:val="20"/>
          <w:szCs w:val="24"/>
        </w:rPr>
        <w:t xml:space="preserve"> and</w:t>
      </w:r>
      <w:r w:rsidR="00D87A7F">
        <w:rPr>
          <w:sz w:val="20"/>
          <w:szCs w:val="24"/>
        </w:rPr>
        <w:t xml:space="preserve"> the</w:t>
      </w:r>
      <w:r w:rsidR="00A02248" w:rsidRPr="00F070FA">
        <w:rPr>
          <w:sz w:val="20"/>
          <w:szCs w:val="24"/>
        </w:rPr>
        <w:t xml:space="preserve"> HPAC</w:t>
      </w:r>
      <w:r w:rsidR="00D87A7F">
        <w:rPr>
          <w:sz w:val="20"/>
          <w:szCs w:val="24"/>
        </w:rPr>
        <w:t xml:space="preserve"> (Heating, Piping and Air Conditioning)</w:t>
      </w:r>
      <w:r w:rsidR="00A02248" w:rsidRPr="00F070FA">
        <w:rPr>
          <w:sz w:val="20"/>
          <w:szCs w:val="24"/>
        </w:rPr>
        <w:t xml:space="preserve"> Magazine website</w:t>
      </w:r>
      <w:r w:rsidR="00BE163D" w:rsidRPr="00F070FA">
        <w:rPr>
          <w:sz w:val="20"/>
          <w:szCs w:val="24"/>
        </w:rPr>
        <w:t xml:space="preserve">.  </w:t>
      </w:r>
      <w:r w:rsidR="00A77FF5" w:rsidRPr="00F070FA">
        <w:rPr>
          <w:sz w:val="20"/>
          <w:szCs w:val="24"/>
        </w:rPr>
        <w:lastRenderedPageBreak/>
        <w:t xml:space="preserve">Our primary emphasis </w:t>
      </w:r>
      <w:r w:rsidR="00A02248" w:rsidRPr="00F070FA">
        <w:rPr>
          <w:sz w:val="20"/>
          <w:szCs w:val="24"/>
        </w:rPr>
        <w:t>does remain</w:t>
      </w:r>
      <w:r w:rsidR="00A77FF5" w:rsidRPr="00F070FA">
        <w:rPr>
          <w:sz w:val="20"/>
          <w:szCs w:val="24"/>
        </w:rPr>
        <w:t xml:space="preserve"> on the </w:t>
      </w:r>
      <w:r w:rsidR="00BE163D" w:rsidRPr="00F070FA">
        <w:rPr>
          <w:sz w:val="20"/>
          <w:szCs w:val="24"/>
        </w:rPr>
        <w:t>later two goals</w:t>
      </w:r>
      <w:r w:rsidR="00A02248" w:rsidRPr="00F070FA">
        <w:rPr>
          <w:sz w:val="20"/>
          <w:szCs w:val="24"/>
        </w:rPr>
        <w:t xml:space="preserve">: </w:t>
      </w:r>
      <w:proofErr w:type="spellStart"/>
      <w:r w:rsidR="00A02248" w:rsidRPr="00F070FA">
        <w:rPr>
          <w:sz w:val="20"/>
          <w:szCs w:val="24"/>
        </w:rPr>
        <w:t>project</w:t>
      </w:r>
      <w:r w:rsidR="00A02248" w:rsidRPr="00F070FA">
        <w:rPr>
          <w:sz w:val="20"/>
          <w:szCs w:val="24"/>
        </w:rPr>
        <w:noBreakHyphen/>
        <w:t>based</w:t>
      </w:r>
      <w:proofErr w:type="spellEnd"/>
      <w:r w:rsidR="00A02248" w:rsidRPr="00F070FA">
        <w:rPr>
          <w:sz w:val="20"/>
          <w:szCs w:val="24"/>
        </w:rPr>
        <w:t xml:space="preserve"> learning and the use of new and innovative materials</w:t>
      </w:r>
      <w:r w:rsidR="00BE163D" w:rsidRPr="00F070FA">
        <w:rPr>
          <w:sz w:val="20"/>
          <w:szCs w:val="24"/>
        </w:rPr>
        <w:t xml:space="preserve">.  Project-based learning </w:t>
      </w:r>
      <w:r w:rsidR="009319C2" w:rsidRPr="00F070FA">
        <w:rPr>
          <w:sz w:val="20"/>
          <w:szCs w:val="24"/>
        </w:rPr>
        <w:t xml:space="preserve">is the mainstay of our </w:t>
      </w:r>
      <w:r w:rsidRPr="00F070FA">
        <w:rPr>
          <w:sz w:val="20"/>
          <w:szCs w:val="24"/>
        </w:rPr>
        <w:t>integrated capstone project</w:t>
      </w:r>
      <w:r w:rsidR="00A77FF5" w:rsidRPr="00F070FA">
        <w:rPr>
          <w:sz w:val="20"/>
          <w:szCs w:val="24"/>
        </w:rPr>
        <w:t xml:space="preserve">.  We also continue to </w:t>
      </w:r>
      <w:r w:rsidR="00BE163D" w:rsidRPr="00F070FA">
        <w:rPr>
          <w:sz w:val="20"/>
          <w:szCs w:val="24"/>
        </w:rPr>
        <w:t>expand</w:t>
      </w:r>
      <w:r w:rsidR="009319C2" w:rsidRPr="00F070FA">
        <w:rPr>
          <w:sz w:val="20"/>
          <w:szCs w:val="24"/>
        </w:rPr>
        <w:t xml:space="preserve"> </w:t>
      </w:r>
      <w:proofErr w:type="spellStart"/>
      <w:r w:rsidR="00A77FF5" w:rsidRPr="00F070FA">
        <w:rPr>
          <w:sz w:val="20"/>
          <w:szCs w:val="24"/>
        </w:rPr>
        <w:t>project</w:t>
      </w:r>
      <w:r w:rsidR="00A77FF5" w:rsidRPr="00F070FA">
        <w:rPr>
          <w:sz w:val="20"/>
          <w:szCs w:val="24"/>
        </w:rPr>
        <w:noBreakHyphen/>
        <w:t>based</w:t>
      </w:r>
      <w:proofErr w:type="spellEnd"/>
      <w:r w:rsidR="00A77FF5" w:rsidRPr="00F070FA">
        <w:rPr>
          <w:sz w:val="20"/>
          <w:szCs w:val="24"/>
        </w:rPr>
        <w:t xml:space="preserve"> learning </w:t>
      </w:r>
      <w:r w:rsidR="009319C2" w:rsidRPr="00F070FA">
        <w:rPr>
          <w:sz w:val="20"/>
          <w:szCs w:val="24"/>
        </w:rPr>
        <w:t xml:space="preserve">within </w:t>
      </w:r>
      <w:r w:rsidR="00BE163D" w:rsidRPr="00F070FA">
        <w:rPr>
          <w:sz w:val="20"/>
          <w:szCs w:val="24"/>
        </w:rPr>
        <w:t>both of our HVAC control courses</w:t>
      </w:r>
      <w:r w:rsidR="00024B50">
        <w:rPr>
          <w:sz w:val="20"/>
          <w:szCs w:val="24"/>
        </w:rPr>
        <w:t>, HVA 240 and HVA </w:t>
      </w:r>
      <w:r w:rsidR="00A77FF5" w:rsidRPr="00F070FA">
        <w:rPr>
          <w:sz w:val="20"/>
          <w:szCs w:val="24"/>
        </w:rPr>
        <w:t>243.  In this</w:t>
      </w:r>
      <w:r w:rsidR="00BE163D" w:rsidRPr="00F070FA">
        <w:rPr>
          <w:sz w:val="20"/>
          <w:szCs w:val="24"/>
        </w:rPr>
        <w:t xml:space="preserve"> later case, </w:t>
      </w:r>
      <w:r w:rsidR="00A02248" w:rsidRPr="00F070FA">
        <w:rPr>
          <w:sz w:val="20"/>
          <w:szCs w:val="24"/>
        </w:rPr>
        <w:t xml:space="preserve">this expansion necessarily </w:t>
      </w:r>
      <w:r w:rsidR="00BE163D" w:rsidRPr="00F070FA">
        <w:rPr>
          <w:sz w:val="20"/>
          <w:szCs w:val="24"/>
        </w:rPr>
        <w:t xml:space="preserve">involves the incorporation of </w:t>
      </w:r>
      <w:r w:rsidRPr="00F070FA">
        <w:rPr>
          <w:sz w:val="20"/>
          <w:szCs w:val="24"/>
        </w:rPr>
        <w:t xml:space="preserve">new </w:t>
      </w:r>
      <w:r w:rsidR="00BE163D" w:rsidRPr="00F070FA">
        <w:rPr>
          <w:sz w:val="20"/>
          <w:szCs w:val="24"/>
        </w:rPr>
        <w:t xml:space="preserve">control </w:t>
      </w:r>
      <w:r w:rsidR="00A77FF5" w:rsidRPr="00F070FA">
        <w:rPr>
          <w:sz w:val="20"/>
          <w:szCs w:val="24"/>
        </w:rPr>
        <w:t>hardware and technology</w:t>
      </w:r>
      <w:r w:rsidR="00D97C23" w:rsidRPr="00F070FA">
        <w:rPr>
          <w:sz w:val="20"/>
          <w:szCs w:val="24"/>
        </w:rPr>
        <w:t>, our third goal.</w:t>
      </w:r>
    </w:p>
    <w:p w:rsidR="00374403" w:rsidRPr="00F070FA" w:rsidRDefault="00374403" w:rsidP="00121D1B">
      <w:pPr>
        <w:pStyle w:val="ListParagraph"/>
        <w:numPr>
          <w:ilvl w:val="0"/>
          <w:numId w:val="2"/>
        </w:numPr>
        <w:spacing w:after="240"/>
        <w:contextualSpacing w:val="0"/>
        <w:rPr>
          <w:sz w:val="20"/>
          <w:szCs w:val="24"/>
        </w:rPr>
      </w:pPr>
      <w:r w:rsidRPr="00A02248">
        <w:rPr>
          <w:sz w:val="20"/>
          <w:szCs w:val="24"/>
        </w:rPr>
        <w:t>What progress has been made toward meeting any of the goals listed above in the past year?</w:t>
      </w:r>
      <w:r w:rsidRPr="00A02248">
        <w:rPr>
          <w:sz w:val="20"/>
          <w:szCs w:val="24"/>
        </w:rPr>
        <w:br/>
      </w:r>
      <w:r w:rsidRPr="00A02248">
        <w:rPr>
          <w:sz w:val="20"/>
          <w:szCs w:val="24"/>
        </w:rPr>
        <w:br/>
        <w:t>Continued implementation of a multi-disciplinary integrated capstone (</w:t>
      </w:r>
      <w:r w:rsidR="00D97C23" w:rsidRPr="00A02248">
        <w:rPr>
          <w:sz w:val="20"/>
          <w:szCs w:val="24"/>
        </w:rPr>
        <w:t>3</w:t>
      </w:r>
      <w:r w:rsidR="00D97C23" w:rsidRPr="00A02248">
        <w:rPr>
          <w:sz w:val="20"/>
          <w:szCs w:val="24"/>
          <w:vertAlign w:val="superscript"/>
        </w:rPr>
        <w:t>rd</w:t>
      </w:r>
      <w:r w:rsidR="00D97C23" w:rsidRPr="00A02248">
        <w:rPr>
          <w:sz w:val="20"/>
          <w:szCs w:val="24"/>
        </w:rPr>
        <w:t xml:space="preserve"> </w:t>
      </w:r>
      <w:r w:rsidRPr="00A02248">
        <w:rPr>
          <w:sz w:val="20"/>
          <w:szCs w:val="24"/>
        </w:rPr>
        <w:t>year of new format)</w:t>
      </w:r>
      <w:r w:rsidR="00A02248" w:rsidRPr="00A02248">
        <w:rPr>
          <w:sz w:val="20"/>
          <w:szCs w:val="24"/>
        </w:rPr>
        <w:t xml:space="preserve"> including the requirement of maintenance of a personal journal (i.e.: project documentation) over the course of the capstone project</w:t>
      </w:r>
      <w:r w:rsidRPr="00A02248">
        <w:rPr>
          <w:sz w:val="20"/>
          <w:szCs w:val="24"/>
        </w:rPr>
        <w:t>.</w:t>
      </w:r>
      <w:r w:rsidR="00A02248" w:rsidRPr="00A02248">
        <w:rPr>
          <w:sz w:val="20"/>
          <w:szCs w:val="24"/>
        </w:rPr>
        <w:br/>
      </w:r>
      <w:r w:rsidRPr="00A02248">
        <w:rPr>
          <w:sz w:val="20"/>
          <w:szCs w:val="24"/>
        </w:rPr>
        <w:br/>
      </w:r>
      <w:r w:rsidRPr="00F070FA">
        <w:rPr>
          <w:sz w:val="20"/>
          <w:szCs w:val="24"/>
        </w:rPr>
        <w:t>Incorporat</w:t>
      </w:r>
      <w:r w:rsidR="00A02248" w:rsidRPr="00F070FA">
        <w:rPr>
          <w:sz w:val="20"/>
          <w:szCs w:val="24"/>
        </w:rPr>
        <w:t xml:space="preserve">ion of the </w:t>
      </w:r>
      <w:proofErr w:type="spellStart"/>
      <w:r w:rsidR="00A02248" w:rsidRPr="00F070FA">
        <w:rPr>
          <w:sz w:val="20"/>
          <w:szCs w:val="24"/>
        </w:rPr>
        <w:t>Tridium</w:t>
      </w:r>
      <w:proofErr w:type="spellEnd"/>
      <w:r w:rsidR="00A02248" w:rsidRPr="00F070FA">
        <w:rPr>
          <w:sz w:val="20"/>
          <w:szCs w:val="24"/>
        </w:rPr>
        <w:t xml:space="preserve"> Niagara AX control platform into the first HVAC controls course, HVA 240.  Last year, the </w:t>
      </w:r>
      <w:proofErr w:type="spellStart"/>
      <w:r w:rsidR="00A02248" w:rsidRPr="00F070FA">
        <w:rPr>
          <w:sz w:val="20"/>
          <w:szCs w:val="24"/>
        </w:rPr>
        <w:t>Tridium</w:t>
      </w:r>
      <w:proofErr w:type="spellEnd"/>
      <w:r w:rsidR="00A02248" w:rsidRPr="00F070FA">
        <w:rPr>
          <w:sz w:val="20"/>
          <w:szCs w:val="24"/>
        </w:rPr>
        <w:t xml:space="preserve"> Niagara AX platform was introduced into our second HVAC controls</w:t>
      </w:r>
      <w:r w:rsidRPr="00F070FA">
        <w:rPr>
          <w:sz w:val="20"/>
          <w:szCs w:val="24"/>
        </w:rPr>
        <w:t xml:space="preserve"> course</w:t>
      </w:r>
      <w:r w:rsidR="00A02248" w:rsidRPr="00F070FA">
        <w:rPr>
          <w:sz w:val="20"/>
          <w:szCs w:val="24"/>
        </w:rPr>
        <w:t>, HVA 243</w:t>
      </w:r>
      <w:r w:rsidRPr="00F070FA">
        <w:rPr>
          <w:sz w:val="20"/>
          <w:szCs w:val="24"/>
        </w:rPr>
        <w:t xml:space="preserve">.  </w:t>
      </w:r>
      <w:r w:rsidR="00A02248" w:rsidRPr="00F070FA">
        <w:rPr>
          <w:sz w:val="20"/>
          <w:szCs w:val="24"/>
        </w:rPr>
        <w:t xml:space="preserve">This illustrated the need to introduce the technology much sooner.  As such, HVA 240 is now benefiting from the introduction of this technology by introducing small, session length group projects involving the </w:t>
      </w:r>
      <w:proofErr w:type="spellStart"/>
      <w:r w:rsidR="00A02248" w:rsidRPr="00F070FA">
        <w:rPr>
          <w:sz w:val="20"/>
          <w:szCs w:val="24"/>
        </w:rPr>
        <w:t>Tridium</w:t>
      </w:r>
      <w:proofErr w:type="spellEnd"/>
      <w:r w:rsidR="00A02248" w:rsidRPr="00F070FA">
        <w:rPr>
          <w:sz w:val="20"/>
          <w:szCs w:val="24"/>
        </w:rPr>
        <w:t xml:space="preserve"> hardware.</w:t>
      </w:r>
    </w:p>
    <w:p w:rsidR="00374403" w:rsidRPr="00D87A7F" w:rsidRDefault="00374403" w:rsidP="00121D1B">
      <w:pPr>
        <w:pStyle w:val="ListParagraph"/>
        <w:numPr>
          <w:ilvl w:val="0"/>
          <w:numId w:val="2"/>
        </w:numPr>
        <w:spacing w:after="240"/>
        <w:contextualSpacing w:val="0"/>
        <w:rPr>
          <w:sz w:val="20"/>
          <w:szCs w:val="24"/>
        </w:rPr>
      </w:pPr>
      <w:r w:rsidRPr="00D87A7F">
        <w:rPr>
          <w:sz w:val="20"/>
          <w:szCs w:val="24"/>
        </w:rPr>
        <w:t>What recommendations for Action were made by the review team to the most recent Program Review?  What progress has been made towards meeting these recommendations in the past year?</w:t>
      </w:r>
    </w:p>
    <w:p w:rsidR="00374403" w:rsidRPr="00D87A7F" w:rsidRDefault="00374403" w:rsidP="00121D1B">
      <w:pPr>
        <w:pStyle w:val="ListParagraph"/>
        <w:numPr>
          <w:ilvl w:val="1"/>
          <w:numId w:val="2"/>
        </w:numPr>
        <w:spacing w:after="240"/>
        <w:contextualSpacing w:val="0"/>
        <w:rPr>
          <w:sz w:val="20"/>
          <w:szCs w:val="24"/>
        </w:rPr>
      </w:pPr>
      <w:r w:rsidRPr="00D87A7F">
        <w:rPr>
          <w:sz w:val="20"/>
          <w:szCs w:val="24"/>
        </w:rPr>
        <w:t xml:space="preserve">Increased marketing of the HVAC programs </w:t>
      </w:r>
      <w:r w:rsidR="000D35D6" w:rsidRPr="00D87A7F">
        <w:rPr>
          <w:sz w:val="20"/>
          <w:szCs w:val="24"/>
        </w:rPr>
        <w:t xml:space="preserve">is recommended.  Currently the program is at about 67% capacity, thus an increase of 50% is achievable within current resources.  Last year, there was a </w:t>
      </w:r>
      <w:r w:rsidRPr="00D87A7F">
        <w:rPr>
          <w:sz w:val="20"/>
          <w:szCs w:val="24"/>
        </w:rPr>
        <w:t xml:space="preserve">short-term weakening in the job market for </w:t>
      </w:r>
      <w:r w:rsidR="000D35D6" w:rsidRPr="00D87A7F">
        <w:rPr>
          <w:sz w:val="20"/>
          <w:szCs w:val="24"/>
        </w:rPr>
        <w:t xml:space="preserve">our </w:t>
      </w:r>
      <w:r w:rsidRPr="00D87A7F">
        <w:rPr>
          <w:sz w:val="20"/>
          <w:szCs w:val="24"/>
        </w:rPr>
        <w:t>graduates</w:t>
      </w:r>
      <w:r w:rsidR="000D35D6" w:rsidRPr="00D87A7F">
        <w:rPr>
          <w:sz w:val="20"/>
          <w:szCs w:val="24"/>
        </w:rPr>
        <w:t>.  Although demand for graduates has not changed significantly from last year, it has risen to some extent.  As such, more aggressive marketing of the HVAC programs (perhaps coupled with the energy program) is necessary.   This is especially true since we have lost enrollment due to the loss of the ABC program and the Union upgrade program.</w:t>
      </w:r>
    </w:p>
    <w:p w:rsidR="004A148C" w:rsidRPr="00D87A7F" w:rsidRDefault="004A148C" w:rsidP="00121D1B">
      <w:pPr>
        <w:pStyle w:val="ListParagraph"/>
        <w:numPr>
          <w:ilvl w:val="1"/>
          <w:numId w:val="2"/>
        </w:numPr>
        <w:spacing w:after="240"/>
        <w:contextualSpacing w:val="0"/>
        <w:rPr>
          <w:sz w:val="20"/>
          <w:szCs w:val="24"/>
        </w:rPr>
      </w:pPr>
      <w:r w:rsidRPr="00D87A7F">
        <w:rPr>
          <w:sz w:val="20"/>
          <w:szCs w:val="24"/>
        </w:rPr>
        <w:t>Nee</w:t>
      </w:r>
      <w:r w:rsidR="00BE163D" w:rsidRPr="00D87A7F">
        <w:rPr>
          <w:sz w:val="20"/>
          <w:szCs w:val="24"/>
        </w:rPr>
        <w:t>d</w:t>
      </w:r>
      <w:r w:rsidRPr="00D87A7F">
        <w:rPr>
          <w:sz w:val="20"/>
          <w:szCs w:val="24"/>
        </w:rPr>
        <w:t xml:space="preserve"> improved documentation of meeting general education outcomes and program outcomes – complete assessment plans exist and these items are all being</w:t>
      </w:r>
      <w:r w:rsidR="00E4637F" w:rsidRPr="00D87A7F">
        <w:rPr>
          <w:sz w:val="20"/>
          <w:szCs w:val="24"/>
        </w:rPr>
        <w:t xml:space="preserve"> measured and assessed through the ABET Accreditation process.  The review in the fall of 2010 had no negative findings.</w:t>
      </w:r>
    </w:p>
    <w:p w:rsidR="000D35D6" w:rsidRDefault="000D35D6">
      <w:pPr>
        <w:rPr>
          <w:b/>
          <w:sz w:val="20"/>
          <w:szCs w:val="24"/>
        </w:rPr>
      </w:pPr>
      <w:r>
        <w:rPr>
          <w:b/>
          <w:sz w:val="20"/>
          <w:szCs w:val="24"/>
        </w:rPr>
        <w:br w:type="page"/>
      </w:r>
    </w:p>
    <w:p w:rsidR="00E4637F" w:rsidRPr="00E4637F" w:rsidRDefault="00E4637F" w:rsidP="00E4637F">
      <w:pPr>
        <w:rPr>
          <w:sz w:val="24"/>
          <w:szCs w:val="24"/>
          <w:u w:val="single"/>
        </w:rPr>
      </w:pPr>
      <w:r w:rsidRPr="00E4637F">
        <w:rPr>
          <w:sz w:val="24"/>
          <w:szCs w:val="24"/>
          <w:u w:val="single"/>
        </w:rPr>
        <w:lastRenderedPageBreak/>
        <w:t>Section I</w:t>
      </w:r>
      <w:r>
        <w:rPr>
          <w:sz w:val="24"/>
          <w:szCs w:val="24"/>
          <w:u w:val="single"/>
        </w:rPr>
        <w:t>I</w:t>
      </w:r>
      <w:r w:rsidRPr="00E4637F">
        <w:rPr>
          <w:sz w:val="24"/>
          <w:szCs w:val="24"/>
          <w:u w:val="single"/>
        </w:rPr>
        <w:t xml:space="preserve">I: </w:t>
      </w:r>
      <w:r>
        <w:rPr>
          <w:sz w:val="24"/>
          <w:szCs w:val="24"/>
          <w:u w:val="single"/>
        </w:rPr>
        <w:t>Assessment of Outcomes</w:t>
      </w:r>
    </w:p>
    <w:p w:rsidR="000D35D6" w:rsidRDefault="00E4637F" w:rsidP="00E4637F">
      <w:pPr>
        <w:spacing w:after="240"/>
        <w:rPr>
          <w:sz w:val="20"/>
          <w:szCs w:val="24"/>
        </w:rPr>
      </w:pPr>
      <w:r>
        <w:rPr>
          <w:sz w:val="20"/>
          <w:szCs w:val="24"/>
        </w:rPr>
        <w:t xml:space="preserve">The Program Outcomes for this program are listed below.  </w:t>
      </w:r>
      <w:r w:rsidRPr="00E4637F">
        <w:rPr>
          <w:sz w:val="20"/>
          <w:szCs w:val="24"/>
        </w:rPr>
        <w:t>At least one-third of your program outcomes must be assessed as part of this Annual Update, and across the next three years of these program outcomes must be assessed at least once.</w:t>
      </w:r>
    </w:p>
    <w:tbl>
      <w:tblPr>
        <w:tblStyle w:val="TableGrid"/>
        <w:tblW w:w="0" w:type="auto"/>
        <w:tblLook w:val="04A0"/>
      </w:tblPr>
      <w:tblGrid>
        <w:gridCol w:w="4518"/>
        <w:gridCol w:w="1260"/>
        <w:gridCol w:w="1620"/>
        <w:gridCol w:w="2178"/>
      </w:tblGrid>
      <w:tr w:rsidR="00E4637F" w:rsidRPr="006828F9" w:rsidTr="00E53392">
        <w:trPr>
          <w:tblHeader/>
        </w:trPr>
        <w:tc>
          <w:tcPr>
            <w:tcW w:w="4518" w:type="dxa"/>
            <w:shd w:val="clear" w:color="auto" w:fill="D9D9D9" w:themeFill="background1" w:themeFillShade="D9"/>
            <w:vAlign w:val="center"/>
          </w:tcPr>
          <w:p w:rsidR="00E4637F" w:rsidRPr="00E4637F" w:rsidRDefault="00E4637F" w:rsidP="00E53392">
            <w:pPr>
              <w:spacing w:after="240"/>
              <w:jc w:val="center"/>
              <w:rPr>
                <w:b/>
                <w:sz w:val="20"/>
                <w:szCs w:val="24"/>
                <w:u w:val="single"/>
              </w:rPr>
            </w:pPr>
            <w:r w:rsidRPr="00024B50">
              <w:rPr>
                <w:sz w:val="18"/>
                <w:szCs w:val="24"/>
                <w:u w:val="single"/>
              </w:rPr>
              <w:t>Heating, Ventilation, Air Conditioning &amp; Refrigeration</w:t>
            </w:r>
            <w:r w:rsidRPr="00024B50">
              <w:rPr>
                <w:sz w:val="18"/>
                <w:szCs w:val="24"/>
                <w:u w:val="single"/>
              </w:rPr>
              <w:br/>
            </w:r>
            <w:r w:rsidRPr="00024B50">
              <w:rPr>
                <w:sz w:val="18"/>
                <w:szCs w:val="24"/>
              </w:rPr>
              <w:t>Program Outcomes</w:t>
            </w:r>
          </w:p>
        </w:tc>
        <w:tc>
          <w:tcPr>
            <w:tcW w:w="1260" w:type="dxa"/>
            <w:shd w:val="clear" w:color="auto" w:fill="D9D9D9" w:themeFill="background1" w:themeFillShade="D9"/>
            <w:vAlign w:val="center"/>
          </w:tcPr>
          <w:p w:rsidR="00E4637F" w:rsidRPr="00E4637F" w:rsidRDefault="00E4637F" w:rsidP="00E53392">
            <w:pPr>
              <w:spacing w:after="240"/>
              <w:rPr>
                <w:b/>
                <w:sz w:val="18"/>
                <w:szCs w:val="18"/>
              </w:rPr>
            </w:pPr>
            <w:r w:rsidRPr="00E4637F">
              <w:rPr>
                <w:sz w:val="18"/>
                <w:szCs w:val="18"/>
              </w:rPr>
              <w:t>In which courses are these program outcomes addressed?</w:t>
            </w:r>
          </w:p>
        </w:tc>
        <w:tc>
          <w:tcPr>
            <w:tcW w:w="1620" w:type="dxa"/>
            <w:shd w:val="clear" w:color="auto" w:fill="D9D9D9" w:themeFill="background1" w:themeFillShade="D9"/>
            <w:vAlign w:val="center"/>
          </w:tcPr>
          <w:p w:rsidR="00E4637F" w:rsidRPr="00E4637F" w:rsidRDefault="00E4637F" w:rsidP="00E53392">
            <w:pPr>
              <w:spacing w:after="240"/>
              <w:rPr>
                <w:b/>
                <w:sz w:val="18"/>
                <w:szCs w:val="24"/>
              </w:rPr>
            </w:pPr>
            <w:r w:rsidRPr="00E4637F">
              <w:rPr>
                <w:sz w:val="18"/>
                <w:szCs w:val="24"/>
              </w:rPr>
              <w:t xml:space="preserve">Which of </w:t>
            </w:r>
            <w:r>
              <w:rPr>
                <w:sz w:val="18"/>
                <w:szCs w:val="24"/>
              </w:rPr>
              <w:t>these program outcomes were addressed during the last fiscal year?</w:t>
            </w:r>
          </w:p>
        </w:tc>
        <w:tc>
          <w:tcPr>
            <w:tcW w:w="2178" w:type="dxa"/>
            <w:shd w:val="clear" w:color="auto" w:fill="D9D9D9" w:themeFill="background1" w:themeFillShade="D9"/>
            <w:vAlign w:val="center"/>
          </w:tcPr>
          <w:p w:rsidR="00551F4A" w:rsidRDefault="00E4637F" w:rsidP="00E53392">
            <w:pPr>
              <w:spacing w:after="240"/>
              <w:jc w:val="center"/>
              <w:rPr>
                <w:sz w:val="18"/>
                <w:szCs w:val="24"/>
              </w:rPr>
            </w:pPr>
            <w:r w:rsidRPr="00024B50">
              <w:rPr>
                <w:sz w:val="18"/>
                <w:szCs w:val="24"/>
              </w:rPr>
              <w:t>Assessment M</w:t>
            </w:r>
          </w:p>
          <w:p w:rsidR="00E4637F" w:rsidRDefault="00E4637F" w:rsidP="00E53392">
            <w:pPr>
              <w:spacing w:after="240"/>
              <w:jc w:val="center"/>
              <w:rPr>
                <w:b/>
                <w:sz w:val="20"/>
                <w:szCs w:val="24"/>
              </w:rPr>
            </w:pPr>
            <w:proofErr w:type="spellStart"/>
            <w:r w:rsidRPr="00024B50">
              <w:rPr>
                <w:sz w:val="18"/>
                <w:szCs w:val="24"/>
              </w:rPr>
              <w:t>ethods</w:t>
            </w:r>
            <w:proofErr w:type="spellEnd"/>
            <w:r w:rsidRPr="00024B50">
              <w:rPr>
                <w:sz w:val="18"/>
                <w:szCs w:val="24"/>
              </w:rPr>
              <w:t xml:space="preserve"> Used</w:t>
            </w:r>
          </w:p>
        </w:tc>
      </w:tr>
      <w:tr w:rsidR="00E4637F" w:rsidRPr="006828F9" w:rsidTr="006828F9">
        <w:tc>
          <w:tcPr>
            <w:tcW w:w="4518" w:type="dxa"/>
            <w:vAlign w:val="center"/>
          </w:tcPr>
          <w:p w:rsidR="00E4637F" w:rsidRPr="00D87A7F" w:rsidRDefault="00E4637F" w:rsidP="006828F9">
            <w:pPr>
              <w:pStyle w:val="ListParagraph"/>
              <w:numPr>
                <w:ilvl w:val="0"/>
                <w:numId w:val="3"/>
              </w:numPr>
              <w:spacing w:after="240"/>
              <w:rPr>
                <w:sz w:val="18"/>
                <w:szCs w:val="24"/>
              </w:rPr>
            </w:pPr>
            <w:r w:rsidRPr="00D87A7F">
              <w:rPr>
                <w:sz w:val="18"/>
                <w:szCs w:val="24"/>
              </w:rPr>
              <w:t>Communicate effectively in a technical environment, including written and oral communication, effective listening, and technical presentation</w:t>
            </w:r>
          </w:p>
        </w:tc>
        <w:tc>
          <w:tcPr>
            <w:tcW w:w="1260" w:type="dxa"/>
            <w:vAlign w:val="center"/>
          </w:tcPr>
          <w:p w:rsidR="00E4637F" w:rsidRPr="006923F5" w:rsidRDefault="00E4637F" w:rsidP="006828F9">
            <w:pPr>
              <w:spacing w:beforeAutospacing="0"/>
              <w:rPr>
                <w:b/>
                <w:sz w:val="18"/>
                <w:szCs w:val="24"/>
              </w:rPr>
            </w:pPr>
            <w:r w:rsidRPr="006923F5">
              <w:rPr>
                <w:sz w:val="18"/>
                <w:szCs w:val="24"/>
              </w:rPr>
              <w:t>COM 206</w:t>
            </w:r>
          </w:p>
          <w:p w:rsidR="00E4637F" w:rsidRPr="006923F5" w:rsidRDefault="00E4637F" w:rsidP="006828F9">
            <w:pPr>
              <w:spacing w:beforeAutospacing="0"/>
              <w:rPr>
                <w:b/>
                <w:sz w:val="18"/>
                <w:szCs w:val="24"/>
              </w:rPr>
            </w:pPr>
            <w:r w:rsidRPr="006923F5">
              <w:rPr>
                <w:sz w:val="18"/>
                <w:szCs w:val="24"/>
              </w:rPr>
              <w:t>CAT 139</w:t>
            </w:r>
          </w:p>
          <w:p w:rsidR="00E4637F" w:rsidRPr="006923F5" w:rsidRDefault="00E4637F" w:rsidP="006828F9">
            <w:pPr>
              <w:spacing w:beforeAutospacing="0"/>
              <w:rPr>
                <w:b/>
                <w:sz w:val="18"/>
                <w:szCs w:val="24"/>
              </w:rPr>
            </w:pPr>
            <w:r w:rsidRPr="006923F5">
              <w:rPr>
                <w:sz w:val="18"/>
                <w:szCs w:val="24"/>
              </w:rPr>
              <w:t>CAT 202</w:t>
            </w:r>
          </w:p>
          <w:p w:rsidR="00E4637F" w:rsidRPr="006923F5" w:rsidRDefault="00E4637F" w:rsidP="006828F9">
            <w:pPr>
              <w:spacing w:beforeAutospacing="0"/>
              <w:rPr>
                <w:b/>
                <w:sz w:val="18"/>
                <w:szCs w:val="24"/>
              </w:rPr>
            </w:pPr>
            <w:r w:rsidRPr="006923F5">
              <w:rPr>
                <w:sz w:val="18"/>
                <w:szCs w:val="24"/>
              </w:rPr>
              <w:t>ENG 111</w:t>
            </w:r>
          </w:p>
          <w:p w:rsidR="00E4637F" w:rsidRPr="006923F5" w:rsidRDefault="00E4637F" w:rsidP="006828F9">
            <w:pPr>
              <w:spacing w:beforeAutospacing="0"/>
              <w:rPr>
                <w:b/>
                <w:sz w:val="18"/>
                <w:szCs w:val="24"/>
              </w:rPr>
            </w:pPr>
            <w:r w:rsidRPr="006923F5">
              <w:rPr>
                <w:sz w:val="18"/>
                <w:szCs w:val="24"/>
              </w:rPr>
              <w:t>ENG 112</w:t>
            </w:r>
          </w:p>
          <w:p w:rsidR="00E4637F" w:rsidRPr="006923F5" w:rsidRDefault="00E4637F" w:rsidP="006828F9">
            <w:pPr>
              <w:spacing w:beforeAutospacing="0"/>
              <w:rPr>
                <w:b/>
                <w:sz w:val="18"/>
                <w:szCs w:val="24"/>
              </w:rPr>
            </w:pPr>
            <w:r w:rsidRPr="006923F5">
              <w:rPr>
                <w:sz w:val="18"/>
                <w:szCs w:val="24"/>
              </w:rPr>
              <w:t>ETD 198</w:t>
            </w:r>
          </w:p>
          <w:p w:rsidR="00E4637F" w:rsidRPr="006923F5" w:rsidRDefault="00E4637F" w:rsidP="006828F9">
            <w:pPr>
              <w:spacing w:beforeAutospacing="0"/>
              <w:rPr>
                <w:b/>
                <w:sz w:val="18"/>
                <w:szCs w:val="24"/>
              </w:rPr>
            </w:pPr>
            <w:r w:rsidRPr="006923F5">
              <w:rPr>
                <w:sz w:val="18"/>
                <w:szCs w:val="24"/>
              </w:rPr>
              <w:t>ETD 199</w:t>
            </w:r>
          </w:p>
          <w:p w:rsidR="00E4637F" w:rsidRPr="006923F5" w:rsidRDefault="00E4637F" w:rsidP="006828F9">
            <w:pPr>
              <w:spacing w:beforeAutospacing="0"/>
              <w:rPr>
                <w:b/>
                <w:sz w:val="18"/>
                <w:szCs w:val="24"/>
              </w:rPr>
            </w:pPr>
            <w:r w:rsidRPr="006923F5">
              <w:rPr>
                <w:sz w:val="18"/>
                <w:szCs w:val="24"/>
              </w:rPr>
              <w:t>HVA 253</w:t>
            </w:r>
          </w:p>
          <w:p w:rsidR="00E4637F" w:rsidRPr="006923F5" w:rsidRDefault="00E4637F" w:rsidP="006828F9">
            <w:pPr>
              <w:spacing w:beforeAutospacing="0"/>
              <w:rPr>
                <w:b/>
                <w:sz w:val="18"/>
                <w:szCs w:val="24"/>
              </w:rPr>
            </w:pPr>
            <w:r w:rsidRPr="006923F5">
              <w:rPr>
                <w:sz w:val="18"/>
                <w:szCs w:val="24"/>
              </w:rPr>
              <w:t>HVA 254</w:t>
            </w:r>
          </w:p>
          <w:p w:rsidR="00E4637F" w:rsidRPr="006923F5" w:rsidRDefault="00E4637F" w:rsidP="006828F9">
            <w:pPr>
              <w:spacing w:beforeAutospacing="0"/>
              <w:rPr>
                <w:b/>
                <w:sz w:val="18"/>
                <w:szCs w:val="24"/>
              </w:rPr>
            </w:pPr>
            <w:r w:rsidRPr="006923F5">
              <w:rPr>
                <w:sz w:val="18"/>
                <w:szCs w:val="24"/>
              </w:rPr>
              <w:t>HVA 272</w:t>
            </w:r>
          </w:p>
          <w:p w:rsidR="00E4637F" w:rsidRPr="006923F5" w:rsidRDefault="00E4637F" w:rsidP="006828F9">
            <w:pPr>
              <w:spacing w:beforeAutospacing="0"/>
              <w:rPr>
                <w:b/>
                <w:sz w:val="18"/>
                <w:szCs w:val="24"/>
              </w:rPr>
            </w:pPr>
            <w:r w:rsidRPr="006923F5">
              <w:rPr>
                <w:sz w:val="18"/>
                <w:szCs w:val="24"/>
              </w:rPr>
              <w:t>HVA 276</w:t>
            </w:r>
          </w:p>
          <w:p w:rsidR="00E4637F" w:rsidRPr="006923F5" w:rsidRDefault="00E4637F" w:rsidP="006828F9">
            <w:pPr>
              <w:spacing w:beforeAutospacing="0"/>
              <w:rPr>
                <w:b/>
                <w:sz w:val="18"/>
                <w:szCs w:val="24"/>
              </w:rPr>
            </w:pPr>
            <w:r w:rsidRPr="006923F5">
              <w:rPr>
                <w:sz w:val="18"/>
                <w:szCs w:val="24"/>
              </w:rPr>
              <w:t>HVA 278</w:t>
            </w:r>
          </w:p>
        </w:tc>
        <w:tc>
          <w:tcPr>
            <w:tcW w:w="1620" w:type="dxa"/>
            <w:vAlign w:val="center"/>
          </w:tcPr>
          <w:p w:rsidR="00EC1C54" w:rsidRPr="006923F5" w:rsidRDefault="008D0A04" w:rsidP="00591856">
            <w:pPr>
              <w:spacing w:before="100" w:after="240"/>
              <w:jc w:val="right"/>
              <w:rPr>
                <w:b/>
                <w:sz w:val="18"/>
                <w:szCs w:val="24"/>
              </w:rPr>
            </w:pPr>
            <w:r>
              <w:rPr>
                <w:bCs/>
                <w:sz w:val="18"/>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5pt;height:18.5pt" o:ole="">
                  <v:imagedata r:id="rId11" o:title=""/>
                </v:shape>
                <w:control r:id="rId12" w:name="CheckBox1" w:shapeid="_x0000_i1035"/>
              </w:object>
            </w:r>
          </w:p>
        </w:tc>
        <w:tc>
          <w:tcPr>
            <w:tcW w:w="2178" w:type="dxa"/>
            <w:vAlign w:val="center"/>
          </w:tcPr>
          <w:p w:rsidR="00E4637F" w:rsidRPr="006923F5" w:rsidRDefault="006923F5" w:rsidP="00E53392">
            <w:pPr>
              <w:spacing w:before="120" w:beforeAutospacing="0" w:after="120"/>
              <w:rPr>
                <w:b/>
                <w:sz w:val="18"/>
                <w:szCs w:val="24"/>
              </w:rPr>
            </w:pPr>
            <w:r w:rsidRPr="006923F5">
              <w:rPr>
                <w:sz w:val="18"/>
                <w:szCs w:val="24"/>
              </w:rPr>
              <w:t>Faculty and Advisory Committee assessment of HVA 278 Capstone Course</w:t>
            </w:r>
          </w:p>
          <w:p w:rsidR="006923F5" w:rsidRPr="006923F5" w:rsidRDefault="006923F5" w:rsidP="00E53392">
            <w:pPr>
              <w:spacing w:before="120" w:beforeAutospacing="0" w:after="120"/>
              <w:rPr>
                <w:b/>
                <w:sz w:val="18"/>
                <w:szCs w:val="24"/>
              </w:rPr>
            </w:pPr>
            <w:r w:rsidRPr="006923F5">
              <w:rPr>
                <w:sz w:val="18"/>
                <w:szCs w:val="24"/>
              </w:rPr>
              <w:t>Graduate Exit Interviews and employer surveys</w:t>
            </w:r>
          </w:p>
          <w:p w:rsidR="006923F5" w:rsidRPr="006923F5" w:rsidRDefault="006923F5" w:rsidP="00E53392">
            <w:pPr>
              <w:spacing w:before="120" w:beforeAutospacing="0" w:after="120"/>
              <w:rPr>
                <w:b/>
                <w:sz w:val="18"/>
                <w:szCs w:val="24"/>
              </w:rPr>
            </w:pPr>
            <w:r w:rsidRPr="006923F5">
              <w:rPr>
                <w:sz w:val="18"/>
                <w:szCs w:val="24"/>
              </w:rPr>
              <w:t xml:space="preserve">Faculty </w:t>
            </w:r>
            <w:r>
              <w:rPr>
                <w:sz w:val="18"/>
                <w:szCs w:val="24"/>
              </w:rPr>
              <w:t>review of student comments from course evaluations</w:t>
            </w:r>
          </w:p>
        </w:tc>
      </w:tr>
      <w:tr w:rsidR="00591856" w:rsidRPr="006828F9" w:rsidTr="00D97C23">
        <w:trPr>
          <w:cantSplit/>
        </w:trPr>
        <w:tc>
          <w:tcPr>
            <w:tcW w:w="4518" w:type="dxa"/>
            <w:vAlign w:val="center"/>
          </w:tcPr>
          <w:p w:rsidR="00591856" w:rsidRPr="00D87A7F" w:rsidRDefault="00591856" w:rsidP="006828F9">
            <w:pPr>
              <w:pStyle w:val="ListParagraph"/>
              <w:numPr>
                <w:ilvl w:val="0"/>
                <w:numId w:val="3"/>
              </w:numPr>
              <w:spacing w:after="240"/>
              <w:rPr>
                <w:sz w:val="18"/>
                <w:szCs w:val="24"/>
              </w:rPr>
            </w:pPr>
            <w:r w:rsidRPr="00D87A7F">
              <w:rPr>
                <w:sz w:val="18"/>
                <w:szCs w:val="24"/>
              </w:rPr>
              <w:t>Understand and apply principles of environmental safety and health to HVACR systems operation, maintenance, troubleshooting and design.</w:t>
            </w:r>
          </w:p>
        </w:tc>
        <w:tc>
          <w:tcPr>
            <w:tcW w:w="1260" w:type="dxa"/>
            <w:vAlign w:val="center"/>
          </w:tcPr>
          <w:p w:rsidR="00591856" w:rsidRPr="006923F5" w:rsidRDefault="00591856" w:rsidP="006828F9">
            <w:pPr>
              <w:spacing w:beforeAutospacing="0"/>
              <w:rPr>
                <w:b/>
                <w:sz w:val="18"/>
                <w:szCs w:val="24"/>
              </w:rPr>
            </w:pPr>
            <w:r>
              <w:rPr>
                <w:sz w:val="18"/>
                <w:szCs w:val="24"/>
              </w:rPr>
              <w:t>HVA 184</w:t>
            </w:r>
          </w:p>
          <w:p w:rsidR="00591856" w:rsidRDefault="00591856" w:rsidP="006828F9">
            <w:pPr>
              <w:spacing w:beforeAutospacing="0"/>
              <w:rPr>
                <w:b/>
                <w:sz w:val="18"/>
                <w:szCs w:val="24"/>
              </w:rPr>
            </w:pPr>
            <w:r w:rsidRPr="006923F5">
              <w:rPr>
                <w:sz w:val="18"/>
                <w:szCs w:val="24"/>
              </w:rPr>
              <w:t xml:space="preserve">HVA </w:t>
            </w:r>
            <w:r>
              <w:rPr>
                <w:sz w:val="18"/>
                <w:szCs w:val="24"/>
              </w:rPr>
              <w:t>186</w:t>
            </w:r>
          </w:p>
          <w:p w:rsidR="00591856" w:rsidRDefault="00591856" w:rsidP="006828F9">
            <w:pPr>
              <w:spacing w:beforeAutospacing="0"/>
              <w:rPr>
                <w:b/>
                <w:sz w:val="18"/>
                <w:szCs w:val="24"/>
              </w:rPr>
            </w:pPr>
            <w:r>
              <w:rPr>
                <w:sz w:val="18"/>
                <w:szCs w:val="24"/>
              </w:rPr>
              <w:t>HVA 250</w:t>
            </w:r>
          </w:p>
          <w:p w:rsidR="00591856" w:rsidRDefault="00591856" w:rsidP="006828F9">
            <w:pPr>
              <w:spacing w:beforeAutospacing="0"/>
              <w:rPr>
                <w:b/>
                <w:sz w:val="18"/>
                <w:szCs w:val="24"/>
              </w:rPr>
            </w:pPr>
            <w:r>
              <w:rPr>
                <w:sz w:val="18"/>
                <w:szCs w:val="24"/>
              </w:rPr>
              <w:t>HVA 254</w:t>
            </w:r>
          </w:p>
          <w:p w:rsidR="00591856" w:rsidRDefault="00591856" w:rsidP="006828F9">
            <w:pPr>
              <w:spacing w:beforeAutospacing="0"/>
              <w:rPr>
                <w:b/>
                <w:sz w:val="18"/>
                <w:szCs w:val="24"/>
              </w:rPr>
            </w:pPr>
            <w:r>
              <w:rPr>
                <w:sz w:val="18"/>
                <w:szCs w:val="24"/>
              </w:rPr>
              <w:t>HVA 276</w:t>
            </w:r>
          </w:p>
          <w:p w:rsidR="00591856" w:rsidRPr="006923F5" w:rsidRDefault="00591856" w:rsidP="006828F9">
            <w:pPr>
              <w:spacing w:beforeAutospacing="0"/>
              <w:rPr>
                <w:b/>
                <w:sz w:val="18"/>
                <w:szCs w:val="24"/>
              </w:rPr>
            </w:pPr>
            <w:r>
              <w:rPr>
                <w:sz w:val="18"/>
                <w:szCs w:val="24"/>
              </w:rPr>
              <w:t>HVA 278</w:t>
            </w:r>
          </w:p>
        </w:tc>
        <w:tc>
          <w:tcPr>
            <w:tcW w:w="1620" w:type="dxa"/>
            <w:vAlign w:val="center"/>
          </w:tcPr>
          <w:p w:rsidR="00591856" w:rsidRPr="006923F5" w:rsidRDefault="008D0A04" w:rsidP="00A244A9">
            <w:pPr>
              <w:spacing w:before="100" w:after="240"/>
              <w:jc w:val="right"/>
              <w:rPr>
                <w:b/>
                <w:sz w:val="18"/>
                <w:szCs w:val="24"/>
              </w:rPr>
            </w:pPr>
            <w:r>
              <w:rPr>
                <w:bCs/>
                <w:sz w:val="18"/>
                <w:szCs w:val="24"/>
              </w:rPr>
              <w:object w:dxaOrig="225" w:dyaOrig="225">
                <v:shape id="_x0000_i1037" type="#_x0000_t75" style="width:18.5pt;height:18.5pt" o:ole="">
                  <v:imagedata r:id="rId13" o:title=""/>
                </v:shape>
                <w:control r:id="rId14" w:name="CheckBox11" w:shapeid="_x0000_i1037"/>
              </w:object>
            </w:r>
          </w:p>
        </w:tc>
        <w:tc>
          <w:tcPr>
            <w:tcW w:w="2178" w:type="dxa"/>
            <w:vAlign w:val="center"/>
          </w:tcPr>
          <w:p w:rsidR="00591856" w:rsidRPr="006923F5" w:rsidRDefault="00591856" w:rsidP="00E53392">
            <w:pPr>
              <w:spacing w:before="120" w:beforeAutospacing="0" w:after="120"/>
              <w:rPr>
                <w:b/>
                <w:sz w:val="18"/>
                <w:szCs w:val="18"/>
              </w:rPr>
            </w:pPr>
            <w:r w:rsidRPr="006923F5">
              <w:rPr>
                <w:sz w:val="18"/>
                <w:szCs w:val="18"/>
              </w:rPr>
              <w:t>Faculty and Advisory Committee assessment of HVA 278 Capstone Course</w:t>
            </w:r>
          </w:p>
          <w:p w:rsidR="00591856" w:rsidRDefault="00591856" w:rsidP="00E53392">
            <w:pPr>
              <w:spacing w:before="120" w:beforeAutospacing="0" w:after="120"/>
              <w:rPr>
                <w:b/>
                <w:sz w:val="20"/>
                <w:szCs w:val="24"/>
              </w:rPr>
            </w:pPr>
            <w:r w:rsidRPr="006923F5">
              <w:rPr>
                <w:sz w:val="18"/>
                <w:szCs w:val="18"/>
              </w:rPr>
              <w:t>Core competency survey at the time of graduation</w:t>
            </w:r>
          </w:p>
        </w:tc>
      </w:tr>
      <w:tr w:rsidR="00591856" w:rsidRPr="006828F9" w:rsidTr="006828F9">
        <w:tc>
          <w:tcPr>
            <w:tcW w:w="4518" w:type="dxa"/>
            <w:vAlign w:val="center"/>
          </w:tcPr>
          <w:p w:rsidR="00591856" w:rsidRPr="00D87A7F" w:rsidRDefault="00591856" w:rsidP="006828F9">
            <w:pPr>
              <w:pStyle w:val="ListParagraph"/>
              <w:numPr>
                <w:ilvl w:val="0"/>
                <w:numId w:val="3"/>
              </w:numPr>
              <w:spacing w:after="240"/>
              <w:rPr>
                <w:sz w:val="18"/>
                <w:szCs w:val="24"/>
              </w:rPr>
            </w:pPr>
            <w:r w:rsidRPr="00D87A7F">
              <w:rPr>
                <w:sz w:val="18"/>
                <w:szCs w:val="24"/>
              </w:rPr>
              <w:t>Apply principles of mathematics, physics, chemistry, thermodynamics, psychrometrics, and fluid mechanics to HVACR systems.</w:t>
            </w:r>
          </w:p>
        </w:tc>
        <w:tc>
          <w:tcPr>
            <w:tcW w:w="1260" w:type="dxa"/>
            <w:vAlign w:val="center"/>
          </w:tcPr>
          <w:p w:rsidR="00591856" w:rsidRDefault="00591856" w:rsidP="006828F9">
            <w:pPr>
              <w:spacing w:beforeAutospacing="0"/>
              <w:rPr>
                <w:b/>
                <w:sz w:val="18"/>
                <w:szCs w:val="24"/>
              </w:rPr>
            </w:pPr>
            <w:r>
              <w:rPr>
                <w:sz w:val="18"/>
                <w:szCs w:val="24"/>
              </w:rPr>
              <w:t>MAT 131</w:t>
            </w:r>
          </w:p>
          <w:p w:rsidR="00591856" w:rsidRDefault="00591856" w:rsidP="006828F9">
            <w:pPr>
              <w:spacing w:beforeAutospacing="0"/>
              <w:rPr>
                <w:b/>
                <w:sz w:val="18"/>
                <w:szCs w:val="24"/>
              </w:rPr>
            </w:pPr>
            <w:r>
              <w:rPr>
                <w:sz w:val="18"/>
                <w:szCs w:val="24"/>
              </w:rPr>
              <w:t>MAT 132</w:t>
            </w:r>
          </w:p>
          <w:p w:rsidR="00591856" w:rsidRDefault="00591856" w:rsidP="006828F9">
            <w:pPr>
              <w:spacing w:beforeAutospacing="0"/>
              <w:rPr>
                <w:b/>
                <w:sz w:val="18"/>
                <w:szCs w:val="24"/>
              </w:rPr>
            </w:pPr>
            <w:r>
              <w:rPr>
                <w:sz w:val="18"/>
                <w:szCs w:val="24"/>
              </w:rPr>
              <w:t>PHY 131</w:t>
            </w:r>
          </w:p>
          <w:p w:rsidR="00591856" w:rsidRDefault="00591856" w:rsidP="006828F9">
            <w:pPr>
              <w:spacing w:beforeAutospacing="0"/>
              <w:rPr>
                <w:b/>
                <w:sz w:val="18"/>
                <w:szCs w:val="24"/>
              </w:rPr>
            </w:pPr>
            <w:r>
              <w:rPr>
                <w:sz w:val="18"/>
                <w:szCs w:val="24"/>
              </w:rPr>
              <w:t>EET 120</w:t>
            </w:r>
          </w:p>
          <w:p w:rsidR="00591856" w:rsidRDefault="00591856" w:rsidP="006828F9">
            <w:pPr>
              <w:spacing w:beforeAutospacing="0"/>
              <w:rPr>
                <w:b/>
                <w:sz w:val="18"/>
                <w:szCs w:val="24"/>
              </w:rPr>
            </w:pPr>
            <w:r>
              <w:rPr>
                <w:sz w:val="18"/>
                <w:szCs w:val="24"/>
              </w:rPr>
              <w:t>ETD 261</w:t>
            </w:r>
          </w:p>
          <w:p w:rsidR="00591856" w:rsidRDefault="00591856" w:rsidP="006828F9">
            <w:pPr>
              <w:spacing w:beforeAutospacing="0"/>
              <w:rPr>
                <w:b/>
                <w:sz w:val="18"/>
                <w:szCs w:val="24"/>
              </w:rPr>
            </w:pPr>
            <w:r>
              <w:rPr>
                <w:sz w:val="18"/>
                <w:szCs w:val="24"/>
              </w:rPr>
              <w:t>HVA 144</w:t>
            </w:r>
          </w:p>
          <w:p w:rsidR="00591856" w:rsidRDefault="00591856" w:rsidP="006828F9">
            <w:pPr>
              <w:spacing w:beforeAutospacing="0"/>
              <w:rPr>
                <w:b/>
                <w:sz w:val="18"/>
                <w:szCs w:val="24"/>
              </w:rPr>
            </w:pPr>
            <w:r>
              <w:rPr>
                <w:sz w:val="18"/>
                <w:szCs w:val="24"/>
              </w:rPr>
              <w:t>HVA 170</w:t>
            </w:r>
          </w:p>
          <w:p w:rsidR="00591856" w:rsidRDefault="00591856" w:rsidP="006828F9">
            <w:pPr>
              <w:spacing w:beforeAutospacing="0"/>
              <w:rPr>
                <w:b/>
                <w:sz w:val="18"/>
                <w:szCs w:val="24"/>
              </w:rPr>
            </w:pPr>
            <w:r>
              <w:rPr>
                <w:sz w:val="18"/>
                <w:szCs w:val="24"/>
              </w:rPr>
              <w:t>HVA 174</w:t>
            </w:r>
          </w:p>
          <w:p w:rsidR="00591856" w:rsidRDefault="00591856" w:rsidP="006828F9">
            <w:pPr>
              <w:spacing w:beforeAutospacing="0"/>
              <w:rPr>
                <w:b/>
                <w:sz w:val="18"/>
                <w:szCs w:val="24"/>
              </w:rPr>
            </w:pPr>
            <w:r>
              <w:rPr>
                <w:sz w:val="18"/>
                <w:szCs w:val="24"/>
              </w:rPr>
              <w:t>HVA 177</w:t>
            </w:r>
          </w:p>
          <w:p w:rsidR="00591856" w:rsidRDefault="00591856" w:rsidP="006828F9">
            <w:pPr>
              <w:spacing w:beforeAutospacing="0"/>
              <w:rPr>
                <w:b/>
                <w:sz w:val="18"/>
                <w:szCs w:val="24"/>
              </w:rPr>
            </w:pPr>
            <w:r>
              <w:rPr>
                <w:sz w:val="18"/>
                <w:szCs w:val="24"/>
              </w:rPr>
              <w:t>HVA 180</w:t>
            </w:r>
          </w:p>
          <w:p w:rsidR="00591856" w:rsidRPr="006923F5" w:rsidRDefault="00591856" w:rsidP="006828F9">
            <w:pPr>
              <w:spacing w:beforeAutospacing="0"/>
              <w:rPr>
                <w:b/>
                <w:sz w:val="18"/>
                <w:szCs w:val="24"/>
              </w:rPr>
            </w:pPr>
            <w:r>
              <w:rPr>
                <w:sz w:val="18"/>
                <w:szCs w:val="24"/>
              </w:rPr>
              <w:t>HVA 184</w:t>
            </w:r>
          </w:p>
        </w:tc>
        <w:tc>
          <w:tcPr>
            <w:tcW w:w="1620" w:type="dxa"/>
            <w:vAlign w:val="center"/>
          </w:tcPr>
          <w:p w:rsidR="00591856" w:rsidRPr="006923F5" w:rsidRDefault="008D0A04" w:rsidP="00A244A9">
            <w:pPr>
              <w:spacing w:before="100" w:after="240"/>
              <w:jc w:val="right"/>
              <w:rPr>
                <w:b/>
                <w:sz w:val="18"/>
                <w:szCs w:val="24"/>
              </w:rPr>
            </w:pPr>
            <w:r>
              <w:rPr>
                <w:bCs/>
                <w:sz w:val="18"/>
                <w:szCs w:val="24"/>
              </w:rPr>
              <w:object w:dxaOrig="225" w:dyaOrig="225">
                <v:shape id="_x0000_i1039" type="#_x0000_t75" style="width:18.5pt;height:18.5pt" o:ole="">
                  <v:imagedata r:id="rId13" o:title=""/>
                </v:shape>
                <w:control r:id="rId15" w:name="CheckBox111" w:shapeid="_x0000_i1039"/>
              </w:object>
            </w:r>
          </w:p>
        </w:tc>
        <w:tc>
          <w:tcPr>
            <w:tcW w:w="2178" w:type="dxa"/>
            <w:vAlign w:val="center"/>
          </w:tcPr>
          <w:p w:rsidR="00591856" w:rsidRDefault="00591856" w:rsidP="00E53392">
            <w:pPr>
              <w:spacing w:before="120" w:beforeAutospacing="0" w:after="120"/>
              <w:rPr>
                <w:b/>
                <w:sz w:val="18"/>
                <w:szCs w:val="24"/>
              </w:rPr>
            </w:pPr>
            <w:r w:rsidRPr="006923F5">
              <w:rPr>
                <w:sz w:val="18"/>
                <w:szCs w:val="24"/>
              </w:rPr>
              <w:t xml:space="preserve">Faculty </w:t>
            </w:r>
            <w:r>
              <w:rPr>
                <w:sz w:val="18"/>
                <w:szCs w:val="24"/>
              </w:rPr>
              <w:t>review of student comments from course evaluations</w:t>
            </w:r>
          </w:p>
          <w:p w:rsidR="00591856" w:rsidRDefault="00591856" w:rsidP="00E53392">
            <w:pPr>
              <w:spacing w:before="120" w:beforeAutospacing="0" w:after="120"/>
              <w:rPr>
                <w:b/>
                <w:sz w:val="20"/>
                <w:szCs w:val="24"/>
              </w:rPr>
            </w:pPr>
            <w:r w:rsidRPr="006923F5">
              <w:rPr>
                <w:sz w:val="18"/>
                <w:szCs w:val="18"/>
              </w:rPr>
              <w:t>Core competency survey at the time of graduation</w:t>
            </w:r>
          </w:p>
        </w:tc>
      </w:tr>
      <w:tr w:rsidR="00591856" w:rsidRPr="006828F9" w:rsidTr="006828F9">
        <w:trPr>
          <w:cantSplit/>
        </w:trPr>
        <w:tc>
          <w:tcPr>
            <w:tcW w:w="4518" w:type="dxa"/>
            <w:vAlign w:val="center"/>
          </w:tcPr>
          <w:p w:rsidR="00591856" w:rsidRPr="00D87A7F" w:rsidRDefault="00591856" w:rsidP="006828F9">
            <w:pPr>
              <w:pStyle w:val="ListParagraph"/>
              <w:numPr>
                <w:ilvl w:val="0"/>
                <w:numId w:val="3"/>
              </w:numPr>
              <w:spacing w:after="240"/>
              <w:rPr>
                <w:sz w:val="18"/>
                <w:szCs w:val="24"/>
              </w:rPr>
            </w:pPr>
            <w:r w:rsidRPr="00D87A7F">
              <w:rPr>
                <w:sz w:val="18"/>
                <w:szCs w:val="24"/>
              </w:rPr>
              <w:t>Demonstrate an in-depth understanding of the troubleshooting, commissioning, design, and documentation processes for commercial HVACR systems and subsystems via the application of industry accepted techniques, methods, and tools including but not limited to handbooks, manuals, codes, and software.</w:t>
            </w:r>
          </w:p>
        </w:tc>
        <w:tc>
          <w:tcPr>
            <w:tcW w:w="1260" w:type="dxa"/>
            <w:vAlign w:val="center"/>
          </w:tcPr>
          <w:p w:rsidR="00591856" w:rsidRDefault="00591856" w:rsidP="006828F9">
            <w:pPr>
              <w:spacing w:beforeAutospacing="0"/>
              <w:rPr>
                <w:b/>
                <w:sz w:val="18"/>
                <w:szCs w:val="24"/>
              </w:rPr>
            </w:pPr>
            <w:r>
              <w:rPr>
                <w:sz w:val="18"/>
                <w:szCs w:val="24"/>
              </w:rPr>
              <w:t>HVA 186</w:t>
            </w:r>
          </w:p>
          <w:p w:rsidR="00591856" w:rsidRDefault="00591856" w:rsidP="006828F9">
            <w:pPr>
              <w:spacing w:beforeAutospacing="0"/>
              <w:rPr>
                <w:b/>
                <w:sz w:val="18"/>
                <w:szCs w:val="24"/>
              </w:rPr>
            </w:pPr>
            <w:r>
              <w:rPr>
                <w:sz w:val="18"/>
                <w:szCs w:val="24"/>
              </w:rPr>
              <w:t>HVA 240</w:t>
            </w:r>
          </w:p>
          <w:p w:rsidR="00591856" w:rsidRDefault="00591856" w:rsidP="006828F9">
            <w:pPr>
              <w:spacing w:beforeAutospacing="0"/>
              <w:rPr>
                <w:b/>
                <w:sz w:val="18"/>
                <w:szCs w:val="24"/>
              </w:rPr>
            </w:pPr>
            <w:r>
              <w:rPr>
                <w:sz w:val="18"/>
                <w:szCs w:val="24"/>
              </w:rPr>
              <w:t>HVA 243</w:t>
            </w:r>
          </w:p>
          <w:p w:rsidR="00591856" w:rsidRDefault="00591856" w:rsidP="006828F9">
            <w:pPr>
              <w:spacing w:beforeAutospacing="0"/>
              <w:rPr>
                <w:b/>
                <w:sz w:val="18"/>
                <w:szCs w:val="24"/>
              </w:rPr>
            </w:pPr>
            <w:r>
              <w:rPr>
                <w:sz w:val="18"/>
                <w:szCs w:val="24"/>
              </w:rPr>
              <w:t>HVA 250</w:t>
            </w:r>
          </w:p>
          <w:p w:rsidR="00591856" w:rsidRDefault="00591856" w:rsidP="006828F9">
            <w:pPr>
              <w:spacing w:beforeAutospacing="0"/>
              <w:rPr>
                <w:b/>
                <w:sz w:val="18"/>
                <w:szCs w:val="24"/>
              </w:rPr>
            </w:pPr>
            <w:r>
              <w:rPr>
                <w:sz w:val="18"/>
                <w:szCs w:val="24"/>
              </w:rPr>
              <w:t>HVA 253</w:t>
            </w:r>
          </w:p>
          <w:p w:rsidR="00591856" w:rsidRDefault="00591856" w:rsidP="006828F9">
            <w:pPr>
              <w:spacing w:beforeAutospacing="0"/>
              <w:rPr>
                <w:b/>
                <w:sz w:val="18"/>
                <w:szCs w:val="24"/>
              </w:rPr>
            </w:pPr>
            <w:r>
              <w:rPr>
                <w:sz w:val="18"/>
                <w:szCs w:val="24"/>
              </w:rPr>
              <w:t>HVA 254</w:t>
            </w:r>
          </w:p>
          <w:p w:rsidR="00591856" w:rsidRDefault="00591856" w:rsidP="006828F9">
            <w:pPr>
              <w:spacing w:beforeAutospacing="0"/>
              <w:rPr>
                <w:b/>
                <w:sz w:val="18"/>
                <w:szCs w:val="24"/>
              </w:rPr>
            </w:pPr>
            <w:r>
              <w:rPr>
                <w:sz w:val="18"/>
                <w:szCs w:val="24"/>
              </w:rPr>
              <w:t>HVA 276</w:t>
            </w:r>
          </w:p>
          <w:p w:rsidR="00591856" w:rsidRPr="006923F5" w:rsidRDefault="00591856" w:rsidP="006828F9">
            <w:pPr>
              <w:spacing w:beforeAutospacing="0"/>
              <w:rPr>
                <w:b/>
                <w:sz w:val="18"/>
                <w:szCs w:val="24"/>
              </w:rPr>
            </w:pPr>
            <w:r>
              <w:rPr>
                <w:sz w:val="18"/>
                <w:szCs w:val="24"/>
              </w:rPr>
              <w:t>HVA 278</w:t>
            </w:r>
          </w:p>
        </w:tc>
        <w:tc>
          <w:tcPr>
            <w:tcW w:w="1620" w:type="dxa"/>
            <w:vAlign w:val="center"/>
          </w:tcPr>
          <w:p w:rsidR="00591856" w:rsidRPr="006923F5" w:rsidRDefault="008D0A04" w:rsidP="00A244A9">
            <w:pPr>
              <w:spacing w:before="100" w:after="240"/>
              <w:jc w:val="right"/>
              <w:rPr>
                <w:b/>
                <w:sz w:val="18"/>
                <w:szCs w:val="24"/>
              </w:rPr>
            </w:pPr>
            <w:r>
              <w:rPr>
                <w:bCs/>
                <w:sz w:val="18"/>
                <w:szCs w:val="24"/>
              </w:rPr>
              <w:object w:dxaOrig="225" w:dyaOrig="225">
                <v:shape id="_x0000_i1041" type="#_x0000_t75" style="width:18.5pt;height:18.5pt" o:ole="">
                  <v:imagedata r:id="rId11" o:title=""/>
                </v:shape>
                <w:control r:id="rId16" w:name="CheckBox12" w:shapeid="_x0000_i1041"/>
              </w:object>
            </w:r>
          </w:p>
        </w:tc>
        <w:tc>
          <w:tcPr>
            <w:tcW w:w="2178" w:type="dxa"/>
            <w:vAlign w:val="center"/>
          </w:tcPr>
          <w:p w:rsidR="00591856" w:rsidRPr="006923F5" w:rsidRDefault="00591856" w:rsidP="00E53392">
            <w:pPr>
              <w:spacing w:before="120" w:beforeAutospacing="0" w:after="120"/>
              <w:rPr>
                <w:b/>
                <w:sz w:val="18"/>
                <w:szCs w:val="24"/>
              </w:rPr>
            </w:pPr>
            <w:r w:rsidRPr="006923F5">
              <w:rPr>
                <w:sz w:val="18"/>
                <w:szCs w:val="24"/>
              </w:rPr>
              <w:t>Faculty and Advisory Committee assessment of HVA 278 Capstone Course</w:t>
            </w:r>
          </w:p>
          <w:p w:rsidR="00591856" w:rsidRDefault="00591856" w:rsidP="00E53392">
            <w:pPr>
              <w:spacing w:before="120" w:beforeAutospacing="0" w:after="120"/>
              <w:rPr>
                <w:b/>
                <w:sz w:val="18"/>
                <w:szCs w:val="24"/>
              </w:rPr>
            </w:pPr>
            <w:r>
              <w:rPr>
                <w:sz w:val="18"/>
                <w:szCs w:val="24"/>
              </w:rPr>
              <w:t>Faculty assessment of control tuning and commissioning project</w:t>
            </w:r>
          </w:p>
          <w:p w:rsidR="00591856" w:rsidRPr="006923F5" w:rsidRDefault="00591856" w:rsidP="00E53392">
            <w:pPr>
              <w:spacing w:before="120" w:beforeAutospacing="0" w:after="120"/>
              <w:rPr>
                <w:b/>
                <w:sz w:val="18"/>
                <w:szCs w:val="24"/>
              </w:rPr>
            </w:pPr>
            <w:r>
              <w:rPr>
                <w:sz w:val="18"/>
                <w:szCs w:val="24"/>
              </w:rPr>
              <w:t>Graduate Exit Interviews</w:t>
            </w:r>
          </w:p>
          <w:p w:rsidR="00591856" w:rsidRDefault="00591856" w:rsidP="00E53392">
            <w:pPr>
              <w:spacing w:before="120" w:beforeAutospacing="0" w:after="120"/>
              <w:rPr>
                <w:b/>
                <w:sz w:val="20"/>
                <w:szCs w:val="24"/>
              </w:rPr>
            </w:pPr>
            <w:r w:rsidRPr="006923F5">
              <w:rPr>
                <w:sz w:val="18"/>
                <w:szCs w:val="24"/>
              </w:rPr>
              <w:t xml:space="preserve">Faculty </w:t>
            </w:r>
            <w:r>
              <w:rPr>
                <w:sz w:val="18"/>
                <w:szCs w:val="24"/>
              </w:rPr>
              <w:t>review of student comments from course evaluations</w:t>
            </w:r>
          </w:p>
        </w:tc>
      </w:tr>
      <w:tr w:rsidR="00591856" w:rsidRPr="006828F9" w:rsidTr="006828F9">
        <w:tc>
          <w:tcPr>
            <w:tcW w:w="4518" w:type="dxa"/>
            <w:vAlign w:val="center"/>
          </w:tcPr>
          <w:p w:rsidR="00591856" w:rsidRPr="00D87A7F" w:rsidRDefault="00591856" w:rsidP="006828F9">
            <w:pPr>
              <w:pStyle w:val="ListParagraph"/>
              <w:numPr>
                <w:ilvl w:val="0"/>
                <w:numId w:val="3"/>
              </w:numPr>
              <w:spacing w:after="240"/>
              <w:rPr>
                <w:sz w:val="18"/>
                <w:szCs w:val="24"/>
              </w:rPr>
            </w:pPr>
            <w:r w:rsidRPr="00D87A7F">
              <w:rPr>
                <w:sz w:val="18"/>
                <w:szCs w:val="24"/>
              </w:rPr>
              <w:lastRenderedPageBreak/>
              <w:t>Recognize professional, ethical, and societal responsibilities, respect diversity, and commit to lifelong learning</w:t>
            </w:r>
          </w:p>
        </w:tc>
        <w:tc>
          <w:tcPr>
            <w:tcW w:w="1260" w:type="dxa"/>
            <w:vAlign w:val="center"/>
          </w:tcPr>
          <w:p w:rsidR="00591856" w:rsidRDefault="00591856" w:rsidP="006828F9">
            <w:pPr>
              <w:spacing w:beforeAutospacing="0"/>
              <w:rPr>
                <w:b/>
                <w:sz w:val="18"/>
                <w:szCs w:val="24"/>
              </w:rPr>
            </w:pPr>
            <w:r w:rsidRPr="00121D1B">
              <w:rPr>
                <w:sz w:val="18"/>
                <w:szCs w:val="24"/>
              </w:rPr>
              <w:t>SCC</w:t>
            </w:r>
            <w:r>
              <w:rPr>
                <w:sz w:val="18"/>
                <w:szCs w:val="24"/>
              </w:rPr>
              <w:t xml:space="preserve"> 101</w:t>
            </w:r>
          </w:p>
          <w:p w:rsidR="00591856" w:rsidRDefault="00591856" w:rsidP="006828F9">
            <w:pPr>
              <w:spacing w:beforeAutospacing="0"/>
              <w:rPr>
                <w:b/>
                <w:sz w:val="18"/>
                <w:szCs w:val="24"/>
              </w:rPr>
            </w:pPr>
            <w:r>
              <w:rPr>
                <w:sz w:val="18"/>
                <w:szCs w:val="24"/>
              </w:rPr>
              <w:t>ETD 121</w:t>
            </w:r>
          </w:p>
          <w:p w:rsidR="00591856" w:rsidRDefault="00591856" w:rsidP="006828F9">
            <w:pPr>
              <w:spacing w:beforeAutospacing="0"/>
              <w:rPr>
                <w:b/>
                <w:sz w:val="18"/>
                <w:szCs w:val="24"/>
              </w:rPr>
            </w:pPr>
            <w:r>
              <w:rPr>
                <w:sz w:val="18"/>
                <w:szCs w:val="24"/>
              </w:rPr>
              <w:t>HVA 276</w:t>
            </w:r>
          </w:p>
          <w:p w:rsidR="00591856" w:rsidRPr="00121D1B" w:rsidRDefault="00591856" w:rsidP="006828F9">
            <w:pPr>
              <w:spacing w:beforeAutospacing="0"/>
              <w:rPr>
                <w:b/>
                <w:sz w:val="18"/>
                <w:szCs w:val="24"/>
              </w:rPr>
            </w:pPr>
            <w:r>
              <w:rPr>
                <w:sz w:val="18"/>
                <w:szCs w:val="24"/>
              </w:rPr>
              <w:t>HVA 278</w:t>
            </w:r>
          </w:p>
        </w:tc>
        <w:tc>
          <w:tcPr>
            <w:tcW w:w="1620" w:type="dxa"/>
            <w:vAlign w:val="center"/>
          </w:tcPr>
          <w:p w:rsidR="00591856" w:rsidRPr="006923F5" w:rsidRDefault="008D0A04" w:rsidP="00A244A9">
            <w:pPr>
              <w:spacing w:before="100" w:after="240"/>
              <w:jc w:val="right"/>
              <w:rPr>
                <w:b/>
                <w:sz w:val="18"/>
                <w:szCs w:val="24"/>
              </w:rPr>
            </w:pPr>
            <w:r>
              <w:rPr>
                <w:bCs/>
                <w:sz w:val="18"/>
                <w:szCs w:val="24"/>
              </w:rPr>
              <w:object w:dxaOrig="225" w:dyaOrig="225">
                <v:shape id="_x0000_i1043" type="#_x0000_t75" style="width:18.5pt;height:18.5pt" o:ole="">
                  <v:imagedata r:id="rId13" o:title=""/>
                </v:shape>
                <w:control r:id="rId17" w:name="CheckBox112" w:shapeid="_x0000_i1043"/>
              </w:object>
            </w:r>
          </w:p>
        </w:tc>
        <w:tc>
          <w:tcPr>
            <w:tcW w:w="2178" w:type="dxa"/>
            <w:vAlign w:val="center"/>
          </w:tcPr>
          <w:p w:rsidR="00591856" w:rsidRPr="006923F5" w:rsidRDefault="00591856" w:rsidP="00E53392">
            <w:pPr>
              <w:spacing w:before="120" w:beforeAutospacing="0" w:after="120"/>
              <w:rPr>
                <w:b/>
                <w:sz w:val="18"/>
                <w:szCs w:val="24"/>
              </w:rPr>
            </w:pPr>
            <w:r w:rsidRPr="006923F5">
              <w:rPr>
                <w:sz w:val="18"/>
                <w:szCs w:val="24"/>
              </w:rPr>
              <w:t>Faculty and Advisory Committee assessment of HVA 278 Capstone Course</w:t>
            </w:r>
          </w:p>
          <w:p w:rsidR="00591856" w:rsidRPr="006923F5" w:rsidRDefault="00591856" w:rsidP="00E53392">
            <w:pPr>
              <w:spacing w:before="120" w:beforeAutospacing="0" w:after="120"/>
              <w:rPr>
                <w:b/>
                <w:sz w:val="18"/>
                <w:szCs w:val="24"/>
              </w:rPr>
            </w:pPr>
            <w:r>
              <w:rPr>
                <w:sz w:val="18"/>
                <w:szCs w:val="24"/>
              </w:rPr>
              <w:t>Graduate Exit Interviews</w:t>
            </w:r>
          </w:p>
          <w:p w:rsidR="00591856" w:rsidRDefault="00591856" w:rsidP="00E53392">
            <w:pPr>
              <w:spacing w:before="120" w:beforeAutospacing="0" w:after="120"/>
              <w:rPr>
                <w:b/>
                <w:sz w:val="20"/>
                <w:szCs w:val="24"/>
              </w:rPr>
            </w:pPr>
            <w:r w:rsidRPr="006923F5">
              <w:rPr>
                <w:sz w:val="18"/>
                <w:szCs w:val="24"/>
              </w:rPr>
              <w:t xml:space="preserve">Faculty </w:t>
            </w:r>
            <w:r>
              <w:rPr>
                <w:sz w:val="18"/>
                <w:szCs w:val="24"/>
              </w:rPr>
              <w:t>review of student comments from course evaluations</w:t>
            </w:r>
          </w:p>
        </w:tc>
      </w:tr>
    </w:tbl>
    <w:p w:rsidR="00E4637F" w:rsidRPr="00F070FA" w:rsidRDefault="00121D1B" w:rsidP="00121D1B">
      <w:pPr>
        <w:pStyle w:val="ListParagraph"/>
        <w:keepLines/>
        <w:numPr>
          <w:ilvl w:val="0"/>
          <w:numId w:val="4"/>
        </w:numPr>
        <w:spacing w:after="240"/>
        <w:contextualSpacing w:val="0"/>
        <w:rPr>
          <w:sz w:val="20"/>
          <w:szCs w:val="24"/>
        </w:rPr>
      </w:pPr>
      <w:r w:rsidRPr="00F070FA">
        <w:rPr>
          <w:sz w:val="20"/>
          <w:szCs w:val="24"/>
        </w:rPr>
        <w:t>For the assessment methods listed in the table above, what were the results?  What changes are planned as a result of the data?  How will you det</w:t>
      </w:r>
      <w:r w:rsidR="006828F9" w:rsidRPr="00F070FA">
        <w:rPr>
          <w:sz w:val="20"/>
          <w:szCs w:val="24"/>
        </w:rPr>
        <w:t>ermine whether those changes had</w:t>
      </w:r>
      <w:r w:rsidRPr="00F070FA">
        <w:rPr>
          <w:sz w:val="20"/>
          <w:szCs w:val="24"/>
        </w:rPr>
        <w:t xml:space="preserve"> an impact?</w:t>
      </w:r>
      <w:r w:rsidRPr="00F070FA">
        <w:rPr>
          <w:sz w:val="20"/>
          <w:szCs w:val="24"/>
        </w:rPr>
        <w:br/>
      </w:r>
      <w:r w:rsidRPr="00F070FA">
        <w:rPr>
          <w:sz w:val="20"/>
          <w:szCs w:val="24"/>
        </w:rPr>
        <w:br/>
      </w:r>
      <w:r w:rsidR="000D35D6" w:rsidRPr="00F070FA">
        <w:rPr>
          <w:sz w:val="20"/>
          <w:szCs w:val="24"/>
        </w:rPr>
        <w:t>Currently, assessment of all outcomes, but especially outcomes one and four, are a</w:t>
      </w:r>
      <w:r w:rsidRPr="00F070FA">
        <w:rPr>
          <w:sz w:val="20"/>
          <w:szCs w:val="24"/>
        </w:rPr>
        <w:t xml:space="preserve">t the “good” level.  </w:t>
      </w:r>
      <w:r w:rsidR="000D35D6" w:rsidRPr="00F070FA">
        <w:rPr>
          <w:sz w:val="20"/>
          <w:szCs w:val="24"/>
        </w:rPr>
        <w:t>We plan to make the following two changes in curriculum:</w:t>
      </w:r>
      <w:r w:rsidR="0025593E" w:rsidRPr="00F070FA">
        <w:rPr>
          <w:sz w:val="20"/>
          <w:szCs w:val="24"/>
        </w:rPr>
        <w:br/>
      </w:r>
      <w:r w:rsidR="000D35D6" w:rsidRPr="00F070FA">
        <w:rPr>
          <w:sz w:val="20"/>
          <w:szCs w:val="24"/>
        </w:rPr>
        <w:br/>
        <w:t xml:space="preserve"> </w:t>
      </w:r>
      <w:r w:rsidR="000D35D6" w:rsidRPr="00F070FA">
        <w:rPr>
          <w:sz w:val="20"/>
          <w:szCs w:val="24"/>
        </w:rPr>
        <w:tab/>
        <w:t>1</w:t>
      </w:r>
      <w:r w:rsidR="00D87A7F" w:rsidRPr="00F070FA">
        <w:rPr>
          <w:sz w:val="20"/>
          <w:szCs w:val="24"/>
        </w:rPr>
        <w:t>) Writing</w:t>
      </w:r>
      <w:r w:rsidR="00A320B6" w:rsidRPr="00F070FA">
        <w:rPr>
          <w:sz w:val="20"/>
          <w:szCs w:val="24"/>
        </w:rPr>
        <w:t xml:space="preserve"> within the curriculum has improved over the years due to faculty efforts regarding report development.  However, project documentation, a form of writing, continues to be an issue.  We have implemented a policy </w:t>
      </w:r>
      <w:r w:rsidR="00F070FA" w:rsidRPr="00F070FA">
        <w:rPr>
          <w:sz w:val="20"/>
          <w:szCs w:val="24"/>
        </w:rPr>
        <w:t xml:space="preserve">in our capstone class </w:t>
      </w:r>
      <w:r w:rsidR="00820270">
        <w:rPr>
          <w:sz w:val="20"/>
          <w:szCs w:val="24"/>
        </w:rPr>
        <w:t xml:space="preserve">that </w:t>
      </w:r>
      <w:r w:rsidR="000D35D6" w:rsidRPr="00F070FA">
        <w:rPr>
          <w:sz w:val="20"/>
          <w:szCs w:val="24"/>
        </w:rPr>
        <w:t xml:space="preserve">students </w:t>
      </w:r>
      <w:r w:rsidR="00F070FA" w:rsidRPr="00F070FA">
        <w:rPr>
          <w:sz w:val="20"/>
          <w:szCs w:val="24"/>
        </w:rPr>
        <w:t xml:space="preserve">must </w:t>
      </w:r>
      <w:r w:rsidR="000D35D6" w:rsidRPr="00F070FA">
        <w:rPr>
          <w:sz w:val="20"/>
          <w:szCs w:val="24"/>
        </w:rPr>
        <w:t xml:space="preserve">maintain a journal of daily activities related to the capstone.  Although this was actually introduced last </w:t>
      </w:r>
      <w:r w:rsidR="00F070FA" w:rsidRPr="00F070FA">
        <w:rPr>
          <w:sz w:val="20"/>
          <w:szCs w:val="24"/>
        </w:rPr>
        <w:t>spring</w:t>
      </w:r>
      <w:r w:rsidR="000D35D6" w:rsidRPr="00F070FA">
        <w:rPr>
          <w:sz w:val="20"/>
          <w:szCs w:val="24"/>
        </w:rPr>
        <w:t xml:space="preserve"> (though not documented in the annual update</w:t>
      </w:r>
      <w:r w:rsidR="00A320B6" w:rsidRPr="00F070FA">
        <w:rPr>
          <w:sz w:val="20"/>
          <w:szCs w:val="24"/>
        </w:rPr>
        <w:t xml:space="preserve"> report</w:t>
      </w:r>
      <w:r w:rsidR="000D35D6" w:rsidRPr="00F070FA">
        <w:rPr>
          <w:sz w:val="20"/>
          <w:szCs w:val="24"/>
        </w:rPr>
        <w:t xml:space="preserve">), </w:t>
      </w:r>
      <w:r w:rsidR="00A320B6" w:rsidRPr="00F070FA">
        <w:rPr>
          <w:sz w:val="20"/>
          <w:szCs w:val="24"/>
        </w:rPr>
        <w:t xml:space="preserve">faculty have </w:t>
      </w:r>
      <w:r w:rsidR="0025593E" w:rsidRPr="00F070FA">
        <w:rPr>
          <w:sz w:val="20"/>
          <w:szCs w:val="24"/>
        </w:rPr>
        <w:t>realize</w:t>
      </w:r>
      <w:r w:rsidR="00A320B6" w:rsidRPr="00F070FA">
        <w:rPr>
          <w:sz w:val="20"/>
          <w:szCs w:val="24"/>
        </w:rPr>
        <w:t>d</w:t>
      </w:r>
      <w:r w:rsidR="0025593E" w:rsidRPr="00F070FA">
        <w:rPr>
          <w:sz w:val="20"/>
          <w:szCs w:val="24"/>
        </w:rPr>
        <w:t xml:space="preserve"> improvements need to be made so students better understand the necessity of the journal and what constitutes proper and adequate</w:t>
      </w:r>
      <w:r w:rsidR="00A320B6" w:rsidRPr="00F070FA">
        <w:rPr>
          <w:sz w:val="20"/>
          <w:szCs w:val="24"/>
        </w:rPr>
        <w:t xml:space="preserve"> information for purposes of documentation.  To determine whether or not the student understands this process, we plan on having individual journals available to advisory committee members for review during the capstone eve</w:t>
      </w:r>
      <w:r w:rsidR="00F070FA" w:rsidRPr="00F070FA">
        <w:rPr>
          <w:sz w:val="20"/>
          <w:szCs w:val="24"/>
        </w:rPr>
        <w:t>nt at the end of spring quarter, something we did not do during the last capstone event.</w:t>
      </w:r>
      <w:r w:rsidR="0025593E" w:rsidRPr="00F070FA">
        <w:rPr>
          <w:sz w:val="20"/>
          <w:szCs w:val="24"/>
        </w:rPr>
        <w:br/>
      </w:r>
      <w:r w:rsidR="0025593E" w:rsidRPr="00F070FA">
        <w:rPr>
          <w:sz w:val="20"/>
          <w:szCs w:val="24"/>
        </w:rPr>
        <w:br/>
        <w:t xml:space="preserve"> </w:t>
      </w:r>
      <w:r w:rsidR="0025593E" w:rsidRPr="00F070FA">
        <w:rPr>
          <w:sz w:val="20"/>
          <w:szCs w:val="24"/>
        </w:rPr>
        <w:tab/>
        <w:t xml:space="preserve">2)  </w:t>
      </w:r>
      <w:r w:rsidR="00A320B6" w:rsidRPr="00F070FA">
        <w:rPr>
          <w:sz w:val="20"/>
          <w:szCs w:val="24"/>
        </w:rPr>
        <w:t>We will i</w:t>
      </w:r>
      <w:r w:rsidR="00405728" w:rsidRPr="00F070FA">
        <w:rPr>
          <w:sz w:val="20"/>
          <w:szCs w:val="24"/>
        </w:rPr>
        <w:t>ntroduce system software and coil software in an attempt to improve the understanding of coil performance as well as system layout and operation</w:t>
      </w:r>
      <w:r w:rsidR="00F070FA" w:rsidRPr="00F070FA">
        <w:rPr>
          <w:sz w:val="20"/>
          <w:szCs w:val="24"/>
        </w:rPr>
        <w:t xml:space="preserve"> as presented in </w:t>
      </w:r>
      <w:r w:rsidR="00A320B6" w:rsidRPr="00F070FA">
        <w:rPr>
          <w:sz w:val="20"/>
          <w:szCs w:val="24"/>
        </w:rPr>
        <w:t>HVA 253</w:t>
      </w:r>
      <w:r w:rsidR="00405728" w:rsidRPr="00F070FA">
        <w:rPr>
          <w:sz w:val="20"/>
          <w:szCs w:val="24"/>
        </w:rPr>
        <w:t>.</w:t>
      </w:r>
      <w:r w:rsidR="00A320B6" w:rsidRPr="00F070FA">
        <w:rPr>
          <w:sz w:val="20"/>
          <w:szCs w:val="24"/>
        </w:rPr>
        <w:t xml:space="preserve">  The software is already purchased and installed.  Although the intent was to use the software over the fall 2011 quarter, this did not happen.  As a result, further assessment of current practice has allowed faculty to better and more precisely define what changes are needed in this course.  This software </w:t>
      </w:r>
      <w:r w:rsidR="00F070FA" w:rsidRPr="00F070FA">
        <w:rPr>
          <w:sz w:val="20"/>
          <w:szCs w:val="24"/>
        </w:rPr>
        <w:t>will</w:t>
      </w:r>
      <w:r w:rsidR="00A320B6" w:rsidRPr="00F070FA">
        <w:rPr>
          <w:sz w:val="20"/>
          <w:szCs w:val="24"/>
        </w:rPr>
        <w:t xml:space="preserve"> be embedded into the curriculum for the first semester of the Q2S conversion.  The impact of the use of this software should be evident during the qualitative portion of the final exam for this course.  During this exam, the student is required to define a specific process.  In the past, the students have not done the best job of doing so.  It is anticipated that the use of such software, which allows better system visualization, will improve the students overall understanding of HVAC systems. </w:t>
      </w:r>
    </w:p>
    <w:p w:rsidR="00A320B6" w:rsidRPr="00F070FA" w:rsidRDefault="00121D1B" w:rsidP="00121D1B">
      <w:pPr>
        <w:pStyle w:val="ListParagraph"/>
        <w:numPr>
          <w:ilvl w:val="0"/>
          <w:numId w:val="4"/>
        </w:numPr>
        <w:spacing w:after="240"/>
        <w:contextualSpacing w:val="0"/>
        <w:rPr>
          <w:sz w:val="20"/>
          <w:szCs w:val="24"/>
        </w:rPr>
      </w:pPr>
      <w:r w:rsidRPr="00F070FA">
        <w:rPr>
          <w:sz w:val="20"/>
          <w:szCs w:val="24"/>
        </w:rPr>
        <w:t>What other changes have been made in past years as a result of assessment of program outcomes?  What evidence is there that these changes have had an impact?</w:t>
      </w:r>
      <w:r w:rsidRPr="00F070FA">
        <w:rPr>
          <w:sz w:val="20"/>
          <w:szCs w:val="24"/>
        </w:rPr>
        <w:br/>
      </w:r>
      <w:r w:rsidRPr="00F070FA">
        <w:rPr>
          <w:sz w:val="20"/>
          <w:szCs w:val="24"/>
        </w:rPr>
        <w:br/>
      </w:r>
      <w:r w:rsidR="00405728" w:rsidRPr="00F070FA">
        <w:rPr>
          <w:sz w:val="20"/>
          <w:szCs w:val="24"/>
        </w:rPr>
        <w:t>W</w:t>
      </w:r>
      <w:r w:rsidRPr="00F070FA">
        <w:rPr>
          <w:sz w:val="20"/>
          <w:szCs w:val="24"/>
        </w:rPr>
        <w:t xml:space="preserve">riting and presentation assignments were implemented in several courses the past few years and student written materials and presentations in the capstone course </w:t>
      </w:r>
      <w:r w:rsidR="005878BC" w:rsidRPr="00F070FA">
        <w:rPr>
          <w:sz w:val="20"/>
          <w:szCs w:val="24"/>
        </w:rPr>
        <w:t>continue to improve</w:t>
      </w:r>
      <w:r w:rsidRPr="00F070FA">
        <w:rPr>
          <w:sz w:val="20"/>
          <w:szCs w:val="24"/>
        </w:rPr>
        <w:t>.</w:t>
      </w:r>
      <w:r w:rsidR="00A320B6" w:rsidRPr="00F070FA">
        <w:rPr>
          <w:sz w:val="20"/>
          <w:szCs w:val="24"/>
        </w:rPr>
        <w:br/>
      </w:r>
      <w:r w:rsidR="00A320B6" w:rsidRPr="00F070FA">
        <w:rPr>
          <w:sz w:val="20"/>
          <w:szCs w:val="24"/>
        </w:rPr>
        <w:br/>
      </w:r>
      <w:r w:rsidR="005878BC" w:rsidRPr="00F070FA">
        <w:rPr>
          <w:sz w:val="20"/>
          <w:szCs w:val="24"/>
        </w:rPr>
        <w:lastRenderedPageBreak/>
        <w:t xml:space="preserve">Within our control courses, </w:t>
      </w:r>
      <w:r w:rsidR="00F070FA" w:rsidRPr="00F070FA">
        <w:rPr>
          <w:sz w:val="20"/>
          <w:szCs w:val="24"/>
        </w:rPr>
        <w:t>faculty</w:t>
      </w:r>
      <w:r w:rsidR="00A320B6" w:rsidRPr="00F070FA">
        <w:rPr>
          <w:sz w:val="20"/>
          <w:szCs w:val="24"/>
        </w:rPr>
        <w:t xml:space="preserve"> assessme</w:t>
      </w:r>
      <w:r w:rsidR="005878BC" w:rsidRPr="00F070FA">
        <w:rPr>
          <w:sz w:val="20"/>
          <w:szCs w:val="24"/>
        </w:rPr>
        <w:t xml:space="preserve">nt of student progress </w:t>
      </w:r>
      <w:r w:rsidR="00F070FA" w:rsidRPr="00F070FA">
        <w:rPr>
          <w:sz w:val="20"/>
          <w:szCs w:val="24"/>
        </w:rPr>
        <w:t>indicates</w:t>
      </w:r>
      <w:r w:rsidR="00A320B6" w:rsidRPr="00F070FA">
        <w:rPr>
          <w:sz w:val="20"/>
          <w:szCs w:val="24"/>
        </w:rPr>
        <w:t xml:space="preserve"> a better understanding of control, but a la</w:t>
      </w:r>
      <w:r w:rsidR="00F070FA" w:rsidRPr="00F070FA">
        <w:rPr>
          <w:sz w:val="20"/>
          <w:szCs w:val="24"/>
        </w:rPr>
        <w:t xml:space="preserve">ck </w:t>
      </w:r>
      <w:r w:rsidR="00A320B6" w:rsidRPr="00F070FA">
        <w:rPr>
          <w:sz w:val="20"/>
          <w:szCs w:val="24"/>
        </w:rPr>
        <w:t>understanding</w:t>
      </w:r>
      <w:r w:rsidR="00F070FA" w:rsidRPr="00F070FA">
        <w:rPr>
          <w:sz w:val="20"/>
          <w:szCs w:val="24"/>
        </w:rPr>
        <w:t xml:space="preserve"> over a breadth of issues regarding HVAC control</w:t>
      </w:r>
      <w:r w:rsidR="00A320B6" w:rsidRPr="00F070FA">
        <w:rPr>
          <w:sz w:val="20"/>
          <w:szCs w:val="24"/>
        </w:rPr>
        <w:t>.  As a result, we’ve</w:t>
      </w:r>
      <w:r w:rsidR="00F070FA" w:rsidRPr="00F070FA">
        <w:rPr>
          <w:sz w:val="20"/>
          <w:szCs w:val="24"/>
        </w:rPr>
        <w:t xml:space="preserve"> recently</w:t>
      </w:r>
      <w:r w:rsidR="00A320B6" w:rsidRPr="00F070FA">
        <w:rPr>
          <w:sz w:val="20"/>
          <w:szCs w:val="24"/>
        </w:rPr>
        <w:t xml:space="preserve"> introduced the control hardware into</w:t>
      </w:r>
      <w:r w:rsidR="00F070FA" w:rsidRPr="00F070FA">
        <w:rPr>
          <w:sz w:val="20"/>
          <w:szCs w:val="24"/>
        </w:rPr>
        <w:t xml:space="preserve"> our</w:t>
      </w:r>
      <w:r w:rsidR="00A320B6" w:rsidRPr="00F070FA">
        <w:rPr>
          <w:sz w:val="20"/>
          <w:szCs w:val="24"/>
        </w:rPr>
        <w:t xml:space="preserve"> first level </w:t>
      </w:r>
      <w:r w:rsidR="00F070FA" w:rsidRPr="00F070FA">
        <w:rPr>
          <w:sz w:val="20"/>
          <w:szCs w:val="24"/>
        </w:rPr>
        <w:t xml:space="preserve">HVAC </w:t>
      </w:r>
      <w:r w:rsidR="00A320B6" w:rsidRPr="00F070FA">
        <w:rPr>
          <w:sz w:val="20"/>
          <w:szCs w:val="24"/>
        </w:rPr>
        <w:t>course with the hope that early familiarity in the first course</w:t>
      </w:r>
      <w:r w:rsidR="00F070FA" w:rsidRPr="00F070FA">
        <w:rPr>
          <w:sz w:val="20"/>
          <w:szCs w:val="24"/>
        </w:rPr>
        <w:t xml:space="preserve"> will allow us to provide more breadth of instruction as desired by local industry.</w:t>
      </w:r>
    </w:p>
    <w:p w:rsidR="00F070FA" w:rsidRPr="00E53392" w:rsidRDefault="00121D1B" w:rsidP="00E53392">
      <w:pPr>
        <w:pStyle w:val="ListParagraph"/>
        <w:numPr>
          <w:ilvl w:val="0"/>
          <w:numId w:val="4"/>
        </w:numPr>
        <w:spacing w:after="240"/>
        <w:contextualSpacing w:val="0"/>
        <w:rPr>
          <w:sz w:val="20"/>
          <w:szCs w:val="24"/>
        </w:rPr>
      </w:pPr>
      <w:r w:rsidRPr="00F070FA">
        <w:rPr>
          <w:sz w:val="20"/>
          <w:szCs w:val="24"/>
        </w:rPr>
        <w:t>Describe general education changes/improvements in your program/department during this past academic year (</w:t>
      </w:r>
      <w:r w:rsidR="0010691D" w:rsidRPr="00F070FA">
        <w:rPr>
          <w:sz w:val="20"/>
          <w:szCs w:val="24"/>
        </w:rPr>
        <w:t>10-11).</w:t>
      </w:r>
      <w:r w:rsidR="0010691D" w:rsidRPr="00F070FA">
        <w:rPr>
          <w:sz w:val="20"/>
          <w:szCs w:val="24"/>
        </w:rPr>
        <w:br/>
      </w:r>
      <w:r w:rsidR="0010691D" w:rsidRPr="00F070FA">
        <w:rPr>
          <w:sz w:val="20"/>
          <w:szCs w:val="24"/>
        </w:rPr>
        <w:br/>
      </w:r>
      <w:r w:rsidR="005878BC" w:rsidRPr="00F070FA">
        <w:rPr>
          <w:sz w:val="20"/>
          <w:szCs w:val="24"/>
        </w:rPr>
        <w:t>We</w:t>
      </w:r>
      <w:r w:rsidR="00F070FA" w:rsidRPr="00F070FA">
        <w:rPr>
          <w:sz w:val="20"/>
          <w:szCs w:val="24"/>
        </w:rPr>
        <w:t>’ve</w:t>
      </w:r>
      <w:r w:rsidR="005878BC" w:rsidRPr="00F070FA">
        <w:rPr>
          <w:sz w:val="20"/>
          <w:szCs w:val="24"/>
        </w:rPr>
        <w:t xml:space="preserve"> added documentation efforts as described in </w:t>
      </w:r>
      <w:r w:rsidR="00F070FA" w:rsidRPr="00F070FA">
        <w:rPr>
          <w:sz w:val="20"/>
          <w:szCs w:val="24"/>
        </w:rPr>
        <w:t>(</w:t>
      </w:r>
      <w:r w:rsidR="005878BC" w:rsidRPr="00F070FA">
        <w:rPr>
          <w:sz w:val="20"/>
          <w:szCs w:val="24"/>
        </w:rPr>
        <w:t>a) (1) above.</w:t>
      </w:r>
    </w:p>
    <w:p w:rsidR="006828F9" w:rsidRPr="00E4637F" w:rsidRDefault="006828F9" w:rsidP="006828F9">
      <w:pPr>
        <w:rPr>
          <w:sz w:val="24"/>
          <w:szCs w:val="24"/>
          <w:u w:val="single"/>
        </w:rPr>
      </w:pPr>
      <w:r w:rsidRPr="00E4637F">
        <w:rPr>
          <w:sz w:val="24"/>
          <w:szCs w:val="24"/>
          <w:u w:val="single"/>
        </w:rPr>
        <w:t>Section I</w:t>
      </w:r>
      <w:r>
        <w:rPr>
          <w:sz w:val="24"/>
          <w:szCs w:val="24"/>
          <w:u w:val="single"/>
        </w:rPr>
        <w:t>V</w:t>
      </w:r>
      <w:r w:rsidRPr="00E4637F">
        <w:rPr>
          <w:sz w:val="24"/>
          <w:szCs w:val="24"/>
          <w:u w:val="single"/>
        </w:rPr>
        <w:t xml:space="preserve">: </w:t>
      </w:r>
      <w:r>
        <w:rPr>
          <w:sz w:val="24"/>
          <w:szCs w:val="24"/>
          <w:u w:val="single"/>
        </w:rPr>
        <w:t>Improvement Efforts for the Fiscal Year</w:t>
      </w:r>
    </w:p>
    <w:p w:rsidR="00121D1B" w:rsidRDefault="005878BC" w:rsidP="006828F9">
      <w:pPr>
        <w:pStyle w:val="ListParagraph"/>
        <w:numPr>
          <w:ilvl w:val="0"/>
          <w:numId w:val="5"/>
        </w:numPr>
        <w:spacing w:after="240"/>
        <w:contextualSpacing w:val="0"/>
        <w:rPr>
          <w:sz w:val="20"/>
          <w:szCs w:val="24"/>
        </w:rPr>
      </w:pPr>
      <w:r w:rsidRPr="00D87A7F">
        <w:rPr>
          <w:b/>
          <w:sz w:val="24"/>
          <w:szCs w:val="24"/>
          <w:u w:val="single"/>
        </w:rPr>
        <w:t>FY 10-11</w:t>
      </w:r>
      <w:r w:rsidR="00625D7D" w:rsidRPr="00D87A7F">
        <w:rPr>
          <w:b/>
          <w:sz w:val="24"/>
          <w:szCs w:val="24"/>
          <w:u w:val="single"/>
        </w:rPr>
        <w:t>:</w:t>
      </w:r>
      <w:r w:rsidR="00625D7D" w:rsidRPr="00D87A7F">
        <w:rPr>
          <w:sz w:val="20"/>
          <w:szCs w:val="24"/>
        </w:rPr>
        <w:t xml:space="preserve"> What other improvement efforts did the department make in FY </w:t>
      </w:r>
      <w:r w:rsidR="00F070FA" w:rsidRPr="00D87A7F">
        <w:rPr>
          <w:sz w:val="20"/>
          <w:szCs w:val="24"/>
        </w:rPr>
        <w:t>10</w:t>
      </w:r>
      <w:r w:rsidR="00F070FA" w:rsidRPr="00D87A7F">
        <w:rPr>
          <w:sz w:val="20"/>
          <w:szCs w:val="24"/>
        </w:rPr>
        <w:noBreakHyphen/>
        <w:t>11</w:t>
      </w:r>
      <w:r w:rsidR="00625D7D" w:rsidRPr="00D87A7F">
        <w:rPr>
          <w:sz w:val="20"/>
          <w:szCs w:val="24"/>
        </w:rPr>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r w:rsidR="00625D7D" w:rsidRPr="00D87A7F">
        <w:rPr>
          <w:sz w:val="20"/>
          <w:szCs w:val="24"/>
        </w:rPr>
        <w:br/>
      </w:r>
      <w:r w:rsidR="00625D7D" w:rsidRPr="00D87A7F">
        <w:rPr>
          <w:sz w:val="20"/>
          <w:szCs w:val="24"/>
        </w:rPr>
        <w:br/>
      </w:r>
      <w:proofErr w:type="gramStart"/>
      <w:r w:rsidR="00A27322">
        <w:rPr>
          <w:sz w:val="20"/>
          <w:szCs w:val="24"/>
        </w:rPr>
        <w:t>The</w:t>
      </w:r>
      <w:proofErr w:type="gramEnd"/>
      <w:r w:rsidR="00A27322">
        <w:rPr>
          <w:sz w:val="20"/>
          <w:szCs w:val="24"/>
        </w:rPr>
        <w:t xml:space="preserve"> primary improvement was the integration of new control technology in HVA 243.  However, this is also coupled with attempts to improve teamwork and intra-team communication by employing </w:t>
      </w:r>
      <w:proofErr w:type="spellStart"/>
      <w:r w:rsidR="00A27322">
        <w:rPr>
          <w:sz w:val="20"/>
          <w:szCs w:val="24"/>
        </w:rPr>
        <w:t>project</w:t>
      </w:r>
      <w:r w:rsidR="00A27322">
        <w:rPr>
          <w:sz w:val="20"/>
          <w:szCs w:val="24"/>
        </w:rPr>
        <w:noBreakHyphen/>
        <w:t>based</w:t>
      </w:r>
      <w:proofErr w:type="spellEnd"/>
      <w:r w:rsidR="00A27322">
        <w:rPr>
          <w:sz w:val="20"/>
          <w:szCs w:val="24"/>
        </w:rPr>
        <w:t xml:space="preserve"> instruction in the same course.  We do need to continue to work on the </w:t>
      </w:r>
      <w:proofErr w:type="spellStart"/>
      <w:r w:rsidR="00A27322">
        <w:rPr>
          <w:sz w:val="20"/>
          <w:szCs w:val="24"/>
        </w:rPr>
        <w:t>project</w:t>
      </w:r>
      <w:r w:rsidR="00A27322">
        <w:rPr>
          <w:sz w:val="20"/>
          <w:szCs w:val="24"/>
        </w:rPr>
        <w:noBreakHyphen/>
        <w:t>based</w:t>
      </w:r>
      <w:proofErr w:type="spellEnd"/>
      <w:r w:rsidR="00A27322">
        <w:rPr>
          <w:sz w:val="20"/>
          <w:szCs w:val="24"/>
        </w:rPr>
        <w:t xml:space="preserve"> learning model to ensure each student is getting the most from the course.</w:t>
      </w:r>
    </w:p>
    <w:p w:rsidR="00A27322" w:rsidRDefault="00A27322" w:rsidP="00A27322">
      <w:pPr>
        <w:pStyle w:val="ListParagraph"/>
        <w:spacing w:after="240"/>
        <w:ind w:left="1080"/>
        <w:contextualSpacing w:val="0"/>
        <w:rPr>
          <w:sz w:val="20"/>
          <w:szCs w:val="24"/>
        </w:rPr>
      </w:pPr>
      <w:r>
        <w:rPr>
          <w:sz w:val="20"/>
          <w:szCs w:val="24"/>
        </w:rPr>
        <w:t>A second improvement was the inclusion of a requirement to keep project journals in the capstone course.  We believe this is a very good first step to teaching the importance of project documentation.  However, it needs to be strengthened by providing better guidance as to what constitutes a good project journal.</w:t>
      </w:r>
    </w:p>
    <w:p w:rsidR="00A27322" w:rsidRPr="00D87A7F" w:rsidRDefault="00A27322" w:rsidP="00A27322">
      <w:pPr>
        <w:pStyle w:val="ListParagraph"/>
        <w:spacing w:after="240"/>
        <w:ind w:left="1080"/>
        <w:contextualSpacing w:val="0"/>
        <w:rPr>
          <w:sz w:val="20"/>
          <w:szCs w:val="24"/>
        </w:rPr>
      </w:pPr>
      <w:r>
        <w:rPr>
          <w:sz w:val="20"/>
          <w:szCs w:val="24"/>
        </w:rPr>
        <w:t>A third attempt at improvement was the use of concept mapping within a course designed to teach the more important ASHRAE standards used in today’s building codes.  Concept mapping did not seem to work well since the student tended to look at the process as a homework assignment rather than a study aid.  We do not plan on continuing the application of concept mapping</w:t>
      </w:r>
      <w:r w:rsidR="00915A49">
        <w:rPr>
          <w:sz w:val="20"/>
          <w:szCs w:val="24"/>
        </w:rPr>
        <w:t>.</w:t>
      </w:r>
      <w:r>
        <w:rPr>
          <w:sz w:val="20"/>
          <w:szCs w:val="24"/>
        </w:rPr>
        <w:t xml:space="preserve"> </w:t>
      </w:r>
    </w:p>
    <w:p w:rsidR="00625D7D" w:rsidRPr="00D87A7F" w:rsidRDefault="00625D7D" w:rsidP="00625D7D">
      <w:pPr>
        <w:pStyle w:val="ListParagraph"/>
        <w:numPr>
          <w:ilvl w:val="0"/>
          <w:numId w:val="5"/>
        </w:numPr>
        <w:spacing w:after="240"/>
        <w:contextualSpacing w:val="0"/>
        <w:rPr>
          <w:sz w:val="20"/>
          <w:szCs w:val="24"/>
        </w:rPr>
      </w:pPr>
      <w:r w:rsidRPr="00D87A7F">
        <w:rPr>
          <w:b/>
          <w:sz w:val="24"/>
          <w:szCs w:val="24"/>
          <w:u w:val="single"/>
        </w:rPr>
        <w:t>FY 1</w:t>
      </w:r>
      <w:r w:rsidR="005878BC" w:rsidRPr="00D87A7F">
        <w:rPr>
          <w:b/>
          <w:sz w:val="24"/>
          <w:szCs w:val="24"/>
          <w:u w:val="single"/>
        </w:rPr>
        <w:t>1</w:t>
      </w:r>
      <w:r w:rsidRPr="00D87A7F">
        <w:rPr>
          <w:b/>
          <w:sz w:val="24"/>
          <w:szCs w:val="24"/>
          <w:u w:val="single"/>
        </w:rPr>
        <w:t>-1</w:t>
      </w:r>
      <w:r w:rsidR="005878BC" w:rsidRPr="00D87A7F">
        <w:rPr>
          <w:b/>
          <w:sz w:val="24"/>
          <w:szCs w:val="24"/>
          <w:u w:val="single"/>
        </w:rPr>
        <w:t>2</w:t>
      </w:r>
      <w:r w:rsidRPr="00D87A7F">
        <w:rPr>
          <w:b/>
          <w:sz w:val="24"/>
          <w:szCs w:val="24"/>
          <w:u w:val="single"/>
        </w:rPr>
        <w:t>:</w:t>
      </w:r>
      <w:r w:rsidRPr="00D87A7F">
        <w:rPr>
          <w:sz w:val="20"/>
          <w:szCs w:val="24"/>
        </w:rPr>
        <w:t xml:space="preserve"> What improvement efforts does the department have planned for FY 1</w:t>
      </w:r>
      <w:r w:rsidR="005878BC" w:rsidRPr="00D87A7F">
        <w:rPr>
          <w:sz w:val="20"/>
          <w:szCs w:val="24"/>
        </w:rPr>
        <w:t>1</w:t>
      </w:r>
      <w:r w:rsidRPr="00D87A7F">
        <w:rPr>
          <w:sz w:val="20"/>
          <w:szCs w:val="24"/>
        </w:rPr>
        <w:noBreakHyphen/>
        <w:t>1</w:t>
      </w:r>
      <w:r w:rsidR="005878BC" w:rsidRPr="00D87A7F">
        <w:rPr>
          <w:sz w:val="20"/>
          <w:szCs w:val="24"/>
        </w:rPr>
        <w:t>2</w:t>
      </w:r>
      <w:r w:rsidRPr="00D87A7F">
        <w:rPr>
          <w:sz w:val="20"/>
          <w:szCs w:val="24"/>
        </w:rPr>
        <w:t>?  How will you know whether you have been successful?</w:t>
      </w:r>
      <w:r w:rsidRPr="00D87A7F">
        <w:rPr>
          <w:sz w:val="20"/>
          <w:szCs w:val="24"/>
        </w:rPr>
        <w:br/>
      </w:r>
      <w:r w:rsidRPr="00D87A7F">
        <w:rPr>
          <w:sz w:val="20"/>
          <w:szCs w:val="24"/>
        </w:rPr>
        <w:br/>
      </w:r>
      <w:r w:rsidR="00915A49">
        <w:rPr>
          <w:sz w:val="20"/>
          <w:szCs w:val="24"/>
        </w:rPr>
        <w:t>There are two major improvements we plan</w:t>
      </w:r>
      <w:r w:rsidR="00820270">
        <w:rPr>
          <w:sz w:val="20"/>
          <w:szCs w:val="24"/>
        </w:rPr>
        <w:t xml:space="preserve"> on doing for next year:</w:t>
      </w:r>
      <w:r w:rsidR="00820270">
        <w:rPr>
          <w:sz w:val="20"/>
          <w:szCs w:val="24"/>
        </w:rPr>
        <w:br/>
      </w:r>
      <w:r w:rsidR="00820270">
        <w:rPr>
          <w:sz w:val="20"/>
          <w:szCs w:val="24"/>
        </w:rPr>
        <w:br/>
        <w:t xml:space="preserve"> </w:t>
      </w:r>
      <w:r w:rsidR="00820270">
        <w:rPr>
          <w:sz w:val="20"/>
          <w:szCs w:val="24"/>
        </w:rPr>
        <w:tab/>
        <w:t xml:space="preserve">1) </w:t>
      </w:r>
      <w:r w:rsidR="00915A49">
        <w:rPr>
          <w:sz w:val="20"/>
          <w:szCs w:val="24"/>
        </w:rPr>
        <w:t>As discussed in III(a)(2) above, we will introduce the use of system design software and coil performance software to better enhance the understanding of system operations.</w:t>
      </w:r>
      <w:r w:rsidRPr="00D87A7F">
        <w:rPr>
          <w:sz w:val="20"/>
          <w:szCs w:val="24"/>
        </w:rPr>
        <w:br/>
      </w:r>
      <w:r w:rsidRPr="00D87A7F">
        <w:rPr>
          <w:sz w:val="20"/>
          <w:szCs w:val="24"/>
        </w:rPr>
        <w:br/>
      </w:r>
      <w:r w:rsidR="00915A49">
        <w:rPr>
          <w:sz w:val="20"/>
          <w:szCs w:val="24"/>
        </w:rPr>
        <w:t xml:space="preserve"> </w:t>
      </w:r>
      <w:r w:rsidR="00915A49">
        <w:rPr>
          <w:sz w:val="20"/>
          <w:szCs w:val="24"/>
        </w:rPr>
        <w:tab/>
        <w:t xml:space="preserve">2) We will continue to improve the integration of the </w:t>
      </w:r>
      <w:proofErr w:type="spellStart"/>
      <w:r w:rsidR="00915A49">
        <w:rPr>
          <w:sz w:val="20"/>
          <w:szCs w:val="24"/>
        </w:rPr>
        <w:t>Tridium</w:t>
      </w:r>
      <w:proofErr w:type="spellEnd"/>
      <w:r w:rsidR="00915A49">
        <w:rPr>
          <w:sz w:val="20"/>
          <w:szCs w:val="24"/>
        </w:rPr>
        <w:t xml:space="preserve"> HVAC control system into the HVAC control courses.</w:t>
      </w:r>
    </w:p>
    <w:sectPr w:rsidR="00625D7D" w:rsidRPr="00D87A7F" w:rsidSect="0047733C">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798" w:rsidRDefault="00261798" w:rsidP="005A79E2">
      <w:pPr>
        <w:spacing w:before="0" w:after="0" w:line="240" w:lineRule="auto"/>
      </w:pPr>
      <w:r>
        <w:separator/>
      </w:r>
    </w:p>
  </w:endnote>
  <w:endnote w:type="continuationSeparator" w:id="0">
    <w:p w:rsidR="00261798" w:rsidRDefault="00261798" w:rsidP="005A79E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798" w:rsidRDefault="00261798" w:rsidP="005A79E2">
      <w:pPr>
        <w:spacing w:before="0" w:after="0" w:line="240" w:lineRule="auto"/>
      </w:pPr>
      <w:r>
        <w:separator/>
      </w:r>
    </w:p>
  </w:footnote>
  <w:footnote w:type="continuationSeparator" w:id="0">
    <w:p w:rsidR="00261798" w:rsidRDefault="00261798" w:rsidP="005A79E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E2" w:rsidRDefault="005A79E2" w:rsidP="00CF02EE">
    <w:pPr>
      <w:pStyle w:val="Header"/>
      <w:spacing w:before="100" w:after="240"/>
      <w:jc w:val="center"/>
      <w:rPr>
        <w:sz w:val="28"/>
        <w:szCs w:val="20"/>
      </w:rPr>
    </w:pPr>
    <w:r w:rsidRPr="00CB3060">
      <w:rPr>
        <w:sz w:val="24"/>
        <w:szCs w:val="24"/>
      </w:rPr>
      <w:t xml:space="preserve">Sinclair Community </w:t>
    </w:r>
    <w:r w:rsidRPr="00CB3060">
      <w:rPr>
        <w:sz w:val="24"/>
        <w:szCs w:val="20"/>
      </w:rPr>
      <w:t xml:space="preserve">College – </w:t>
    </w:r>
    <w:r w:rsidRPr="00CB3060">
      <w:rPr>
        <w:sz w:val="28"/>
        <w:szCs w:val="20"/>
      </w:rPr>
      <w:t>Continuous Improvement Annual Update</w:t>
    </w:r>
    <w:r w:rsidRPr="00CB3060">
      <w:rPr>
        <w:sz w:val="28"/>
        <w:szCs w:val="20"/>
      </w:rPr>
      <w:br/>
      <w:t>201</w:t>
    </w:r>
    <w:r w:rsidR="00CC65CD">
      <w:rPr>
        <w:sz w:val="28"/>
        <w:szCs w:val="20"/>
      </w:rPr>
      <w:t>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007F"/>
    <w:multiLevelType w:val="hybridMultilevel"/>
    <w:tmpl w:val="D702DEE8"/>
    <w:lvl w:ilvl="0" w:tplc="6E2AA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CE13D8"/>
    <w:multiLevelType w:val="multilevel"/>
    <w:tmpl w:val="046AA624"/>
    <w:lvl w:ilvl="0">
      <w:start w:val="1"/>
      <w:numFmt w:val="lowerLetter"/>
      <w:lvlText w:val="%1)"/>
      <w:lvlJc w:val="left"/>
      <w:pPr>
        <w:ind w:left="1080" w:hanging="360"/>
      </w:pPr>
      <w:rPr>
        <w:rFonts w:hint="default"/>
      </w:rPr>
    </w:lvl>
    <w:lvl w:ilvl="1">
      <w:start w:val="2"/>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3DD6796E"/>
    <w:multiLevelType w:val="multilevel"/>
    <w:tmpl w:val="61149C74"/>
    <w:lvl w:ilvl="0">
      <w:start w:val="1"/>
      <w:numFmt w:val="lowerLetter"/>
      <w:lvlText w:val="%1)"/>
      <w:lvlJc w:val="left"/>
      <w:pPr>
        <w:ind w:left="1080" w:hanging="360"/>
      </w:pPr>
      <w:rPr>
        <w:rFonts w:hint="default"/>
      </w:rPr>
    </w:lvl>
    <w:lvl w:ilvl="1">
      <w:start w:val="2"/>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451A3E70"/>
    <w:multiLevelType w:val="hybridMultilevel"/>
    <w:tmpl w:val="CDCA7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0B3259"/>
    <w:multiLevelType w:val="multilevel"/>
    <w:tmpl w:val="1F403D8C"/>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proofState w:spelling="clean" w:grammar="clean"/>
  <w:defaultTabStop w:val="720"/>
  <w:characterSpacingControl w:val="doNotCompress"/>
  <w:footnotePr>
    <w:footnote w:id="-1"/>
    <w:footnote w:id="0"/>
  </w:footnotePr>
  <w:endnotePr>
    <w:endnote w:id="-1"/>
    <w:endnote w:id="0"/>
  </w:endnotePr>
  <w:compat/>
  <w:rsids>
    <w:rsidRoot w:val="005A79E2"/>
    <w:rsid w:val="00024B50"/>
    <w:rsid w:val="000D35D6"/>
    <w:rsid w:val="0010691D"/>
    <w:rsid w:val="00121D1B"/>
    <w:rsid w:val="001C70E3"/>
    <w:rsid w:val="00255396"/>
    <w:rsid w:val="0025593E"/>
    <w:rsid w:val="00261798"/>
    <w:rsid w:val="00316541"/>
    <w:rsid w:val="00374403"/>
    <w:rsid w:val="003B297C"/>
    <w:rsid w:val="00405728"/>
    <w:rsid w:val="0047733C"/>
    <w:rsid w:val="004973A4"/>
    <w:rsid w:val="004A148C"/>
    <w:rsid w:val="00551F4A"/>
    <w:rsid w:val="005878BC"/>
    <w:rsid w:val="00591856"/>
    <w:rsid w:val="005A79E2"/>
    <w:rsid w:val="005C5F8E"/>
    <w:rsid w:val="00625D7D"/>
    <w:rsid w:val="006828F9"/>
    <w:rsid w:val="006923F5"/>
    <w:rsid w:val="006F11C4"/>
    <w:rsid w:val="007F4B51"/>
    <w:rsid w:val="00820270"/>
    <w:rsid w:val="008D0A04"/>
    <w:rsid w:val="00915A49"/>
    <w:rsid w:val="009319C2"/>
    <w:rsid w:val="00946F54"/>
    <w:rsid w:val="00A02248"/>
    <w:rsid w:val="00A27322"/>
    <w:rsid w:val="00A320B6"/>
    <w:rsid w:val="00A52E15"/>
    <w:rsid w:val="00A70D9F"/>
    <w:rsid w:val="00A77FF5"/>
    <w:rsid w:val="00A94CC7"/>
    <w:rsid w:val="00BE163D"/>
    <w:rsid w:val="00CB3060"/>
    <w:rsid w:val="00CC65CD"/>
    <w:rsid w:val="00CF02EE"/>
    <w:rsid w:val="00D256F6"/>
    <w:rsid w:val="00D4295B"/>
    <w:rsid w:val="00D65E6B"/>
    <w:rsid w:val="00D87A7F"/>
    <w:rsid w:val="00D97C23"/>
    <w:rsid w:val="00E20ED5"/>
    <w:rsid w:val="00E4637F"/>
    <w:rsid w:val="00E53392"/>
    <w:rsid w:val="00EC1C54"/>
    <w:rsid w:val="00EF56A2"/>
    <w:rsid w:val="00EF7D99"/>
    <w:rsid w:val="00F07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kern w:val="36"/>
        <w:sz w:val="48"/>
        <w:szCs w:val="48"/>
        <w:lang w:val="en-US" w:eastAsia="en-US" w:bidi="ar-SA"/>
      </w:rPr>
    </w:rPrDefault>
    <w:pPrDefault>
      <w:pPr>
        <w:spacing w:before="100" w:beforeAutospacing="1"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9E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79E2"/>
  </w:style>
  <w:style w:type="paragraph" w:styleId="Footer">
    <w:name w:val="footer"/>
    <w:basedOn w:val="Normal"/>
    <w:link w:val="FooterChar"/>
    <w:uiPriority w:val="99"/>
    <w:semiHidden/>
    <w:unhideWhenUsed/>
    <w:rsid w:val="005A79E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A79E2"/>
  </w:style>
  <w:style w:type="paragraph" w:styleId="BalloonText">
    <w:name w:val="Balloon Text"/>
    <w:basedOn w:val="Normal"/>
    <w:link w:val="BalloonTextChar"/>
    <w:uiPriority w:val="99"/>
    <w:semiHidden/>
    <w:unhideWhenUsed/>
    <w:rsid w:val="005A79E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E2"/>
    <w:rPr>
      <w:rFonts w:ascii="Tahoma" w:hAnsi="Tahoma" w:cs="Tahoma"/>
      <w:sz w:val="16"/>
      <w:szCs w:val="16"/>
    </w:rPr>
  </w:style>
  <w:style w:type="paragraph" w:styleId="ListParagraph">
    <w:name w:val="List Paragraph"/>
    <w:basedOn w:val="Normal"/>
    <w:uiPriority w:val="34"/>
    <w:qFormat/>
    <w:rsid w:val="00CB3060"/>
    <w:pPr>
      <w:ind w:left="720"/>
      <w:contextualSpacing/>
    </w:pPr>
  </w:style>
  <w:style w:type="table" w:styleId="TableGrid">
    <w:name w:val="Table Grid"/>
    <w:basedOn w:val="TableNormal"/>
    <w:uiPriority w:val="59"/>
    <w:rsid w:val="00E4637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70D9F"/>
    <w:pPr>
      <w:spacing w:before="0" w:after="200" w:line="240" w:lineRule="auto"/>
    </w:pPr>
    <w:rPr>
      <w:color w:val="4F81BD" w:themeColor="accent1"/>
      <w:sz w:val="18"/>
      <w:szCs w:val="18"/>
    </w:rPr>
  </w:style>
  <w:style w:type="character" w:styleId="PlaceholderText">
    <w:name w:val="Placeholder Text"/>
    <w:basedOn w:val="DefaultParagraphFont"/>
    <w:uiPriority w:val="99"/>
    <w:semiHidden/>
    <w:rsid w:val="0059185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2007_Workbook3.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Degree Completion Trends</a:t>
            </a:r>
          </a:p>
        </c:rich>
      </c:tx>
      <c:layout/>
    </c:title>
    <c:plotArea>
      <c:layout/>
      <c:lineChart>
        <c:grouping val="standard"/>
        <c:ser>
          <c:idx val="0"/>
          <c:order val="0"/>
          <c:tx>
            <c:strRef>
              <c:f>Sheet1!$B$1</c:f>
              <c:strCache>
                <c:ptCount val="1"/>
                <c:pt idx="0">
                  <c:v>HACO + HVACR</c:v>
                </c:pt>
              </c:strCache>
            </c:strRef>
          </c:tx>
          <c:marker>
            <c:symbol val="none"/>
          </c:marker>
          <c:cat>
            <c:strRef>
              <c:f>Sheet1!$A$2:$A$6</c:f>
              <c:strCache>
                <c:ptCount val="5"/>
                <c:pt idx="0">
                  <c:v>06-07</c:v>
                </c:pt>
                <c:pt idx="1">
                  <c:v>07-08</c:v>
                </c:pt>
                <c:pt idx="2">
                  <c:v>08-09</c:v>
                </c:pt>
                <c:pt idx="3">
                  <c:v>09-10</c:v>
                </c:pt>
                <c:pt idx="4">
                  <c:v>10-11</c:v>
                </c:pt>
              </c:strCache>
            </c:strRef>
          </c:cat>
          <c:val>
            <c:numRef>
              <c:f>Sheet1!$B$2:$B$6</c:f>
              <c:numCache>
                <c:formatCode>General</c:formatCode>
                <c:ptCount val="5"/>
                <c:pt idx="0">
                  <c:v>6</c:v>
                </c:pt>
                <c:pt idx="1">
                  <c:v>4</c:v>
                </c:pt>
                <c:pt idx="2">
                  <c:v>3</c:v>
                </c:pt>
                <c:pt idx="3">
                  <c:v>5</c:v>
                </c:pt>
                <c:pt idx="4">
                  <c:v>4</c:v>
                </c:pt>
              </c:numCache>
            </c:numRef>
          </c:val>
        </c:ser>
        <c:ser>
          <c:idx val="1"/>
          <c:order val="1"/>
          <c:tx>
            <c:strRef>
              <c:f>Sheet1!$C$1</c:f>
              <c:strCache>
                <c:ptCount val="1"/>
                <c:pt idx="0">
                  <c:v>LCHS</c:v>
                </c:pt>
              </c:strCache>
            </c:strRef>
          </c:tx>
          <c:spPr>
            <a:ln>
              <a:prstDash val="sysDash"/>
            </a:ln>
          </c:spPr>
          <c:marker>
            <c:symbol val="none"/>
          </c:marker>
          <c:cat>
            <c:strRef>
              <c:f>Sheet1!$A$2:$A$6</c:f>
              <c:strCache>
                <c:ptCount val="5"/>
                <c:pt idx="0">
                  <c:v>06-07</c:v>
                </c:pt>
                <c:pt idx="1">
                  <c:v>07-08</c:v>
                </c:pt>
                <c:pt idx="2">
                  <c:v>08-09</c:v>
                </c:pt>
                <c:pt idx="3">
                  <c:v>09-10</c:v>
                </c:pt>
                <c:pt idx="4">
                  <c:v>10-11</c:v>
                </c:pt>
              </c:strCache>
            </c:strRef>
          </c:cat>
          <c:val>
            <c:numRef>
              <c:f>Sheet1!$C$2:$C$6</c:f>
              <c:numCache>
                <c:formatCode>General</c:formatCode>
                <c:ptCount val="5"/>
                <c:pt idx="0">
                  <c:v>20</c:v>
                </c:pt>
                <c:pt idx="1">
                  <c:v>12</c:v>
                </c:pt>
                <c:pt idx="2">
                  <c:v>28</c:v>
                </c:pt>
                <c:pt idx="3">
                  <c:v>19</c:v>
                </c:pt>
                <c:pt idx="4">
                  <c:v>23</c:v>
                </c:pt>
              </c:numCache>
            </c:numRef>
          </c:val>
        </c:ser>
        <c:marker val="1"/>
        <c:axId val="36451456"/>
        <c:axId val="36452992"/>
      </c:lineChart>
      <c:catAx>
        <c:axId val="36451456"/>
        <c:scaling>
          <c:orientation val="minMax"/>
        </c:scaling>
        <c:axPos val="b"/>
        <c:tickLblPos val="nextTo"/>
        <c:txPr>
          <a:bodyPr/>
          <a:lstStyle/>
          <a:p>
            <a:pPr>
              <a:defRPr sz="900"/>
            </a:pPr>
            <a:endParaRPr lang="en-US"/>
          </a:p>
        </c:txPr>
        <c:crossAx val="36452992"/>
        <c:crosses val="autoZero"/>
        <c:auto val="1"/>
        <c:lblAlgn val="ctr"/>
        <c:lblOffset val="100"/>
      </c:catAx>
      <c:valAx>
        <c:axId val="36452992"/>
        <c:scaling>
          <c:orientation val="minMax"/>
        </c:scaling>
        <c:axPos val="l"/>
        <c:majorGridlines/>
        <c:numFmt formatCode="General" sourceLinked="1"/>
        <c:tickLblPos val="nextTo"/>
        <c:txPr>
          <a:bodyPr/>
          <a:lstStyle/>
          <a:p>
            <a:pPr>
              <a:defRPr sz="900"/>
            </a:pPr>
            <a:endParaRPr lang="en-US"/>
          </a:p>
        </c:txPr>
        <c:crossAx val="36451456"/>
        <c:crosses val="autoZero"/>
        <c:crossBetween val="between"/>
      </c:valAx>
    </c:plotArea>
    <c:legend>
      <c:legendPos val="r"/>
      <c:legendEntry>
        <c:idx val="0"/>
        <c:txPr>
          <a:bodyPr/>
          <a:lstStyle/>
          <a:p>
            <a:pPr>
              <a:defRPr sz="900"/>
            </a:pPr>
            <a:endParaRPr lang="en-US"/>
          </a:p>
        </c:txPr>
      </c:legendEntry>
      <c:legendEntry>
        <c:idx val="1"/>
        <c:txPr>
          <a:bodyPr/>
          <a:lstStyle/>
          <a:p>
            <a:pPr>
              <a:defRPr sz="900"/>
            </a:pPr>
            <a:endParaRPr lang="en-US"/>
          </a:p>
        </c:txPr>
      </c:legendEntry>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Enrollment Trends</a:t>
            </a:r>
          </a:p>
        </c:rich>
      </c:tx>
      <c:layout/>
    </c:title>
    <c:plotArea>
      <c:layout/>
      <c:lineChart>
        <c:grouping val="standard"/>
        <c:ser>
          <c:idx val="0"/>
          <c:order val="0"/>
          <c:tx>
            <c:strRef>
              <c:f>Sheet1!$B$1</c:f>
              <c:strCache>
                <c:ptCount val="1"/>
                <c:pt idx="0">
                  <c:v>HACO + HVACR</c:v>
                </c:pt>
              </c:strCache>
            </c:strRef>
          </c:tx>
          <c:marker>
            <c:symbol val="none"/>
          </c:marker>
          <c:cat>
            <c:strRef>
              <c:f>Sheet1!$A$2:$A$5</c:f>
              <c:strCache>
                <c:ptCount val="4"/>
                <c:pt idx="0">
                  <c:v>07/FA</c:v>
                </c:pt>
                <c:pt idx="1">
                  <c:v>08/FA</c:v>
                </c:pt>
                <c:pt idx="2">
                  <c:v>09/FA</c:v>
                </c:pt>
                <c:pt idx="3">
                  <c:v>10/FA</c:v>
                </c:pt>
              </c:strCache>
            </c:strRef>
          </c:cat>
          <c:val>
            <c:numRef>
              <c:f>Sheet1!$B$2:$B$5</c:f>
              <c:numCache>
                <c:formatCode>General</c:formatCode>
                <c:ptCount val="4"/>
                <c:pt idx="0">
                  <c:v>83</c:v>
                </c:pt>
                <c:pt idx="1">
                  <c:v>111</c:v>
                </c:pt>
                <c:pt idx="2">
                  <c:v>134</c:v>
                </c:pt>
                <c:pt idx="3">
                  <c:v>149</c:v>
                </c:pt>
              </c:numCache>
            </c:numRef>
          </c:val>
        </c:ser>
        <c:ser>
          <c:idx val="1"/>
          <c:order val="1"/>
          <c:tx>
            <c:strRef>
              <c:f>Sheet1!$C$1</c:f>
              <c:strCache>
                <c:ptCount val="1"/>
                <c:pt idx="0">
                  <c:v>LCHS</c:v>
                </c:pt>
              </c:strCache>
            </c:strRef>
          </c:tx>
          <c:spPr>
            <a:ln>
              <a:prstDash val="sysDash"/>
            </a:ln>
          </c:spPr>
          <c:marker>
            <c:symbol val="none"/>
          </c:marker>
          <c:cat>
            <c:strRef>
              <c:f>Sheet1!$A$2:$A$5</c:f>
              <c:strCache>
                <c:ptCount val="4"/>
                <c:pt idx="0">
                  <c:v>07/FA</c:v>
                </c:pt>
                <c:pt idx="1">
                  <c:v>08/FA</c:v>
                </c:pt>
                <c:pt idx="2">
                  <c:v>09/FA</c:v>
                </c:pt>
                <c:pt idx="3">
                  <c:v>10/FA</c:v>
                </c:pt>
              </c:strCache>
            </c:strRef>
          </c:cat>
          <c:val>
            <c:numRef>
              <c:f>Sheet1!$C$2:$C$5</c:f>
              <c:numCache>
                <c:formatCode>General</c:formatCode>
                <c:ptCount val="4"/>
                <c:pt idx="0">
                  <c:v>42</c:v>
                </c:pt>
                <c:pt idx="1">
                  <c:v>56</c:v>
                </c:pt>
                <c:pt idx="2">
                  <c:v>87</c:v>
                </c:pt>
                <c:pt idx="3">
                  <c:v>99</c:v>
                </c:pt>
              </c:numCache>
            </c:numRef>
          </c:val>
        </c:ser>
        <c:marker val="1"/>
        <c:axId val="36537088"/>
        <c:axId val="36538624"/>
      </c:lineChart>
      <c:catAx>
        <c:axId val="36537088"/>
        <c:scaling>
          <c:orientation val="minMax"/>
        </c:scaling>
        <c:axPos val="b"/>
        <c:tickLblPos val="nextTo"/>
        <c:txPr>
          <a:bodyPr/>
          <a:lstStyle/>
          <a:p>
            <a:pPr>
              <a:defRPr sz="900"/>
            </a:pPr>
            <a:endParaRPr lang="en-US"/>
          </a:p>
        </c:txPr>
        <c:crossAx val="36538624"/>
        <c:crosses val="autoZero"/>
        <c:auto val="1"/>
        <c:lblAlgn val="ctr"/>
        <c:lblOffset val="100"/>
      </c:catAx>
      <c:valAx>
        <c:axId val="36538624"/>
        <c:scaling>
          <c:orientation val="minMax"/>
          <c:max val="160"/>
          <c:min val="40"/>
        </c:scaling>
        <c:axPos val="l"/>
        <c:majorGridlines/>
        <c:numFmt formatCode="General" sourceLinked="1"/>
        <c:tickLblPos val="nextTo"/>
        <c:txPr>
          <a:bodyPr/>
          <a:lstStyle/>
          <a:p>
            <a:pPr>
              <a:defRPr sz="900"/>
            </a:pPr>
            <a:endParaRPr lang="en-US"/>
          </a:p>
        </c:txPr>
        <c:crossAx val="36537088"/>
        <c:crosses val="autoZero"/>
        <c:crossBetween val="between"/>
      </c:valAx>
    </c:plotArea>
    <c:legend>
      <c:legendPos val="r"/>
      <c:legendEntry>
        <c:idx val="0"/>
        <c:txPr>
          <a:bodyPr/>
          <a:lstStyle/>
          <a:p>
            <a:pPr>
              <a:defRPr sz="900"/>
            </a:pPr>
            <a:endParaRPr lang="en-US"/>
          </a:p>
        </c:txPr>
      </c:legendEntry>
      <c:legendEntry>
        <c:idx val="1"/>
        <c:txPr>
          <a:bodyPr/>
          <a:lstStyle/>
          <a:p>
            <a:pPr>
              <a:defRPr sz="900"/>
            </a:pPr>
            <a:endParaRPr lang="en-US"/>
          </a:p>
        </c:txPr>
      </c:legendEntry>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200"/>
              <a:t>Course Success</a:t>
            </a:r>
            <a:r>
              <a:rPr lang="en-US" sz="1200" baseline="0"/>
              <a:t> Rates</a:t>
            </a:r>
            <a:endParaRPr lang="en-US" sz="1200"/>
          </a:p>
        </c:rich>
      </c:tx>
      <c:layout/>
    </c:title>
    <c:plotArea>
      <c:layout/>
      <c:barChart>
        <c:barDir val="col"/>
        <c:grouping val="clustered"/>
        <c:ser>
          <c:idx val="0"/>
          <c:order val="0"/>
          <c:tx>
            <c:strRef>
              <c:f>Sheet1!$B$1</c:f>
              <c:strCache>
                <c:ptCount val="1"/>
                <c:pt idx="0">
                  <c:v>08-09</c:v>
                </c:pt>
              </c:strCache>
            </c:strRef>
          </c:tx>
          <c:spPr>
            <a:blipFill>
              <a:blip xmlns:r="http://schemas.openxmlformats.org/officeDocument/2006/relationships" r:embed="rId1"/>
              <a:tile tx="0" ty="0" sx="100000" sy="100000" flip="none" algn="tl"/>
            </a:blipFill>
            <a:ln>
              <a:solidFill>
                <a:schemeClr val="accent2"/>
              </a:solidFill>
            </a:ln>
          </c:spPr>
          <c:cat>
            <c:strRef>
              <c:f>Sheet1!$A$2:$A$7</c:f>
              <c:strCache>
                <c:ptCount val="6"/>
                <c:pt idx="0">
                  <c:v>HVA 144</c:v>
                </c:pt>
                <c:pt idx="1">
                  <c:v>HVA 190</c:v>
                </c:pt>
                <c:pt idx="2">
                  <c:v>HVA 194</c:v>
                </c:pt>
                <c:pt idx="3">
                  <c:v>HVA 243</c:v>
                </c:pt>
                <c:pt idx="4">
                  <c:v>HVA 254</c:v>
                </c:pt>
                <c:pt idx="5">
                  <c:v>HVA 278</c:v>
                </c:pt>
              </c:strCache>
            </c:strRef>
          </c:cat>
          <c:val>
            <c:numRef>
              <c:f>Sheet1!$B$2:$B$7</c:f>
              <c:numCache>
                <c:formatCode>General</c:formatCode>
                <c:ptCount val="6"/>
                <c:pt idx="0">
                  <c:v>68</c:v>
                </c:pt>
                <c:pt idx="1">
                  <c:v>90</c:v>
                </c:pt>
                <c:pt idx="2">
                  <c:v>95</c:v>
                </c:pt>
                <c:pt idx="3">
                  <c:v>90</c:v>
                </c:pt>
                <c:pt idx="4">
                  <c:v>100</c:v>
                </c:pt>
                <c:pt idx="5">
                  <c:v>100</c:v>
                </c:pt>
              </c:numCache>
            </c:numRef>
          </c:val>
        </c:ser>
        <c:ser>
          <c:idx val="1"/>
          <c:order val="1"/>
          <c:tx>
            <c:strRef>
              <c:f>Sheet1!$C$1</c:f>
              <c:strCache>
                <c:ptCount val="1"/>
                <c:pt idx="0">
                  <c:v>09-10</c:v>
                </c:pt>
              </c:strCache>
            </c:strRef>
          </c:tx>
          <c:spPr>
            <a:ln>
              <a:noFill/>
            </a:ln>
          </c:spPr>
          <c:cat>
            <c:strRef>
              <c:f>Sheet1!$A$2:$A$7</c:f>
              <c:strCache>
                <c:ptCount val="6"/>
                <c:pt idx="0">
                  <c:v>HVA 144</c:v>
                </c:pt>
                <c:pt idx="1">
                  <c:v>HVA 190</c:v>
                </c:pt>
                <c:pt idx="2">
                  <c:v>HVA 194</c:v>
                </c:pt>
                <c:pt idx="3">
                  <c:v>HVA 243</c:v>
                </c:pt>
                <c:pt idx="4">
                  <c:v>HVA 254</c:v>
                </c:pt>
                <c:pt idx="5">
                  <c:v>HVA 278</c:v>
                </c:pt>
              </c:strCache>
            </c:strRef>
          </c:cat>
          <c:val>
            <c:numRef>
              <c:f>Sheet1!$C$2:$C$7</c:f>
              <c:numCache>
                <c:formatCode>General</c:formatCode>
                <c:ptCount val="6"/>
                <c:pt idx="0">
                  <c:v>64.709999999999994</c:v>
                </c:pt>
                <c:pt idx="1">
                  <c:v>100</c:v>
                </c:pt>
                <c:pt idx="2">
                  <c:v>100</c:v>
                </c:pt>
                <c:pt idx="3">
                  <c:v>87.5</c:v>
                </c:pt>
                <c:pt idx="4">
                  <c:v>62.5</c:v>
                </c:pt>
                <c:pt idx="5">
                  <c:v>100</c:v>
                </c:pt>
              </c:numCache>
            </c:numRef>
          </c:val>
        </c:ser>
        <c:ser>
          <c:idx val="2"/>
          <c:order val="2"/>
          <c:tx>
            <c:strRef>
              <c:f>Sheet1!$D$1</c:f>
              <c:strCache>
                <c:ptCount val="1"/>
                <c:pt idx="0">
                  <c:v>10-11</c:v>
                </c:pt>
              </c:strCache>
            </c:strRef>
          </c:tx>
          <c:spPr>
            <a:solidFill>
              <a:schemeClr val="bg1">
                <a:lumMod val="75000"/>
              </a:schemeClr>
            </a:solidFill>
            <a:ln>
              <a:solidFill>
                <a:schemeClr val="tx1"/>
              </a:solidFill>
            </a:ln>
          </c:spPr>
          <c:cat>
            <c:strRef>
              <c:f>Sheet1!$A$2:$A$7</c:f>
              <c:strCache>
                <c:ptCount val="6"/>
                <c:pt idx="0">
                  <c:v>HVA 144</c:v>
                </c:pt>
                <c:pt idx="1">
                  <c:v>HVA 190</c:v>
                </c:pt>
                <c:pt idx="2">
                  <c:v>HVA 194</c:v>
                </c:pt>
                <c:pt idx="3">
                  <c:v>HVA 243</c:v>
                </c:pt>
                <c:pt idx="4">
                  <c:v>HVA 254</c:v>
                </c:pt>
                <c:pt idx="5">
                  <c:v>HVA 278</c:v>
                </c:pt>
              </c:strCache>
            </c:strRef>
          </c:cat>
          <c:val>
            <c:numRef>
              <c:f>Sheet1!$D$2:$D$7</c:f>
              <c:numCache>
                <c:formatCode>General</c:formatCode>
                <c:ptCount val="6"/>
                <c:pt idx="0">
                  <c:v>71.260000000000005</c:v>
                </c:pt>
                <c:pt idx="1">
                  <c:v>78.95</c:v>
                </c:pt>
                <c:pt idx="2">
                  <c:v>100</c:v>
                </c:pt>
                <c:pt idx="3">
                  <c:v>100</c:v>
                </c:pt>
                <c:pt idx="4">
                  <c:v>70</c:v>
                </c:pt>
                <c:pt idx="5">
                  <c:v>100</c:v>
                </c:pt>
              </c:numCache>
            </c:numRef>
          </c:val>
        </c:ser>
        <c:axId val="37024128"/>
        <c:axId val="37025664"/>
      </c:barChart>
      <c:catAx>
        <c:axId val="37024128"/>
        <c:scaling>
          <c:orientation val="minMax"/>
        </c:scaling>
        <c:axPos val="b"/>
        <c:numFmt formatCode="d\-mmm" sourceLinked="1"/>
        <c:tickLblPos val="nextTo"/>
        <c:txPr>
          <a:bodyPr/>
          <a:lstStyle/>
          <a:p>
            <a:pPr>
              <a:defRPr sz="900"/>
            </a:pPr>
            <a:endParaRPr lang="en-US"/>
          </a:p>
        </c:txPr>
        <c:crossAx val="37025664"/>
        <c:crosses val="autoZero"/>
        <c:auto val="1"/>
        <c:lblAlgn val="ctr"/>
        <c:lblOffset val="100"/>
      </c:catAx>
      <c:valAx>
        <c:axId val="37025664"/>
        <c:scaling>
          <c:orientation val="minMax"/>
          <c:max val="105"/>
          <c:min val="0"/>
        </c:scaling>
        <c:axPos val="l"/>
        <c:majorGridlines/>
        <c:numFmt formatCode="General" sourceLinked="1"/>
        <c:tickLblPos val="nextTo"/>
        <c:txPr>
          <a:bodyPr/>
          <a:lstStyle/>
          <a:p>
            <a:pPr>
              <a:defRPr sz="900"/>
            </a:pPr>
            <a:endParaRPr lang="en-US"/>
          </a:p>
        </c:txPr>
        <c:crossAx val="37024128"/>
        <c:crosses val="autoZero"/>
        <c:crossBetween val="between"/>
        <c:majorUnit val="20"/>
        <c:minorUnit val="5"/>
      </c:valAx>
    </c:plotArea>
    <c:legend>
      <c:legendPos val="r"/>
      <c:legendEntry>
        <c:idx val="0"/>
        <c:txPr>
          <a:bodyPr/>
          <a:lstStyle/>
          <a:p>
            <a:pPr>
              <a:defRPr sz="900"/>
            </a:pPr>
            <a:endParaRPr lang="en-US"/>
          </a:p>
        </c:txPr>
      </c:legendEntry>
      <c:legendEntry>
        <c:idx val="1"/>
        <c:txPr>
          <a:bodyPr/>
          <a:lstStyle/>
          <a:p>
            <a:pPr>
              <a:defRPr sz="900"/>
            </a:pPr>
            <a:endParaRPr lang="en-US"/>
          </a:p>
        </c:txPr>
      </c:legendEntry>
      <c:layout/>
    </c:legend>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7AC8-473A-4BB7-8223-5BF1E7D6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Marcks</dc:creator>
  <cp:lastModifiedBy>Larraine</cp:lastModifiedBy>
  <cp:revision>2</cp:revision>
  <cp:lastPrinted>2011-12-09T22:25:00Z</cp:lastPrinted>
  <dcterms:created xsi:type="dcterms:W3CDTF">2011-12-09T23:33:00Z</dcterms:created>
  <dcterms:modified xsi:type="dcterms:W3CDTF">2011-12-09T23:33:00Z</dcterms:modified>
</cp:coreProperties>
</file>