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051DC2" w:rsidRPr="00051DC2">
                        <w:rPr>
                          <w:rFonts w:ascii="Arial" w:hAnsi="Arial" w:cs="Arial"/>
                          <w:b/>
                          <w:sz w:val="20"/>
                          <w:szCs w:val="20"/>
                        </w:rPr>
                        <w:t xml:space="preserve">SME - 0573 - Engineering--University </w:t>
                      </w:r>
                      <w:r w:rsidR="000B3E21">
                        <w:rPr>
                          <w:rFonts w:ascii="Arial" w:hAnsi="Arial" w:cs="Arial"/>
                          <w:b/>
                          <w:sz w:val="20"/>
                          <w:szCs w:val="20"/>
                        </w:rPr>
                        <w:t>Transfer</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DC044E">
        <w:rPr>
          <w:rFonts w:ascii="Arial" w:hAnsi="Arial" w:cs="Arial"/>
          <w:color w:val="000000" w:themeColor="text1"/>
        </w:rPr>
        <w:t>2009-2010</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B4D1C">
        <w:rPr>
          <w:rFonts w:ascii="Arial" w:hAnsi="Arial" w:cs="Arial"/>
          <w:color w:val="000000" w:themeColor="text1"/>
        </w:rPr>
        <w:t>2017-2018</w:t>
      </w:r>
    </w:p>
    <w:p w:rsidR="00827AE5" w:rsidRPr="00CD2613" w:rsidRDefault="00827AE5" w:rsidP="00F0239E">
      <w:pPr>
        <w:jc w:val="center"/>
        <w:rPr>
          <w:rFonts w:ascii="Arial" w:hAnsi="Arial" w:cs="Arial"/>
          <w:b/>
          <w:color w:val="000000" w:themeColor="text1"/>
        </w:rPr>
      </w:pPr>
    </w:p>
    <w:p w:rsidR="00F0239E" w:rsidRDefault="0029354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1"/>
        <w:gridCol w:w="2647"/>
        <w:gridCol w:w="6632"/>
      </w:tblGrid>
      <w:tr w:rsidR="006160AE" w:rsidTr="00DC13FF">
        <w:trPr>
          <w:trHeight w:val="466"/>
        </w:trPr>
        <w:tc>
          <w:tcPr>
            <w:tcW w:w="3951"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GOALS</w:t>
            </w:r>
          </w:p>
        </w:tc>
        <w:tc>
          <w:tcPr>
            <w:tcW w:w="2647"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Status</w:t>
            </w:r>
          </w:p>
        </w:tc>
        <w:tc>
          <w:tcPr>
            <w:tcW w:w="6632"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Progress or Rationale for No Longer Applicable</w:t>
            </w:r>
          </w:p>
        </w:tc>
      </w:tr>
      <w:tr w:rsidR="006160AE" w:rsidTr="00DC13FF">
        <w:trPr>
          <w:trHeight w:val="1399"/>
        </w:trPr>
        <w:tc>
          <w:tcPr>
            <w:tcW w:w="3951" w:type="dxa"/>
            <w:shd w:val="clear" w:color="auto" w:fill="auto"/>
          </w:tcPr>
          <w:p w:rsidR="006160AE" w:rsidRPr="00C52B6E" w:rsidRDefault="006160AE" w:rsidP="00DC13FF">
            <w:pPr>
              <w:tabs>
                <w:tab w:val="left" w:pos="1080"/>
              </w:tabs>
              <w:rPr>
                <w:rFonts w:ascii="Arial" w:eastAsia="Calibri" w:hAnsi="Arial" w:cs="Arial"/>
              </w:rPr>
            </w:pPr>
            <w:r w:rsidRPr="00C52B6E">
              <w:rPr>
                <w:rFonts w:ascii="Arial" w:eastAsia="Calibri" w:hAnsi="Arial" w:cs="Arial"/>
              </w:rPr>
              <w:t>Explore adding global awareness to the courses/program.</w:t>
            </w:r>
          </w:p>
          <w:p w:rsidR="006160AE" w:rsidRPr="00C52B6E" w:rsidRDefault="006160AE" w:rsidP="00DC13FF">
            <w:pPr>
              <w:spacing w:line="276" w:lineRule="auto"/>
              <w:rPr>
                <w:rFonts w:ascii="Arial" w:eastAsia="Calibri" w:hAnsi="Arial" w:cs="Arial"/>
                <w:color w:val="000000"/>
              </w:rPr>
            </w:pPr>
          </w:p>
        </w:tc>
        <w:tc>
          <w:tcPr>
            <w:tcW w:w="2647"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
                  <w:enabled/>
                  <w:calcOnExit w:val="0"/>
                  <w:checkBox>
                    <w:sizeAuto/>
                    <w:default w:val="1"/>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632" w:type="dxa"/>
            <w:shd w:val="clear" w:color="auto" w:fill="auto"/>
          </w:tcPr>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Affects transfer.  Students are allowed to take any OTM courses and then follow specific guidelines from their receiving institution.  </w:t>
            </w:r>
          </w:p>
        </w:tc>
      </w:tr>
      <w:tr w:rsidR="006160AE" w:rsidTr="00DC13FF">
        <w:trPr>
          <w:trHeight w:val="1399"/>
        </w:trPr>
        <w:tc>
          <w:tcPr>
            <w:tcW w:w="3951" w:type="dxa"/>
            <w:shd w:val="clear" w:color="auto" w:fill="auto"/>
          </w:tcPr>
          <w:p w:rsidR="006160AE" w:rsidRPr="00C52B6E" w:rsidRDefault="006160AE" w:rsidP="00DC13FF">
            <w:pPr>
              <w:tabs>
                <w:tab w:val="left" w:pos="1080"/>
              </w:tabs>
              <w:rPr>
                <w:rFonts w:ascii="Arial" w:eastAsia="Calibri" w:hAnsi="Arial" w:cs="Arial"/>
              </w:rPr>
            </w:pPr>
            <w:r w:rsidRPr="00C52B6E">
              <w:rPr>
                <w:rFonts w:ascii="Arial" w:eastAsia="Calibri" w:hAnsi="Arial" w:cs="Arial"/>
              </w:rPr>
              <w:lastRenderedPageBreak/>
              <w:t>Online courses.</w:t>
            </w:r>
          </w:p>
          <w:p w:rsidR="006160AE" w:rsidRPr="00C52B6E" w:rsidRDefault="006160AE" w:rsidP="00DC13FF">
            <w:pPr>
              <w:tabs>
                <w:tab w:val="left" w:pos="1170"/>
              </w:tabs>
              <w:spacing w:line="276" w:lineRule="auto"/>
              <w:rPr>
                <w:rFonts w:ascii="Arial" w:eastAsia="Calibri" w:hAnsi="Arial" w:cs="Arial"/>
                <w:color w:val="000000"/>
              </w:rPr>
            </w:pPr>
          </w:p>
        </w:tc>
        <w:tc>
          <w:tcPr>
            <w:tcW w:w="2647"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
                  <w:enabled/>
                  <w:calcOnExit w:val="0"/>
                  <w:checkBox>
                    <w:sizeAuto/>
                    <w:default w:val="1"/>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632" w:type="dxa"/>
            <w:shd w:val="clear" w:color="auto" w:fill="auto"/>
          </w:tcPr>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Some general education courses are available on-line.  No plans to make the core engineering courses on-line.</w:t>
            </w:r>
            <w:r w:rsidR="00994433">
              <w:rPr>
                <w:rFonts w:ascii="Arial" w:eastAsia="Calibri" w:hAnsi="Arial" w:cs="Arial"/>
                <w:color w:val="000000"/>
              </w:rPr>
              <w:t xml:space="preserve"> The University of Dayton has said they will not allow students to transfer any on-line engineering courses, although they will accept other on-line courses if the exams are proctored.</w:t>
            </w:r>
          </w:p>
        </w:tc>
      </w:tr>
      <w:tr w:rsidR="006160AE" w:rsidTr="00DC13FF">
        <w:trPr>
          <w:trHeight w:val="1101"/>
        </w:trPr>
        <w:tc>
          <w:tcPr>
            <w:tcW w:w="3951" w:type="dxa"/>
            <w:shd w:val="clear" w:color="auto" w:fill="auto"/>
          </w:tcPr>
          <w:p w:rsidR="006160AE" w:rsidRPr="00C52B6E" w:rsidRDefault="006160AE" w:rsidP="00DC13FF">
            <w:pPr>
              <w:tabs>
                <w:tab w:val="left" w:pos="1080"/>
              </w:tabs>
              <w:rPr>
                <w:rFonts w:ascii="Arial" w:eastAsia="Calibri" w:hAnsi="Arial" w:cs="Arial"/>
              </w:rPr>
            </w:pPr>
            <w:r w:rsidRPr="00C52B6E">
              <w:rPr>
                <w:rFonts w:ascii="Arial" w:eastAsia="Calibri" w:hAnsi="Arial" w:cs="Arial"/>
              </w:rPr>
              <w:t>New calculus based Thermodynamics course as suggested by most universities.</w:t>
            </w:r>
          </w:p>
          <w:p w:rsidR="006160AE" w:rsidRPr="00C52B6E" w:rsidRDefault="006160AE" w:rsidP="00DC13FF">
            <w:pPr>
              <w:spacing w:line="276" w:lineRule="auto"/>
              <w:rPr>
                <w:rFonts w:ascii="Arial" w:eastAsia="Calibri" w:hAnsi="Arial" w:cs="Arial"/>
                <w:color w:val="000000"/>
              </w:rPr>
            </w:pPr>
          </w:p>
        </w:tc>
        <w:tc>
          <w:tcPr>
            <w:tcW w:w="2647"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bookmarkStart w:id="0" w:name="Check1"/>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bookmarkEnd w:id="0"/>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ed/>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632" w:type="dxa"/>
            <w:shd w:val="clear" w:color="auto" w:fill="auto"/>
          </w:tcPr>
          <w:p w:rsidR="006160AE" w:rsidRDefault="006160AE" w:rsidP="00DC13FF">
            <w:pPr>
              <w:pStyle w:val="ListParagraph"/>
              <w:ind w:left="0"/>
              <w:rPr>
                <w:rFonts w:ascii="Arial" w:eastAsia="Calibri" w:hAnsi="Arial" w:cs="Arial"/>
                <w:b/>
                <w:color w:val="000000"/>
              </w:rPr>
            </w:pPr>
            <w:r w:rsidRPr="00C52B6E">
              <w:rPr>
                <w:rFonts w:ascii="Arial" w:eastAsia="Calibri" w:hAnsi="Arial" w:cs="Arial"/>
                <w:b/>
                <w:color w:val="000000"/>
              </w:rPr>
              <w:fldChar w:fldCharType="begin">
                <w:ffData>
                  <w:name w:val=""/>
                  <w:enabled/>
                  <w:calcOnExit w:val="0"/>
                  <w:textInput/>
                </w:ffData>
              </w:fldChar>
            </w:r>
            <w:r w:rsidRPr="00C52B6E">
              <w:rPr>
                <w:rFonts w:ascii="Arial" w:eastAsia="Calibri" w:hAnsi="Arial" w:cs="Arial"/>
                <w:b/>
                <w:color w:val="000000"/>
              </w:rPr>
              <w:instrText xml:space="preserve"> FORMTEXT </w:instrText>
            </w:r>
            <w:r w:rsidRPr="00C52B6E">
              <w:rPr>
                <w:rFonts w:ascii="Arial" w:eastAsia="Calibri" w:hAnsi="Arial" w:cs="Arial"/>
                <w:b/>
                <w:color w:val="000000"/>
              </w:rPr>
            </w:r>
            <w:r w:rsidRPr="00C52B6E">
              <w:rPr>
                <w:rFonts w:ascii="Arial" w:eastAsia="Calibri" w:hAnsi="Arial" w:cs="Arial"/>
                <w:b/>
                <w:color w:val="000000"/>
              </w:rPr>
              <w:fldChar w:fldCharType="separate"/>
            </w:r>
            <w:r w:rsidRPr="00C52B6E">
              <w:rPr>
                <w:rFonts w:ascii="Arial" w:eastAsia="Calibri" w:hAnsi="Arial" w:cs="Arial"/>
                <w:b/>
                <w:noProof/>
                <w:color w:val="000000"/>
              </w:rPr>
              <w:t>MEE 2201 was successfully offered Fall 2012 and Spring 2013.  Course will remain in the schedule each fall and spring.</w:t>
            </w:r>
            <w:r w:rsidRPr="00C52B6E">
              <w:rPr>
                <w:rFonts w:ascii="Arial" w:eastAsia="Calibri" w:hAnsi="Arial" w:cs="Arial"/>
                <w:b/>
                <w:color w:val="000000"/>
              </w:rPr>
              <w:fldChar w:fldCharType="end"/>
            </w:r>
          </w:p>
          <w:p w:rsidR="00C721BE" w:rsidRPr="00C52B6E" w:rsidRDefault="00C721BE" w:rsidP="00DC13FF">
            <w:pPr>
              <w:pStyle w:val="ListParagraph"/>
              <w:ind w:left="0"/>
              <w:rPr>
                <w:rFonts w:ascii="Arial" w:eastAsia="Calibri" w:hAnsi="Arial" w:cs="Arial"/>
                <w:color w:val="000000"/>
              </w:rPr>
            </w:pPr>
            <w:r>
              <w:rPr>
                <w:rFonts w:ascii="Arial" w:eastAsia="Calibri" w:hAnsi="Arial" w:cs="Arial"/>
                <w:b/>
                <w:color w:val="000000"/>
              </w:rPr>
              <w:t>Course has been offered every fall and spring, going to two offerings a term starting in Fall 2015.</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700"/>
        <w:gridCol w:w="6480"/>
      </w:tblGrid>
      <w:tr w:rsidR="006160AE" w:rsidRPr="0037786D" w:rsidTr="00DC13FF">
        <w:tc>
          <w:tcPr>
            <w:tcW w:w="3708"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RECOMMENDATIONS</w:t>
            </w:r>
          </w:p>
        </w:tc>
        <w:tc>
          <w:tcPr>
            <w:tcW w:w="2700"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Status</w:t>
            </w:r>
          </w:p>
        </w:tc>
        <w:tc>
          <w:tcPr>
            <w:tcW w:w="6480" w:type="dxa"/>
            <w:shd w:val="clear" w:color="auto" w:fill="auto"/>
          </w:tcPr>
          <w:p w:rsidR="006160AE" w:rsidRPr="00C52B6E" w:rsidRDefault="006160AE" w:rsidP="00DC13FF">
            <w:pPr>
              <w:spacing w:before="120"/>
              <w:jc w:val="center"/>
              <w:rPr>
                <w:rFonts w:ascii="Arial" w:eastAsia="Calibri" w:hAnsi="Arial" w:cs="Arial"/>
                <w:b/>
              </w:rPr>
            </w:pPr>
            <w:r w:rsidRPr="00C52B6E">
              <w:rPr>
                <w:rFonts w:ascii="Arial" w:eastAsia="Calibri" w:hAnsi="Arial" w:cs="Arial"/>
                <w:b/>
              </w:rPr>
              <w:t>Progress or Rationale for No Longer Applicable</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rPr>
            </w:pPr>
            <w:r w:rsidRPr="00C52B6E">
              <w:rPr>
                <w:rFonts w:ascii="Arial" w:eastAsia="Calibri" w:hAnsi="Arial" w:cs="Arial"/>
                <w:color w:val="000000"/>
              </w:rPr>
              <w:t xml:space="preserve">The program coordinator has done much to revitalize this degree program, but his efforts need to be formalized so that when responsibility for this program transfers to someone else at some future time the momentum that has developed in this program is not lost.  Due to the nature of the program, it is recommended that, like the current coordinator, any future coordinators have an engineering background.  The current coordinator has done a stellar job of overseeing this program, and that should not be lost at some point in the future when he hands his responsibilities over to someone else.  A formalized and well-documented transition process will need to be developed in anticipation of this.  The advisory committee may have </w:t>
            </w:r>
            <w:r w:rsidRPr="00C52B6E">
              <w:rPr>
                <w:rFonts w:ascii="Arial" w:eastAsia="Calibri" w:hAnsi="Arial" w:cs="Arial"/>
                <w:color w:val="000000"/>
              </w:rPr>
              <w:lastRenderedPageBreak/>
              <w:t>some insights on how to accomplish this.</w:t>
            </w:r>
          </w:p>
          <w:p w:rsidR="006160AE" w:rsidRPr="00C52B6E" w:rsidRDefault="006160AE" w:rsidP="00DC13FF">
            <w:pPr>
              <w:pStyle w:val="ListParagraph"/>
              <w:ind w:left="0"/>
              <w:rPr>
                <w:rFonts w:ascii="Arial" w:eastAsia="Calibri" w:hAnsi="Arial" w:cs="Arial"/>
                <w:color w:val="000000"/>
              </w:rPr>
            </w:pP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
                  <w:enabled/>
                  <w:calcOnExit w:val="0"/>
                  <w:checkBox>
                    <w:sizeAuto/>
                    <w:default w:val="1"/>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Program has transitioned to new coordinator.  Several new initiatives are under way to better serve students in the program (see later).</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rPr>
            </w:pPr>
            <w:r w:rsidRPr="00C52B6E">
              <w:rPr>
                <w:rFonts w:ascii="Arial" w:eastAsia="Calibri" w:hAnsi="Arial" w:cs="Arial"/>
              </w:rPr>
              <w:lastRenderedPageBreak/>
              <w:t>The coordinator has developed a marketing plan, and it is recommended that the marketing plan be pursued as a way of attracting students to the program.</w:t>
            </w:r>
          </w:p>
          <w:p w:rsidR="006160AE" w:rsidRPr="00C52B6E" w:rsidRDefault="006160AE" w:rsidP="00DC13FF">
            <w:pPr>
              <w:pStyle w:val="ListParagraph"/>
              <w:ind w:left="0"/>
              <w:rPr>
                <w:rFonts w:ascii="Arial" w:eastAsia="Calibri" w:hAnsi="Arial" w:cs="Arial"/>
                <w:color w:val="000000"/>
              </w:rPr>
            </w:pP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
                  <w:enabled/>
                  <w:calcOnExit w:val="0"/>
                  <w:checkBox>
                    <w:sizeAuto/>
                    <w:default w:val="0"/>
                    <w:checked/>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Default="006160AE" w:rsidP="00DC13FF">
            <w:pPr>
              <w:pStyle w:val="ListParagraph"/>
              <w:ind w:left="0"/>
              <w:rPr>
                <w:rFonts w:ascii="Arial" w:eastAsia="Calibri" w:hAnsi="Arial" w:cs="Arial"/>
                <w:b/>
                <w:color w:val="000000"/>
              </w:rPr>
            </w:pPr>
            <w:r w:rsidRPr="00C52B6E">
              <w:rPr>
                <w:rFonts w:ascii="Arial" w:eastAsia="Calibri" w:hAnsi="Arial" w:cs="Arial"/>
                <w:b/>
                <w:color w:val="000000"/>
              </w:rPr>
              <w:fldChar w:fldCharType="begin">
                <w:ffData>
                  <w:name w:val=""/>
                  <w:enabled/>
                  <w:calcOnExit w:val="0"/>
                  <w:textInput/>
                </w:ffData>
              </w:fldChar>
            </w:r>
            <w:r w:rsidRPr="00C52B6E">
              <w:rPr>
                <w:rFonts w:ascii="Arial" w:eastAsia="Calibri" w:hAnsi="Arial" w:cs="Arial"/>
                <w:b/>
                <w:color w:val="000000"/>
              </w:rPr>
              <w:instrText xml:space="preserve"> FORMTEXT </w:instrText>
            </w:r>
            <w:r w:rsidRPr="00C52B6E">
              <w:rPr>
                <w:rFonts w:ascii="Arial" w:eastAsia="Calibri" w:hAnsi="Arial" w:cs="Arial"/>
                <w:b/>
                <w:color w:val="000000"/>
              </w:rPr>
            </w:r>
            <w:r w:rsidRPr="00C52B6E">
              <w:rPr>
                <w:rFonts w:ascii="Arial" w:eastAsia="Calibri" w:hAnsi="Arial" w:cs="Arial"/>
                <w:b/>
                <w:color w:val="000000"/>
              </w:rPr>
              <w:fldChar w:fldCharType="separate"/>
            </w:r>
            <w:r w:rsidRPr="00C52B6E">
              <w:rPr>
                <w:rFonts w:ascii="Arial" w:eastAsia="Calibri" w:hAnsi="Arial" w:cs="Arial"/>
                <w:b/>
                <w:color w:val="000000"/>
              </w:rPr>
              <w:t>During 2012-13 held two outreach nights for HS students and their parents.  Participated in college fairs at Mason and West Carrollton.  Displayed at tech prep night.  Will display at Sinclair Welcome Week in the fall and scheduled for two Sinclair Talks on Engineering in 2013-2014.</w:t>
            </w:r>
            <w:r w:rsidRPr="00C52B6E">
              <w:rPr>
                <w:rFonts w:ascii="Arial" w:eastAsia="Calibri" w:hAnsi="Arial" w:cs="Arial"/>
                <w:b/>
                <w:color w:val="000000"/>
              </w:rPr>
              <w:fldChar w:fldCharType="end"/>
            </w:r>
          </w:p>
          <w:p w:rsidR="009473EA" w:rsidRPr="00C52B6E" w:rsidRDefault="009473EA" w:rsidP="00DC13FF">
            <w:pPr>
              <w:pStyle w:val="ListParagraph"/>
              <w:ind w:left="0"/>
              <w:rPr>
                <w:rFonts w:ascii="Arial" w:eastAsia="Calibri" w:hAnsi="Arial" w:cs="Arial"/>
                <w:color w:val="000000"/>
              </w:rPr>
            </w:pPr>
            <w:r>
              <w:rPr>
                <w:rFonts w:ascii="Arial" w:eastAsia="Calibri" w:hAnsi="Arial" w:cs="Arial"/>
                <w:b/>
                <w:color w:val="000000"/>
              </w:rPr>
              <w:t>2014-15, participated in numerous college fairs, including West Carrollton, Ponitz and Centerville.  Present at Fall and Spring Affair, Tech Prep “Getting Ready for College night”, Multiple other tech prep events.  Did evening outreach meeting at Xenia HS.</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rPr>
            </w:pPr>
            <w:r w:rsidRPr="00C52B6E">
              <w:rPr>
                <w:rFonts w:ascii="Arial" w:eastAsia="Calibri" w:hAnsi="Arial" w:cs="Arial"/>
              </w:rPr>
              <w:t>Strong relationships already exist with area universities, particularly with the University of Dayton.  It is recommended that the coordinator continue to maintain these relationships.</w:t>
            </w:r>
          </w:p>
          <w:p w:rsidR="006160AE" w:rsidRPr="00C52B6E" w:rsidRDefault="006160AE" w:rsidP="00DC13FF">
            <w:pPr>
              <w:pStyle w:val="ListParagraph"/>
              <w:ind w:left="0"/>
              <w:rPr>
                <w:rFonts w:ascii="Arial" w:eastAsia="Calibri" w:hAnsi="Arial" w:cs="Arial"/>
                <w:color w:val="000000"/>
              </w:rPr>
            </w:pP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
                  <w:enabled/>
                  <w:calcOnExit w:val="0"/>
                  <w:checkBox>
                    <w:sizeAuto/>
                    <w:default w:val="0"/>
                    <w:checked/>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Default="006160AE" w:rsidP="00DC13FF">
            <w:pPr>
              <w:pStyle w:val="ListParagraph"/>
              <w:ind w:left="0"/>
              <w:rPr>
                <w:rFonts w:ascii="Arial" w:eastAsia="Calibri" w:hAnsi="Arial" w:cs="Arial"/>
                <w:b/>
                <w:color w:val="000000"/>
              </w:rPr>
            </w:pPr>
            <w:r w:rsidRPr="00C52B6E">
              <w:rPr>
                <w:rFonts w:ascii="Arial" w:eastAsia="Calibri" w:hAnsi="Arial" w:cs="Arial"/>
                <w:b/>
                <w:color w:val="000000"/>
              </w:rPr>
              <w:fldChar w:fldCharType="begin">
                <w:ffData>
                  <w:name w:val=""/>
                  <w:enabled/>
                  <w:calcOnExit w:val="0"/>
                  <w:textInput/>
                </w:ffData>
              </w:fldChar>
            </w:r>
            <w:r w:rsidRPr="00C52B6E">
              <w:rPr>
                <w:rFonts w:ascii="Arial" w:eastAsia="Calibri" w:hAnsi="Arial" w:cs="Arial"/>
                <w:b/>
                <w:color w:val="000000"/>
              </w:rPr>
              <w:instrText xml:space="preserve"> FORMTEXT </w:instrText>
            </w:r>
            <w:r w:rsidRPr="00C52B6E">
              <w:rPr>
                <w:rFonts w:ascii="Arial" w:eastAsia="Calibri" w:hAnsi="Arial" w:cs="Arial"/>
                <w:b/>
                <w:color w:val="000000"/>
              </w:rPr>
            </w:r>
            <w:r w:rsidRPr="00C52B6E">
              <w:rPr>
                <w:rFonts w:ascii="Arial" w:eastAsia="Calibri" w:hAnsi="Arial" w:cs="Arial"/>
                <w:b/>
                <w:color w:val="000000"/>
              </w:rPr>
              <w:fldChar w:fldCharType="separate"/>
            </w:r>
            <w:r w:rsidRPr="00C52B6E">
              <w:rPr>
                <w:rFonts w:ascii="Arial" w:eastAsia="Calibri" w:hAnsi="Arial" w:cs="Arial"/>
                <w:b/>
                <w:noProof/>
                <w:color w:val="000000"/>
              </w:rPr>
              <w:t>Relationships are strong with both WSU and UD.  Developing relationships with Central State and Wilberforce.  Opening a new dialog with UC and Miami.</w:t>
            </w:r>
            <w:r w:rsidRPr="00C52B6E">
              <w:rPr>
                <w:rFonts w:ascii="Arial" w:eastAsia="Calibri" w:hAnsi="Arial" w:cs="Arial"/>
                <w:b/>
                <w:color w:val="000000"/>
              </w:rPr>
              <w:fldChar w:fldCharType="end"/>
            </w:r>
          </w:p>
          <w:p w:rsidR="009473EA" w:rsidRDefault="009473EA" w:rsidP="009473EA">
            <w:pPr>
              <w:pStyle w:val="ListParagraph"/>
              <w:ind w:left="0"/>
              <w:rPr>
                <w:rFonts w:ascii="Arial" w:eastAsia="Calibri" w:hAnsi="Arial" w:cs="Arial"/>
                <w:b/>
                <w:color w:val="000000"/>
              </w:rPr>
            </w:pPr>
            <w:r>
              <w:rPr>
                <w:rFonts w:ascii="Arial" w:eastAsia="Calibri" w:hAnsi="Arial" w:cs="Arial"/>
                <w:b/>
                <w:color w:val="000000"/>
              </w:rPr>
              <w:t xml:space="preserve">2014-15: Completed articulation with Wilberforce.  Central State agreement is on hold while they re-work their curriculum.  Progress with Miami has come to a halt as Miami </w:t>
            </w:r>
            <w:r w:rsidR="00994433">
              <w:rPr>
                <w:rFonts w:ascii="Arial" w:eastAsia="Calibri" w:hAnsi="Arial" w:cs="Arial"/>
                <w:b/>
                <w:color w:val="000000"/>
              </w:rPr>
              <w:t>f</w:t>
            </w:r>
            <w:r>
              <w:rPr>
                <w:rFonts w:ascii="Arial" w:eastAsia="Calibri" w:hAnsi="Arial" w:cs="Arial"/>
                <w:b/>
                <w:color w:val="000000"/>
              </w:rPr>
              <w:t>aculty interest in SCC students has is lukewarm.  No progress yet with UC.</w:t>
            </w:r>
          </w:p>
          <w:p w:rsidR="000D3FD1" w:rsidRPr="00C52B6E" w:rsidRDefault="000D3FD1" w:rsidP="009473EA">
            <w:pPr>
              <w:pStyle w:val="ListParagraph"/>
              <w:ind w:left="0"/>
              <w:rPr>
                <w:rFonts w:ascii="Arial" w:eastAsia="Calibri" w:hAnsi="Arial" w:cs="Arial"/>
                <w:color w:val="000000"/>
              </w:rPr>
            </w:pPr>
            <w:r>
              <w:rPr>
                <w:rFonts w:ascii="Arial" w:eastAsia="Calibri" w:hAnsi="Arial" w:cs="Arial"/>
                <w:b/>
                <w:color w:val="000000"/>
              </w:rPr>
              <w:t>2015-16: Updated articulation agreements with UD and WSU.</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color w:val="000000"/>
              </w:rPr>
            </w:pPr>
            <w:r w:rsidRPr="00C52B6E">
              <w:rPr>
                <w:rFonts w:ascii="Arial" w:eastAsia="Calibri" w:hAnsi="Arial" w:cs="Arial"/>
              </w:rPr>
              <w:t xml:space="preserve">Much of the knowledge regarding this program is held by the coordinator and by a Senior Academic Advisor.  It is recommended that cross-training occur and </w:t>
            </w:r>
            <w:r w:rsidRPr="00C52B6E">
              <w:rPr>
                <w:rFonts w:ascii="Arial" w:eastAsia="Calibri" w:hAnsi="Arial" w:cs="Arial"/>
              </w:rPr>
              <w:lastRenderedPageBreak/>
              <w:t>documentation of policies and procedures be made, such that when other individuals transition into these positions there is continuity of policies and procedures.   There is a pressing need for clear documentation that will allow a variety of academic advisors to assist interested students.</w:t>
            </w: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009473EA">
              <w:rPr>
                <w:rFonts w:eastAsia="Calibri"/>
              </w:rPr>
              <w:fldChar w:fldCharType="begin">
                <w:ffData>
                  <w:name w:val=""/>
                  <w:enabled/>
                  <w:calcOnExit w:val="0"/>
                  <w:checkBox>
                    <w:sizeAuto/>
                    <w:default w:val="0"/>
                  </w:checkBox>
                </w:ffData>
              </w:fldChar>
            </w:r>
            <w:r w:rsidR="009473EA">
              <w:rPr>
                <w:rFonts w:eastAsia="Calibri"/>
              </w:rPr>
              <w:instrText xml:space="preserve"> FORMCHECKBOX </w:instrText>
            </w:r>
            <w:r w:rsidR="00E1076A">
              <w:rPr>
                <w:rFonts w:eastAsia="Calibri"/>
              </w:rPr>
            </w:r>
            <w:r w:rsidR="00E1076A">
              <w:rPr>
                <w:rFonts w:eastAsia="Calibri"/>
              </w:rPr>
              <w:fldChar w:fldCharType="separate"/>
            </w:r>
            <w:r w:rsidR="009473EA">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009473EA">
              <w:rPr>
                <w:rFonts w:eastAsia="Calibri"/>
              </w:rPr>
              <w:fldChar w:fldCharType="begin">
                <w:ffData>
                  <w:name w:val=""/>
                  <w:enabled/>
                  <w:calcOnExit w:val="0"/>
                  <w:checkBox>
                    <w:sizeAuto/>
                    <w:default w:val="1"/>
                  </w:checkBox>
                </w:ffData>
              </w:fldChar>
            </w:r>
            <w:r w:rsidR="009473EA">
              <w:rPr>
                <w:rFonts w:eastAsia="Calibri"/>
              </w:rPr>
              <w:instrText xml:space="preserve"> FORMCHECKBOX </w:instrText>
            </w:r>
            <w:r w:rsidR="00E1076A">
              <w:rPr>
                <w:rFonts w:eastAsia="Calibri"/>
              </w:rPr>
            </w:r>
            <w:r w:rsidR="00E1076A">
              <w:rPr>
                <w:rFonts w:eastAsia="Calibri"/>
              </w:rPr>
              <w:fldChar w:fldCharType="separate"/>
            </w:r>
            <w:r w:rsidR="009473EA">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Default="006160AE" w:rsidP="00DC13FF">
            <w:pPr>
              <w:pStyle w:val="ListParagraph"/>
              <w:ind w:left="0"/>
              <w:rPr>
                <w:rFonts w:ascii="Arial" w:eastAsia="Calibri" w:hAnsi="Arial" w:cs="Arial"/>
                <w:b/>
                <w:color w:val="000000"/>
              </w:rPr>
            </w:pPr>
            <w:r w:rsidRPr="00C52B6E">
              <w:rPr>
                <w:rFonts w:ascii="Arial" w:eastAsia="Calibri" w:hAnsi="Arial" w:cs="Arial"/>
                <w:b/>
                <w:color w:val="000000"/>
              </w:rPr>
              <w:fldChar w:fldCharType="begin">
                <w:ffData>
                  <w:name w:val=""/>
                  <w:enabled/>
                  <w:calcOnExit w:val="0"/>
                  <w:textInput/>
                </w:ffData>
              </w:fldChar>
            </w:r>
            <w:r w:rsidRPr="00C52B6E">
              <w:rPr>
                <w:rFonts w:ascii="Arial" w:eastAsia="Calibri" w:hAnsi="Arial" w:cs="Arial"/>
                <w:b/>
                <w:color w:val="000000"/>
              </w:rPr>
              <w:instrText xml:space="preserve"> FORMTEXT </w:instrText>
            </w:r>
            <w:r w:rsidRPr="00C52B6E">
              <w:rPr>
                <w:rFonts w:ascii="Arial" w:eastAsia="Calibri" w:hAnsi="Arial" w:cs="Arial"/>
                <w:b/>
                <w:color w:val="000000"/>
              </w:rPr>
            </w:r>
            <w:r w:rsidRPr="00C52B6E">
              <w:rPr>
                <w:rFonts w:ascii="Arial" w:eastAsia="Calibri" w:hAnsi="Arial" w:cs="Arial"/>
                <w:b/>
                <w:color w:val="000000"/>
              </w:rPr>
              <w:fldChar w:fldCharType="separate"/>
            </w:r>
            <w:r w:rsidRPr="00C52B6E">
              <w:rPr>
                <w:rFonts w:ascii="Arial" w:eastAsia="Calibri" w:hAnsi="Arial" w:cs="Arial"/>
                <w:b/>
                <w:noProof/>
                <w:color w:val="000000"/>
              </w:rPr>
              <w:t>Work continues on training addvisors.  Two training sessions held.  New pathway documents will also be of help to advisors.</w:t>
            </w:r>
            <w:r w:rsidRPr="00C52B6E">
              <w:rPr>
                <w:rFonts w:ascii="Arial" w:eastAsia="Calibri" w:hAnsi="Arial" w:cs="Arial"/>
                <w:b/>
                <w:color w:val="000000"/>
              </w:rPr>
              <w:fldChar w:fldCharType="end"/>
            </w:r>
          </w:p>
          <w:p w:rsidR="009473EA" w:rsidRDefault="009473EA" w:rsidP="00DC13FF">
            <w:pPr>
              <w:pStyle w:val="ListParagraph"/>
              <w:ind w:left="0"/>
              <w:rPr>
                <w:rFonts w:ascii="Arial" w:eastAsia="Calibri" w:hAnsi="Arial" w:cs="Arial"/>
                <w:b/>
                <w:color w:val="000000"/>
              </w:rPr>
            </w:pPr>
            <w:r>
              <w:rPr>
                <w:rFonts w:ascii="Arial" w:eastAsia="Calibri" w:hAnsi="Arial" w:cs="Arial"/>
                <w:b/>
                <w:color w:val="000000"/>
              </w:rPr>
              <w:t>2014-15: New advising model works well.  Meet with them periodically to communicate changes to program.</w:t>
            </w:r>
          </w:p>
          <w:p w:rsidR="000D3FD1" w:rsidRDefault="000D3FD1" w:rsidP="00DC13FF">
            <w:pPr>
              <w:pStyle w:val="ListParagraph"/>
              <w:ind w:left="0"/>
              <w:rPr>
                <w:rFonts w:ascii="Arial" w:eastAsia="Calibri" w:hAnsi="Arial" w:cs="Arial"/>
                <w:b/>
                <w:color w:val="000000"/>
              </w:rPr>
            </w:pPr>
            <w:r>
              <w:rPr>
                <w:rFonts w:ascii="Arial" w:eastAsia="Calibri" w:hAnsi="Arial" w:cs="Arial"/>
                <w:b/>
                <w:color w:val="000000"/>
              </w:rPr>
              <w:lastRenderedPageBreak/>
              <w:t>2015-16: New transfer guides prepared and shared based on updated transfer agreements.</w:t>
            </w:r>
          </w:p>
          <w:p w:rsidR="009473EA" w:rsidRPr="00C52B6E" w:rsidRDefault="009473EA" w:rsidP="00DC13FF">
            <w:pPr>
              <w:pStyle w:val="ListParagraph"/>
              <w:ind w:left="0"/>
              <w:rPr>
                <w:rFonts w:ascii="Arial" w:eastAsia="Calibri" w:hAnsi="Arial" w:cs="Arial"/>
                <w:color w:val="000000"/>
              </w:rPr>
            </w:pP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rPr>
            </w:pPr>
            <w:r w:rsidRPr="00C52B6E">
              <w:rPr>
                <w:rFonts w:ascii="Arial" w:eastAsia="Calibri" w:hAnsi="Arial" w:cs="Arial"/>
              </w:rPr>
              <w:lastRenderedPageBreak/>
              <w:t>The formation of the advisory committee was an important step for this program.  It is recommended that the coordinator work closely with the committee, such that the committee feels engaged in program maintenance and improvement.  The self-study mentions that a “definite plan will be developed in the advisory committee meeting in Spring 2010” to increase student retention, and it is recommended that this be pursued in that meeting.</w:t>
            </w:r>
          </w:p>
          <w:p w:rsidR="006160AE" w:rsidRPr="00C52B6E" w:rsidRDefault="006160AE" w:rsidP="00DC13FF">
            <w:pPr>
              <w:pStyle w:val="ListParagraph"/>
              <w:ind w:left="0"/>
              <w:rPr>
                <w:rFonts w:ascii="Arial" w:eastAsia="Calibri" w:hAnsi="Arial" w:cs="Arial"/>
                <w:color w:val="000000"/>
              </w:rPr>
            </w:pP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
                  <w:enabled/>
                  <w:calcOnExit w:val="0"/>
                  <w:checkBox>
                    <w:sizeAuto/>
                    <w:default w:val="1"/>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Spring 2012 marketing initiatives were implemented.  Work with advisory is ongoing and additional actions will be taken in the future.</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color w:val="000000"/>
              </w:rPr>
            </w:pPr>
            <w:r w:rsidRPr="00C52B6E">
              <w:rPr>
                <w:rFonts w:ascii="Arial" w:eastAsia="Calibri" w:hAnsi="Arial" w:cs="Arial"/>
              </w:rPr>
              <w:lastRenderedPageBreak/>
              <w:t>Work recently began on the web page for the program, and continued development of this is recommended.</w:t>
            </w: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ed/>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Pr="00C52B6E" w:rsidRDefault="000D3FD1" w:rsidP="000D3FD1">
            <w:pPr>
              <w:pStyle w:val="ListParagraph"/>
              <w:ind w:left="0"/>
              <w:rPr>
                <w:rFonts w:eastAsia="Calibri"/>
              </w:rPr>
            </w:pPr>
            <w:r>
              <w:rPr>
                <w:rFonts w:ascii="Arial" w:eastAsia="Calibri" w:hAnsi="Arial" w:cs="Arial"/>
                <w:b/>
                <w:color w:val="000000"/>
              </w:rPr>
              <w:t xml:space="preserve">As part of the college’s transition to a new website, an EUT program page was created to complement the other SME programs.  The new EUT program page highlights, among other things: program specific information, transfer opportunities, the differences between engineering and engineering technology was highlighted on this page, </w:t>
            </w:r>
            <w:r>
              <w:rPr>
                <w:rFonts w:ascii="Arial" w:eastAsia="Calibri" w:hAnsi="Arial" w:cs="Arial"/>
                <w:b/>
                <w:color w:val="000000"/>
              </w:rPr>
              <w:t>as well as</w:t>
            </w:r>
            <w:r>
              <w:rPr>
                <w:rFonts w:ascii="Arial" w:eastAsia="Calibri" w:hAnsi="Arial" w:cs="Arial"/>
                <w:b/>
                <w:color w:val="000000"/>
              </w:rPr>
              <w:t xml:space="preserve"> scholarship opportunities.</w:t>
            </w:r>
          </w:p>
        </w:tc>
      </w:tr>
      <w:tr w:rsidR="006160AE" w:rsidRPr="0037786D" w:rsidTr="00DC13FF">
        <w:tc>
          <w:tcPr>
            <w:tcW w:w="3708" w:type="dxa"/>
            <w:shd w:val="clear" w:color="auto" w:fill="auto"/>
          </w:tcPr>
          <w:p w:rsidR="006160AE" w:rsidRPr="00C52B6E" w:rsidRDefault="006160AE" w:rsidP="00DC13FF">
            <w:pPr>
              <w:spacing w:after="200" w:line="276" w:lineRule="auto"/>
              <w:rPr>
                <w:rFonts w:ascii="Arial" w:eastAsia="Calibri" w:hAnsi="Arial" w:cs="Arial"/>
              </w:rPr>
            </w:pPr>
            <w:r w:rsidRPr="00C52B6E">
              <w:rPr>
                <w:rFonts w:ascii="Arial" w:eastAsia="Calibri" w:hAnsi="Arial" w:cs="Arial"/>
              </w:rPr>
              <w:t>Continue efforts to better communicate with students in the program.</w:t>
            </w:r>
          </w:p>
          <w:p w:rsidR="006160AE" w:rsidRPr="00C52B6E" w:rsidRDefault="006160AE" w:rsidP="00DC13FF">
            <w:pPr>
              <w:pStyle w:val="ListParagraph"/>
              <w:ind w:left="0"/>
              <w:rPr>
                <w:rFonts w:ascii="Arial" w:eastAsia="Calibri" w:hAnsi="Arial" w:cs="Arial"/>
                <w:color w:val="000000"/>
              </w:rPr>
            </w:pPr>
          </w:p>
        </w:tc>
        <w:tc>
          <w:tcPr>
            <w:tcW w:w="2700" w:type="dxa"/>
            <w:shd w:val="clear" w:color="auto" w:fill="auto"/>
          </w:tcPr>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In progress </w:t>
            </w:r>
            <w:r w:rsidRPr="00C52B6E">
              <w:rPr>
                <w:rFonts w:eastAsia="Calibri"/>
              </w:rPr>
              <w:fldChar w:fldCharType="begin">
                <w:ffData>
                  <w:name w:val=""/>
                  <w:enabled/>
                  <w:calcOnExit w:val="0"/>
                  <w:checkBox>
                    <w:sizeAuto/>
                    <w:default w:val="0"/>
                    <w:checked/>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Completed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p w:rsidR="006160AE" w:rsidRPr="00C52B6E" w:rsidRDefault="006160AE" w:rsidP="00DC13FF">
            <w:pPr>
              <w:pStyle w:val="ListParagraph"/>
              <w:ind w:left="0"/>
              <w:rPr>
                <w:rFonts w:ascii="Arial" w:eastAsia="Calibri" w:hAnsi="Arial" w:cs="Arial"/>
                <w:color w:val="000000"/>
              </w:rPr>
            </w:pPr>
          </w:p>
          <w:p w:rsidR="006160AE" w:rsidRPr="00C52B6E" w:rsidRDefault="006160AE" w:rsidP="00DC13FF">
            <w:pPr>
              <w:pStyle w:val="ListParagraph"/>
              <w:ind w:left="0"/>
              <w:rPr>
                <w:rFonts w:ascii="Arial" w:eastAsia="Calibri" w:hAnsi="Arial" w:cs="Arial"/>
                <w:color w:val="000000"/>
              </w:rPr>
            </w:pPr>
            <w:r w:rsidRPr="00C52B6E">
              <w:rPr>
                <w:rFonts w:ascii="Arial" w:eastAsia="Calibri" w:hAnsi="Arial" w:cs="Arial"/>
                <w:color w:val="000000"/>
              </w:rPr>
              <w:t xml:space="preserve">No longer applicable </w:t>
            </w:r>
            <w:r w:rsidRPr="00C52B6E">
              <w:rPr>
                <w:rFonts w:eastAsia="Calibri"/>
              </w:rPr>
              <w:fldChar w:fldCharType="begin">
                <w:ffData>
                  <w:name w:val="Check1"/>
                  <w:enabled/>
                  <w:calcOnExit w:val="0"/>
                  <w:checkBox>
                    <w:sizeAuto/>
                    <w:default w:val="0"/>
                  </w:checkBox>
                </w:ffData>
              </w:fldChar>
            </w:r>
            <w:r w:rsidRPr="00C52B6E">
              <w:rPr>
                <w:rFonts w:eastAsia="Calibri"/>
              </w:rPr>
              <w:instrText xml:space="preserve"> FORMCHECKBOX </w:instrText>
            </w:r>
            <w:r w:rsidR="00E1076A">
              <w:rPr>
                <w:rFonts w:eastAsia="Calibri"/>
              </w:rPr>
            </w:r>
            <w:r w:rsidR="00E1076A">
              <w:rPr>
                <w:rFonts w:eastAsia="Calibri"/>
              </w:rPr>
              <w:fldChar w:fldCharType="separate"/>
            </w:r>
            <w:r w:rsidRPr="00C52B6E">
              <w:rPr>
                <w:rFonts w:eastAsia="Calibri"/>
              </w:rPr>
              <w:fldChar w:fldCharType="end"/>
            </w:r>
          </w:p>
        </w:tc>
        <w:tc>
          <w:tcPr>
            <w:tcW w:w="6480" w:type="dxa"/>
            <w:shd w:val="clear" w:color="auto" w:fill="auto"/>
          </w:tcPr>
          <w:p w:rsidR="006160AE" w:rsidRDefault="006160AE" w:rsidP="00DC13FF">
            <w:pPr>
              <w:pStyle w:val="ListParagraph"/>
              <w:ind w:left="0"/>
              <w:rPr>
                <w:rFonts w:ascii="Arial" w:eastAsia="Calibri" w:hAnsi="Arial" w:cs="Arial"/>
                <w:b/>
                <w:color w:val="000000"/>
              </w:rPr>
            </w:pPr>
            <w:r w:rsidRPr="00C52B6E">
              <w:rPr>
                <w:rFonts w:ascii="Arial" w:eastAsia="Calibri" w:hAnsi="Arial" w:cs="Arial"/>
                <w:b/>
                <w:color w:val="000000"/>
              </w:rPr>
              <w:fldChar w:fldCharType="begin">
                <w:ffData>
                  <w:name w:val=""/>
                  <w:enabled/>
                  <w:calcOnExit w:val="0"/>
                  <w:textInput/>
                </w:ffData>
              </w:fldChar>
            </w:r>
            <w:r w:rsidRPr="00C52B6E">
              <w:rPr>
                <w:rFonts w:ascii="Arial" w:eastAsia="Calibri" w:hAnsi="Arial" w:cs="Arial"/>
                <w:b/>
                <w:color w:val="000000"/>
              </w:rPr>
              <w:instrText xml:space="preserve"> FORMTEXT </w:instrText>
            </w:r>
            <w:r w:rsidRPr="00C52B6E">
              <w:rPr>
                <w:rFonts w:ascii="Arial" w:eastAsia="Calibri" w:hAnsi="Arial" w:cs="Arial"/>
                <w:b/>
                <w:color w:val="000000"/>
              </w:rPr>
            </w:r>
            <w:r w:rsidRPr="00C52B6E">
              <w:rPr>
                <w:rFonts w:ascii="Arial" w:eastAsia="Calibri" w:hAnsi="Arial" w:cs="Arial"/>
                <w:b/>
                <w:color w:val="000000"/>
              </w:rPr>
              <w:fldChar w:fldCharType="separate"/>
            </w:r>
            <w:r w:rsidRPr="00C52B6E">
              <w:rPr>
                <w:rFonts w:ascii="Arial" w:eastAsia="Calibri" w:hAnsi="Arial" w:cs="Arial"/>
                <w:b/>
                <w:noProof/>
                <w:color w:val="000000"/>
              </w:rPr>
              <w:t>Developed Angel community for better communication with students.  Electrical students now have a class assignment in a basic class (EET 1131) that requires them to contact the EUT corrdinator if they are engineering students.</w:t>
            </w:r>
            <w:r w:rsidRPr="00C52B6E">
              <w:rPr>
                <w:rFonts w:ascii="Arial" w:eastAsia="Calibri" w:hAnsi="Arial" w:cs="Arial"/>
                <w:b/>
                <w:color w:val="000000"/>
              </w:rPr>
              <w:fldChar w:fldCharType="end"/>
            </w:r>
          </w:p>
          <w:p w:rsidR="009473EA" w:rsidRDefault="009473EA" w:rsidP="00DC13FF">
            <w:pPr>
              <w:pStyle w:val="ListParagraph"/>
              <w:ind w:left="0"/>
              <w:rPr>
                <w:rFonts w:ascii="Arial" w:eastAsia="Calibri" w:hAnsi="Arial" w:cs="Arial"/>
                <w:b/>
                <w:color w:val="000000"/>
              </w:rPr>
            </w:pPr>
            <w:r>
              <w:rPr>
                <w:rFonts w:ascii="Arial" w:eastAsia="Calibri" w:hAnsi="Arial" w:cs="Arial"/>
                <w:b/>
                <w:color w:val="000000"/>
              </w:rPr>
              <w:t>2014-15: New eLearn site is not yet up but should be activated sometime this year.</w:t>
            </w:r>
          </w:p>
          <w:p w:rsidR="000D3FD1" w:rsidRPr="00C52B6E" w:rsidRDefault="000D3FD1" w:rsidP="000D3FD1">
            <w:pPr>
              <w:pStyle w:val="ListParagraph"/>
              <w:ind w:left="0"/>
              <w:rPr>
                <w:rFonts w:ascii="Arial" w:eastAsia="Calibri" w:hAnsi="Arial" w:cs="Arial"/>
                <w:color w:val="000000"/>
              </w:rPr>
            </w:pPr>
            <w:r>
              <w:rPr>
                <w:rFonts w:ascii="Arial" w:eastAsia="Calibri" w:hAnsi="Arial" w:cs="Arial"/>
                <w:b/>
                <w:color w:val="000000"/>
              </w:rPr>
              <w:t>2015-16: New eLearn site exists but requires work to keep the student roster current.  The EUT coordinator has done several outreach events for both existing and new students, including setting up an engineering panel and a presentation from WPAFB.  In addition, several emails have gone to EUT students on</w:t>
            </w:r>
            <w:bookmarkStart w:id="1" w:name="_GoBack"/>
            <w:bookmarkEnd w:id="1"/>
            <w:r>
              <w:rPr>
                <w:rFonts w:ascii="Arial" w:eastAsia="Calibri" w:hAnsi="Arial" w:cs="Arial"/>
                <w:b/>
                <w:color w:val="000000"/>
              </w:rPr>
              <w:t xml:space="preserve"> events and scholarships.</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E1076A"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Arial"/>
            <w14:uncheckedState w14:val="2610" w14:font="Arial"/>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Arial"/>
            <w14:uncheckedState w14:val="2610" w14:font="Arial"/>
          </w14:checkbox>
        </w:sdtPr>
        <w:sdtEndPr/>
        <w:sdtContent>
          <w:r w:rsidR="009473EA">
            <w:rPr>
              <w:rFonts w:ascii="MS Gothic" w:eastAsia="MS Gothic" w:hAnsi="Arial"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E1076A"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Arial"/>
            <w14:uncheckedState w14:val="2610" w14:font="Arial"/>
          </w14:checkbox>
        </w:sdtPr>
        <w:sdtEndPr/>
        <w:sdtContent>
          <w:r w:rsidR="009473EA">
            <w:rPr>
              <w:rFonts w:ascii="MS Gothic" w:eastAsia="MS Gothic" w:hAnsi="Arial"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E1076A"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Arial"/>
            <w14:uncheckedState w14:val="2610" w14:font="Arial"/>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Arial"/>
            <w14:uncheckedState w14:val="2610" w14:font="Arial"/>
          </w14:checkbox>
        </w:sdtPr>
        <w:sdtEndPr/>
        <w:sdtContent>
          <w:r w:rsidR="009473EA">
            <w:rPr>
              <w:rFonts w:ascii="MS Gothic" w:eastAsia="MS Gothic" w:hAnsi="Arial"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E1076A"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9473EA">
            <w:rPr>
              <w:rFonts w:ascii="Arial" w:hAnsi="Arial" w:cs="Arial"/>
              <w:b/>
              <w:sz w:val="20"/>
              <w:szCs w:val="20"/>
            </w:rPr>
            <w:t>It is assumed that this competency is mastered among the two social science and humanities courses the students take from the OTM.  Students have choices as to which of these courses they take, so there is no assurance this is covered.  Transferability issues limit our ability to address this as part of the required courses, as only Calculus, Physics, English and COM are required of every EUT student.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6160AE" w:rsidRPr="006D5AFE" w:rsidTr="00DC13FF">
        <w:trPr>
          <w:trHeight w:val="274"/>
        </w:trPr>
        <w:tc>
          <w:tcPr>
            <w:tcW w:w="3708" w:type="dxa"/>
            <w:shd w:val="clear" w:color="auto" w:fill="FFFFFF"/>
            <w:vAlign w:val="center"/>
          </w:tcPr>
          <w:p w:rsidR="006160AE" w:rsidRPr="006D5AFE" w:rsidRDefault="006160AE" w:rsidP="00DC13FF">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Used</w:t>
            </w:r>
          </w:p>
          <w:p w:rsidR="006160AE" w:rsidRPr="006D5AFE" w:rsidRDefault="006160AE" w:rsidP="00DC13FF">
            <w:pPr>
              <w:jc w:val="center"/>
              <w:rPr>
                <w:rFonts w:ascii="Calibri" w:eastAsia="Calibri" w:hAnsi="Calibri" w:cs="Arial"/>
                <w:color w:val="000000"/>
                <w:sz w:val="20"/>
              </w:rPr>
            </w:pPr>
          </w:p>
        </w:tc>
        <w:tc>
          <w:tcPr>
            <w:tcW w:w="3758" w:type="dxa"/>
            <w:shd w:val="clear" w:color="auto" w:fill="auto"/>
          </w:tcPr>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6160AE" w:rsidRPr="006D5AFE" w:rsidRDefault="006160AE" w:rsidP="00DC13FF">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6160AE" w:rsidRPr="006D5AFE" w:rsidTr="00DC13FF">
        <w:trPr>
          <w:trHeight w:val="1250"/>
        </w:trPr>
        <w:tc>
          <w:tcPr>
            <w:tcW w:w="3708" w:type="dxa"/>
            <w:shd w:val="clear" w:color="auto" w:fill="FFFFFF"/>
            <w:vAlign w:val="center"/>
          </w:tcPr>
          <w:p w:rsidR="006160AE" w:rsidRPr="00AA0D8B" w:rsidRDefault="006160AE" w:rsidP="00DC13F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t>Develop skills in calculus, analytical geometry and differential equations to analyze and solve engineering problems.</w:t>
            </w:r>
          </w:p>
        </w:tc>
        <w:tc>
          <w:tcPr>
            <w:tcW w:w="1742" w:type="dxa"/>
            <w:shd w:val="clear" w:color="auto" w:fill="auto"/>
            <w:vAlign w:val="center"/>
          </w:tcPr>
          <w:p w:rsidR="006160AE" w:rsidRDefault="006160AE" w:rsidP="00DC13FF">
            <w:pPr>
              <w:rPr>
                <w:rFonts w:ascii="Verdana" w:hAnsi="Verdana"/>
                <w:sz w:val="20"/>
                <w:szCs w:val="20"/>
              </w:rPr>
            </w:pPr>
            <w:r>
              <w:rPr>
                <w:rFonts w:ascii="Verdana" w:hAnsi="Verdana"/>
                <w:sz w:val="20"/>
                <w:szCs w:val="20"/>
              </w:rPr>
              <w:t>MAT 2270</w:t>
            </w:r>
          </w:p>
          <w:p w:rsidR="006160AE" w:rsidRPr="00AA0D8B" w:rsidRDefault="006160AE" w:rsidP="00DC13FF">
            <w:pPr>
              <w:rPr>
                <w:rFonts w:ascii="Verdana" w:hAnsi="Verdana"/>
                <w:sz w:val="20"/>
                <w:szCs w:val="20"/>
              </w:rPr>
            </w:pPr>
            <w:r>
              <w:rPr>
                <w:rFonts w:ascii="Verdana" w:hAnsi="Verdana"/>
                <w:sz w:val="20"/>
                <w:szCs w:val="20"/>
              </w:rPr>
              <w:t>MAT 2280</w:t>
            </w:r>
          </w:p>
        </w:tc>
        <w:tc>
          <w:tcPr>
            <w:tcW w:w="1430" w:type="dxa"/>
            <w:shd w:val="clear" w:color="auto" w:fill="auto"/>
          </w:tcPr>
          <w:p w:rsidR="006160AE" w:rsidRPr="00C52B6E" w:rsidRDefault="00C46E99" w:rsidP="00C46E99">
            <w:pPr>
              <w:jc w:val="center"/>
              <w:rPr>
                <w:rFonts w:ascii="Calibri" w:hAnsi="Calibri" w:cs="Arial"/>
                <w:color w:val="000000"/>
              </w:rPr>
            </w:pPr>
            <w:r>
              <w:rPr>
                <w:rFonts w:ascii="Calibri" w:hAnsi="Calibri" w:cs="Arial"/>
                <w:color w:val="000000"/>
              </w:rPr>
              <w:t>2014-15</w:t>
            </w:r>
          </w:p>
        </w:tc>
        <w:tc>
          <w:tcPr>
            <w:tcW w:w="2250" w:type="dxa"/>
            <w:shd w:val="clear" w:color="auto" w:fill="auto"/>
          </w:tcPr>
          <w:p w:rsidR="006160AE" w:rsidRPr="00C52B6E" w:rsidRDefault="00C46E99" w:rsidP="00DC13FF">
            <w:pPr>
              <w:ind w:left="72"/>
              <w:rPr>
                <w:rFonts w:ascii="Calibri" w:hAnsi="Calibri" w:cs="Arial"/>
                <w:color w:val="000000"/>
              </w:rPr>
            </w:pPr>
            <w:r>
              <w:rPr>
                <w:rFonts w:ascii="Arial" w:hAnsi="Arial" w:cs="Arial"/>
                <w:b/>
                <w:color w:val="000000"/>
              </w:rPr>
              <w:t>Common test questions in Calculus II</w:t>
            </w:r>
          </w:p>
        </w:tc>
        <w:tc>
          <w:tcPr>
            <w:tcW w:w="3758" w:type="dxa"/>
            <w:shd w:val="clear" w:color="auto" w:fill="auto"/>
          </w:tcPr>
          <w:p w:rsidR="00994433" w:rsidRPr="00C52B6E" w:rsidRDefault="00C46E99" w:rsidP="00DC13FF">
            <w:pPr>
              <w:ind w:left="72"/>
              <w:rPr>
                <w:rFonts w:ascii="Calibri" w:hAnsi="Calibri" w:cs="Arial"/>
                <w:color w:val="000000"/>
              </w:rPr>
            </w:pPr>
            <w:r>
              <w:rPr>
                <w:rFonts w:ascii="Arial" w:hAnsi="Arial" w:cs="Arial"/>
                <w:b/>
                <w:color w:val="000000"/>
              </w:rPr>
              <w:t>Student performance varied from a high of 82% (correct mathematical notation, unit conversion) to a low of 30% (correct integral and correct answer).  Overall performance was 60% over 9 distinct areas.</w:t>
            </w:r>
            <w:r w:rsidRPr="00C52B6E">
              <w:rPr>
                <w:rFonts w:ascii="Calibri" w:hAnsi="Calibri" w:cs="Arial"/>
                <w:color w:val="000000"/>
              </w:rPr>
              <w:t xml:space="preserve"> </w:t>
            </w:r>
          </w:p>
        </w:tc>
      </w:tr>
      <w:tr w:rsidR="006160AE" w:rsidRPr="006D5AFE" w:rsidTr="00DC13FF">
        <w:trPr>
          <w:trHeight w:val="72"/>
        </w:trPr>
        <w:tc>
          <w:tcPr>
            <w:tcW w:w="3708" w:type="dxa"/>
            <w:shd w:val="clear" w:color="auto" w:fill="FFFFFF"/>
            <w:vAlign w:val="center"/>
          </w:tcPr>
          <w:p w:rsidR="006160AE" w:rsidRPr="00AA0D8B" w:rsidRDefault="006160AE" w:rsidP="00DC13FF">
            <w:pPr>
              <w:rPr>
                <w:rFonts w:ascii="Verdana" w:hAnsi="Verdana"/>
                <w:sz w:val="20"/>
                <w:szCs w:val="20"/>
              </w:rPr>
            </w:pPr>
            <w:r w:rsidRPr="00E4193C">
              <w:rPr>
                <w:rFonts w:ascii="Verdana" w:hAnsi="Verdana"/>
                <w:color w:val="333333"/>
                <w:sz w:val="20"/>
                <w:szCs w:val="20"/>
              </w:rPr>
              <w:t>Demonstrate written and oral communication skills for effective presentations.</w:t>
            </w:r>
          </w:p>
        </w:tc>
        <w:tc>
          <w:tcPr>
            <w:tcW w:w="1742" w:type="dxa"/>
            <w:shd w:val="clear" w:color="auto" w:fill="auto"/>
            <w:vAlign w:val="center"/>
          </w:tcPr>
          <w:p w:rsidR="006160AE" w:rsidRDefault="006160AE" w:rsidP="00DC13FF">
            <w:pPr>
              <w:rPr>
                <w:rFonts w:ascii="Verdana" w:hAnsi="Verdana"/>
                <w:sz w:val="20"/>
                <w:szCs w:val="20"/>
              </w:rPr>
            </w:pPr>
            <w:r>
              <w:rPr>
                <w:rFonts w:ascii="Verdana" w:hAnsi="Verdana"/>
                <w:sz w:val="20"/>
                <w:szCs w:val="20"/>
              </w:rPr>
              <w:t>ENG 1101</w:t>
            </w:r>
          </w:p>
          <w:p w:rsidR="006160AE" w:rsidRDefault="006160AE" w:rsidP="00DC13FF">
            <w:pPr>
              <w:rPr>
                <w:rFonts w:ascii="Verdana" w:hAnsi="Verdana"/>
                <w:sz w:val="20"/>
                <w:szCs w:val="20"/>
              </w:rPr>
            </w:pPr>
            <w:r>
              <w:rPr>
                <w:rFonts w:ascii="Verdana" w:hAnsi="Verdana"/>
                <w:sz w:val="20"/>
                <w:szCs w:val="20"/>
              </w:rPr>
              <w:t>ENG 1201</w:t>
            </w:r>
          </w:p>
          <w:p w:rsidR="006160AE" w:rsidRDefault="006160AE" w:rsidP="00DC13FF">
            <w:pPr>
              <w:rPr>
                <w:rFonts w:ascii="Verdana" w:hAnsi="Verdana"/>
                <w:sz w:val="20"/>
                <w:szCs w:val="20"/>
              </w:rPr>
            </w:pPr>
            <w:r>
              <w:rPr>
                <w:rFonts w:ascii="Verdana" w:hAnsi="Verdana"/>
                <w:sz w:val="20"/>
                <w:szCs w:val="20"/>
              </w:rPr>
              <w:t>COM 2211</w:t>
            </w:r>
          </w:p>
          <w:p w:rsidR="006160AE" w:rsidRDefault="006160AE" w:rsidP="00DC13FF">
            <w:pPr>
              <w:rPr>
                <w:rFonts w:ascii="Verdana" w:hAnsi="Verdana"/>
                <w:sz w:val="20"/>
                <w:szCs w:val="20"/>
              </w:rPr>
            </w:pPr>
            <w:r>
              <w:rPr>
                <w:rFonts w:ascii="Verdana" w:hAnsi="Verdana"/>
                <w:sz w:val="20"/>
                <w:szCs w:val="20"/>
              </w:rPr>
              <w:t>OTM Arts/Humanities Elective</w:t>
            </w:r>
          </w:p>
          <w:p w:rsidR="006160AE" w:rsidRPr="00AA0D8B" w:rsidRDefault="006160AE" w:rsidP="00DC13FF">
            <w:pPr>
              <w:rPr>
                <w:rFonts w:ascii="Verdana" w:hAnsi="Verdana"/>
                <w:sz w:val="20"/>
                <w:szCs w:val="20"/>
              </w:rPr>
            </w:pPr>
            <w:r>
              <w:rPr>
                <w:rFonts w:ascii="Verdana" w:hAnsi="Verdana"/>
                <w:sz w:val="20"/>
                <w:szCs w:val="20"/>
              </w:rPr>
              <w:t>OTM Social/ Behavioral Elective</w:t>
            </w:r>
          </w:p>
        </w:tc>
        <w:tc>
          <w:tcPr>
            <w:tcW w:w="1430" w:type="dxa"/>
            <w:shd w:val="clear" w:color="auto" w:fill="auto"/>
          </w:tcPr>
          <w:p w:rsidR="006160AE" w:rsidRPr="00C52B6E" w:rsidRDefault="00C46E99" w:rsidP="00DC13FF">
            <w:pPr>
              <w:jc w:val="center"/>
              <w:rPr>
                <w:rFonts w:ascii="Calibri" w:hAnsi="Calibri" w:cs="Arial"/>
                <w:color w:val="000000"/>
              </w:rPr>
            </w:pPr>
            <w:r>
              <w:rPr>
                <w:rFonts w:ascii="Calibri" w:hAnsi="Calibri" w:cs="Arial"/>
                <w:color w:val="000000"/>
              </w:rPr>
              <w:t>2014-15</w:t>
            </w:r>
          </w:p>
        </w:tc>
        <w:tc>
          <w:tcPr>
            <w:tcW w:w="2250" w:type="dxa"/>
            <w:shd w:val="clear" w:color="auto" w:fill="auto"/>
          </w:tcPr>
          <w:p w:rsidR="006160AE" w:rsidRPr="000B3E21" w:rsidRDefault="00C46E99" w:rsidP="00DC13FF">
            <w:pPr>
              <w:ind w:left="72"/>
              <w:rPr>
                <w:rFonts w:ascii="Arial" w:hAnsi="Arial" w:cs="Arial"/>
                <w:b/>
                <w:color w:val="000000"/>
              </w:rPr>
            </w:pPr>
            <w:r w:rsidRPr="000B3E21">
              <w:rPr>
                <w:rFonts w:ascii="Arial" w:hAnsi="Arial" w:cs="Arial"/>
                <w:b/>
                <w:color w:val="000000"/>
              </w:rPr>
              <w:t>Written assignments in Thermodynamics</w:t>
            </w:r>
          </w:p>
        </w:tc>
        <w:tc>
          <w:tcPr>
            <w:tcW w:w="3758" w:type="dxa"/>
            <w:shd w:val="clear" w:color="auto" w:fill="auto"/>
          </w:tcPr>
          <w:p w:rsidR="006160AE" w:rsidRPr="000B3E21" w:rsidRDefault="00C46E99" w:rsidP="00C46E99">
            <w:pPr>
              <w:ind w:left="72"/>
              <w:rPr>
                <w:rFonts w:ascii="Arial" w:hAnsi="Arial" w:cs="Arial"/>
                <w:b/>
                <w:color w:val="000000"/>
              </w:rPr>
            </w:pPr>
            <w:r w:rsidRPr="000B3E21">
              <w:rPr>
                <w:rFonts w:ascii="Arial" w:hAnsi="Arial" w:cs="Arial"/>
                <w:b/>
                <w:color w:val="000000"/>
              </w:rPr>
              <w:t>All students successfully com</w:t>
            </w:r>
            <w:r w:rsidR="000B3E21" w:rsidRPr="000B3E21">
              <w:rPr>
                <w:rFonts w:ascii="Arial" w:hAnsi="Arial" w:cs="Arial"/>
                <w:b/>
                <w:color w:val="000000"/>
              </w:rPr>
              <w:t>pleted writing assignments at the 80% or greater competency by rubric.</w:t>
            </w:r>
          </w:p>
        </w:tc>
      </w:tr>
      <w:tr w:rsidR="006160AE" w:rsidRPr="006D5AFE" w:rsidTr="00DC13FF">
        <w:trPr>
          <w:trHeight w:val="72"/>
        </w:trPr>
        <w:tc>
          <w:tcPr>
            <w:tcW w:w="3708" w:type="dxa"/>
            <w:shd w:val="clear" w:color="auto" w:fill="FFFFFF"/>
            <w:vAlign w:val="center"/>
          </w:tcPr>
          <w:p w:rsidR="006160AE" w:rsidRPr="00AA0D8B" w:rsidRDefault="006160AE" w:rsidP="00DC13F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t>Use mathematics and analytical tools for engineering and related problem solving.</w:t>
            </w:r>
          </w:p>
        </w:tc>
        <w:tc>
          <w:tcPr>
            <w:tcW w:w="1742" w:type="dxa"/>
            <w:shd w:val="clear" w:color="auto" w:fill="auto"/>
            <w:vAlign w:val="center"/>
          </w:tcPr>
          <w:p w:rsidR="006160AE" w:rsidRDefault="006160AE" w:rsidP="00DC13FF">
            <w:pPr>
              <w:rPr>
                <w:rFonts w:ascii="Verdana" w:hAnsi="Verdana"/>
                <w:sz w:val="20"/>
                <w:szCs w:val="20"/>
              </w:rPr>
            </w:pPr>
            <w:r>
              <w:rPr>
                <w:rFonts w:ascii="Verdana" w:hAnsi="Verdana"/>
                <w:sz w:val="20"/>
                <w:szCs w:val="20"/>
              </w:rPr>
              <w:t>EGR Electives</w:t>
            </w:r>
          </w:p>
          <w:p w:rsidR="006160AE" w:rsidRPr="00AA0D8B" w:rsidRDefault="006160AE" w:rsidP="00DC13FF">
            <w:pPr>
              <w:rPr>
                <w:rFonts w:ascii="Verdana" w:hAnsi="Verdana"/>
                <w:sz w:val="20"/>
                <w:szCs w:val="20"/>
              </w:rPr>
            </w:pPr>
            <w:r>
              <w:rPr>
                <w:rFonts w:ascii="Verdana" w:hAnsi="Verdana"/>
                <w:sz w:val="20"/>
                <w:szCs w:val="20"/>
              </w:rPr>
              <w:t>SME 1101</w:t>
            </w:r>
          </w:p>
        </w:tc>
        <w:tc>
          <w:tcPr>
            <w:tcW w:w="1430" w:type="dxa"/>
            <w:shd w:val="clear" w:color="auto" w:fill="auto"/>
          </w:tcPr>
          <w:p w:rsidR="006160AE" w:rsidRPr="00C52B6E" w:rsidRDefault="006160AE" w:rsidP="00DC13FF">
            <w:pPr>
              <w:jc w:val="center"/>
              <w:rPr>
                <w:rFonts w:ascii="Calibri" w:hAnsi="Calibri" w:cs="Arial"/>
                <w:color w:val="000000"/>
              </w:rPr>
            </w:pPr>
          </w:p>
          <w:p w:rsidR="006160AE" w:rsidRPr="00C52B6E" w:rsidRDefault="006160AE" w:rsidP="00DC13FF">
            <w:pPr>
              <w:jc w:val="center"/>
              <w:rPr>
                <w:rFonts w:ascii="Calibri" w:hAnsi="Calibri" w:cs="Arial"/>
                <w:color w:val="000000"/>
              </w:rPr>
            </w:pPr>
            <w:r w:rsidRPr="00C52B6E">
              <w:rPr>
                <w:rFonts w:ascii="Calibri" w:hAnsi="Calibri" w:cs="Arial"/>
                <w:color w:val="000000"/>
              </w:rPr>
              <w:t>2011-12</w:t>
            </w:r>
          </w:p>
        </w:tc>
        <w:tc>
          <w:tcPr>
            <w:tcW w:w="2250" w:type="dxa"/>
            <w:shd w:val="clear" w:color="auto" w:fill="auto"/>
          </w:tcPr>
          <w:p w:rsidR="006160AE" w:rsidRPr="00C52B6E" w:rsidRDefault="006160AE" w:rsidP="00DC13FF">
            <w:pPr>
              <w:ind w:left="72"/>
              <w:rPr>
                <w:rFonts w:ascii="Calibri" w:hAnsi="Calibri" w:cs="Arial"/>
                <w:color w:val="000000"/>
              </w:rPr>
            </w:pPr>
            <w:r w:rsidRPr="00C52B6E">
              <w:rPr>
                <w:rFonts w:ascii="Arial" w:hAnsi="Arial" w:cs="Arial"/>
                <w:b/>
                <w:color w:val="000000"/>
              </w:rPr>
              <w:fldChar w:fldCharType="begin">
                <w:ffData>
                  <w:name w:val=""/>
                  <w:enabled/>
                  <w:calcOnExit w:val="0"/>
                  <w:textInput/>
                </w:ffData>
              </w:fldChar>
            </w:r>
            <w:r w:rsidRPr="00C52B6E">
              <w:rPr>
                <w:rFonts w:ascii="Arial" w:hAnsi="Arial" w:cs="Arial"/>
                <w:b/>
                <w:color w:val="000000"/>
              </w:rPr>
              <w:instrText xml:space="preserve"> FORMTEXT </w:instrText>
            </w:r>
            <w:r w:rsidRPr="00C52B6E">
              <w:rPr>
                <w:rFonts w:ascii="Arial" w:hAnsi="Arial" w:cs="Arial"/>
                <w:b/>
                <w:color w:val="000000"/>
              </w:rPr>
            </w:r>
            <w:r w:rsidRPr="00C52B6E">
              <w:rPr>
                <w:rFonts w:ascii="Arial" w:hAnsi="Arial" w:cs="Arial"/>
                <w:b/>
                <w:color w:val="000000"/>
              </w:rPr>
              <w:fldChar w:fldCharType="separate"/>
            </w:r>
            <w:r w:rsidRPr="00C52B6E">
              <w:rPr>
                <w:rFonts w:ascii="Arial" w:hAnsi="Arial" w:cs="Arial"/>
                <w:b/>
                <w:noProof/>
                <w:color w:val="000000"/>
              </w:rPr>
              <w:t>Exams</w:t>
            </w:r>
            <w:r w:rsidRPr="00C52B6E">
              <w:rPr>
                <w:rFonts w:ascii="Arial" w:hAnsi="Arial" w:cs="Arial"/>
                <w:b/>
                <w:color w:val="000000"/>
              </w:rPr>
              <w:fldChar w:fldCharType="end"/>
            </w:r>
          </w:p>
        </w:tc>
        <w:tc>
          <w:tcPr>
            <w:tcW w:w="3758" w:type="dxa"/>
            <w:shd w:val="clear" w:color="auto" w:fill="auto"/>
          </w:tcPr>
          <w:p w:rsidR="006160AE" w:rsidRDefault="006160AE" w:rsidP="00DC13FF">
            <w:pPr>
              <w:ind w:left="72"/>
              <w:rPr>
                <w:rFonts w:ascii="Arial" w:hAnsi="Arial" w:cs="Arial"/>
                <w:b/>
                <w:color w:val="000000"/>
              </w:rPr>
            </w:pPr>
            <w:r w:rsidRPr="00C52B6E">
              <w:rPr>
                <w:rFonts w:ascii="Arial" w:hAnsi="Arial" w:cs="Arial"/>
                <w:b/>
                <w:color w:val="000000"/>
              </w:rPr>
              <w:fldChar w:fldCharType="begin">
                <w:ffData>
                  <w:name w:val=""/>
                  <w:enabled/>
                  <w:calcOnExit w:val="0"/>
                  <w:textInput/>
                </w:ffData>
              </w:fldChar>
            </w:r>
            <w:r w:rsidRPr="00C52B6E">
              <w:rPr>
                <w:rFonts w:ascii="Arial" w:hAnsi="Arial" w:cs="Arial"/>
                <w:b/>
                <w:color w:val="000000"/>
              </w:rPr>
              <w:instrText xml:space="preserve"> FORMTEXT </w:instrText>
            </w:r>
            <w:r w:rsidRPr="00C52B6E">
              <w:rPr>
                <w:rFonts w:ascii="Arial" w:hAnsi="Arial" w:cs="Arial"/>
                <w:b/>
                <w:color w:val="000000"/>
              </w:rPr>
            </w:r>
            <w:r w:rsidRPr="00C52B6E">
              <w:rPr>
                <w:rFonts w:ascii="Arial" w:hAnsi="Arial" w:cs="Arial"/>
                <w:b/>
                <w:color w:val="000000"/>
              </w:rPr>
              <w:fldChar w:fldCharType="separate"/>
            </w:r>
            <w:r w:rsidRPr="00C52B6E">
              <w:rPr>
                <w:rFonts w:ascii="Arial" w:hAnsi="Arial" w:cs="Arial"/>
                <w:b/>
                <w:noProof/>
                <w:color w:val="000000"/>
              </w:rPr>
              <w:t>Section averages consistently above 75%, consistently higher than WSU students on same exam in parallel course.</w:t>
            </w:r>
            <w:r w:rsidRPr="00C52B6E">
              <w:rPr>
                <w:rFonts w:ascii="Arial" w:hAnsi="Arial" w:cs="Arial"/>
                <w:b/>
                <w:color w:val="000000"/>
              </w:rPr>
              <w:fldChar w:fldCharType="end"/>
            </w:r>
          </w:p>
          <w:p w:rsidR="00994433" w:rsidRPr="00C52B6E" w:rsidRDefault="00994433" w:rsidP="00DC13FF">
            <w:pPr>
              <w:ind w:left="72"/>
              <w:rPr>
                <w:rFonts w:ascii="Calibri" w:hAnsi="Calibri" w:cs="Arial"/>
                <w:color w:val="000000"/>
              </w:rPr>
            </w:pPr>
          </w:p>
        </w:tc>
      </w:tr>
      <w:tr w:rsidR="006160AE" w:rsidRPr="006D5AFE" w:rsidTr="00DC13FF">
        <w:tblPrEx>
          <w:shd w:val="clear" w:color="auto" w:fill="auto"/>
          <w:tblLook w:val="04A0" w:firstRow="1" w:lastRow="0" w:firstColumn="1" w:lastColumn="0" w:noHBand="0" w:noVBand="1"/>
        </w:tblPrEx>
        <w:trPr>
          <w:trHeight w:val="72"/>
        </w:trPr>
        <w:tc>
          <w:tcPr>
            <w:tcW w:w="3708" w:type="dxa"/>
            <w:shd w:val="clear" w:color="auto" w:fill="auto"/>
            <w:vAlign w:val="center"/>
          </w:tcPr>
          <w:p w:rsidR="006160AE" w:rsidRPr="00AA0D8B" w:rsidRDefault="006160AE" w:rsidP="00DC13FF">
            <w:pPr>
              <w:shd w:val="clear" w:color="auto" w:fill="FFFFFF"/>
              <w:textAlignment w:val="top"/>
              <w:rPr>
                <w:rFonts w:ascii="Verdana" w:hAnsi="Verdana"/>
                <w:color w:val="333333"/>
                <w:sz w:val="20"/>
                <w:szCs w:val="20"/>
              </w:rPr>
            </w:pPr>
            <w:r w:rsidRPr="00E4193C">
              <w:rPr>
                <w:rFonts w:ascii="Verdana" w:hAnsi="Verdana"/>
                <w:color w:val="333333"/>
                <w:sz w:val="20"/>
                <w:szCs w:val="20"/>
              </w:rPr>
              <w:t>Identify and apply the basic laws of physics and chemistry including mechanical, electrical</w:t>
            </w:r>
            <w:r>
              <w:rPr>
                <w:rFonts w:ascii="Verdana" w:hAnsi="Verdana"/>
                <w:color w:val="333333"/>
                <w:sz w:val="20"/>
                <w:szCs w:val="20"/>
              </w:rPr>
              <w:t>,</w:t>
            </w:r>
            <w:r w:rsidRPr="00E4193C">
              <w:rPr>
                <w:rFonts w:ascii="Verdana" w:hAnsi="Verdana"/>
                <w:color w:val="333333"/>
                <w:sz w:val="20"/>
                <w:szCs w:val="20"/>
              </w:rPr>
              <w:t xml:space="preserve"> heat, light, sound, and inorganic chemistry to enhance comprehension of engineering topics.</w:t>
            </w:r>
          </w:p>
        </w:tc>
        <w:tc>
          <w:tcPr>
            <w:tcW w:w="1742" w:type="dxa"/>
            <w:shd w:val="clear" w:color="auto" w:fill="auto"/>
            <w:vAlign w:val="center"/>
          </w:tcPr>
          <w:p w:rsidR="006160AE" w:rsidRDefault="006160AE" w:rsidP="00DC13FF">
            <w:pPr>
              <w:rPr>
                <w:rFonts w:ascii="Verdana" w:hAnsi="Verdana"/>
                <w:sz w:val="20"/>
                <w:szCs w:val="20"/>
              </w:rPr>
            </w:pPr>
            <w:r>
              <w:rPr>
                <w:rFonts w:ascii="Verdana" w:hAnsi="Verdana"/>
                <w:sz w:val="20"/>
                <w:szCs w:val="20"/>
              </w:rPr>
              <w:t>CHE 1211</w:t>
            </w:r>
          </w:p>
          <w:p w:rsidR="006160AE" w:rsidRDefault="006160AE" w:rsidP="00DC13FF">
            <w:pPr>
              <w:rPr>
                <w:rFonts w:ascii="Verdana" w:hAnsi="Verdana"/>
                <w:sz w:val="20"/>
                <w:szCs w:val="20"/>
              </w:rPr>
            </w:pPr>
            <w:r>
              <w:rPr>
                <w:rFonts w:ascii="Verdana" w:hAnsi="Verdana"/>
                <w:sz w:val="20"/>
                <w:szCs w:val="20"/>
              </w:rPr>
              <w:t>PHY 2201</w:t>
            </w:r>
          </w:p>
          <w:p w:rsidR="006160AE" w:rsidRPr="00AA0D8B" w:rsidRDefault="006160AE" w:rsidP="00DC13FF">
            <w:pPr>
              <w:rPr>
                <w:rFonts w:ascii="Verdana" w:hAnsi="Verdana"/>
                <w:sz w:val="20"/>
                <w:szCs w:val="20"/>
              </w:rPr>
            </w:pPr>
            <w:r>
              <w:rPr>
                <w:rFonts w:ascii="Verdana" w:hAnsi="Verdana"/>
                <w:sz w:val="20"/>
                <w:szCs w:val="20"/>
              </w:rPr>
              <w:t>PHY 2202</w:t>
            </w:r>
          </w:p>
        </w:tc>
        <w:tc>
          <w:tcPr>
            <w:tcW w:w="1430" w:type="dxa"/>
            <w:shd w:val="clear" w:color="auto" w:fill="auto"/>
          </w:tcPr>
          <w:p w:rsidR="006160AE" w:rsidRPr="00C52B6E" w:rsidRDefault="006160AE" w:rsidP="00DC13FF">
            <w:pPr>
              <w:jc w:val="center"/>
              <w:rPr>
                <w:rFonts w:ascii="Calibri" w:hAnsi="Calibri" w:cs="Arial"/>
                <w:color w:val="000000"/>
              </w:rPr>
            </w:pPr>
            <w:r w:rsidRPr="00C52B6E">
              <w:rPr>
                <w:rFonts w:ascii="Calibri" w:hAnsi="Calibri" w:cs="Arial"/>
                <w:color w:val="000000"/>
              </w:rPr>
              <w:t>2014-15</w:t>
            </w:r>
          </w:p>
        </w:tc>
        <w:tc>
          <w:tcPr>
            <w:tcW w:w="2250" w:type="dxa"/>
            <w:shd w:val="clear" w:color="auto" w:fill="auto"/>
          </w:tcPr>
          <w:p w:rsidR="006160AE" w:rsidRPr="00C52B6E" w:rsidRDefault="00C46E99" w:rsidP="00DC13FF">
            <w:pPr>
              <w:ind w:left="72"/>
              <w:rPr>
                <w:rFonts w:ascii="Calibri" w:hAnsi="Calibri" w:cs="Arial"/>
                <w:color w:val="000000"/>
              </w:rPr>
            </w:pPr>
            <w:r>
              <w:rPr>
                <w:rFonts w:ascii="Arial" w:hAnsi="Arial" w:cs="Arial"/>
                <w:b/>
                <w:color w:val="000000"/>
              </w:rPr>
              <w:t>Exams</w:t>
            </w:r>
          </w:p>
        </w:tc>
        <w:tc>
          <w:tcPr>
            <w:tcW w:w="3758" w:type="dxa"/>
            <w:shd w:val="clear" w:color="auto" w:fill="auto"/>
          </w:tcPr>
          <w:p w:rsidR="006160AE" w:rsidRPr="00C52B6E" w:rsidRDefault="00C46E99" w:rsidP="00DC13FF">
            <w:pPr>
              <w:ind w:left="72"/>
              <w:rPr>
                <w:rFonts w:ascii="Calibri" w:hAnsi="Calibri" w:cs="Arial"/>
                <w:color w:val="000000"/>
              </w:rPr>
            </w:pPr>
            <w:r>
              <w:rPr>
                <w:rFonts w:ascii="Arial" w:hAnsi="Arial" w:cs="Arial"/>
                <w:b/>
                <w:color w:val="000000"/>
              </w:rPr>
              <w:t xml:space="preserve">70% of students met the standard of 80% success in </w:t>
            </w:r>
            <w:r w:rsidR="000B3E21">
              <w:rPr>
                <w:rFonts w:ascii="Arial" w:hAnsi="Arial" w:cs="Arial"/>
                <w:b/>
                <w:color w:val="000000"/>
              </w:rPr>
              <w:t>Physics-provided questions.</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0B3E21" w:rsidP="00B02892">
            <w:pPr>
              <w:pStyle w:val="ListParagraph"/>
              <w:tabs>
                <w:tab w:val="left" w:pos="5040"/>
              </w:tabs>
              <w:ind w:left="0"/>
              <w:rPr>
                <w:color w:val="000000" w:themeColor="text1"/>
              </w:rPr>
            </w:pPr>
            <w:r>
              <w:rPr>
                <w:color w:val="000000" w:themeColor="text1"/>
              </w:rPr>
              <w:t>Additional emphasis will be placed on the specific areas of shortfall in the Calculus II classes.</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0B3E21">
            <w:pPr>
              <w:pStyle w:val="ListParagraph"/>
              <w:tabs>
                <w:tab w:val="left" w:pos="5040"/>
              </w:tabs>
              <w:ind w:left="0"/>
              <w:rPr>
                <w:color w:val="000000" w:themeColor="text1"/>
              </w:rPr>
            </w:pPr>
            <w:r>
              <w:rPr>
                <w:color w:val="000000" w:themeColor="text1"/>
              </w:rPr>
              <w:t>Will repeat the same assessment next year.</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76A" w:rsidRDefault="00E1076A" w:rsidP="0094204C">
      <w:r>
        <w:separator/>
      </w:r>
    </w:p>
  </w:endnote>
  <w:endnote w:type="continuationSeparator" w:id="0">
    <w:p w:rsidR="00E1076A" w:rsidRDefault="00E1076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0D3FD1">
          <w:rPr>
            <w:noProof/>
          </w:rPr>
          <w:t>6</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76A" w:rsidRDefault="00E1076A" w:rsidP="0094204C">
      <w:r>
        <w:separator/>
      </w:r>
    </w:p>
  </w:footnote>
  <w:footnote w:type="continuationSeparator" w:id="0">
    <w:p w:rsidR="00E1076A" w:rsidRDefault="00E1076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1DC2"/>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B3E21"/>
    <w:rsid w:val="000C66EB"/>
    <w:rsid w:val="000D1111"/>
    <w:rsid w:val="000D3A39"/>
    <w:rsid w:val="000D3FD1"/>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542"/>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1634D"/>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60AE"/>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473EA"/>
    <w:rsid w:val="00952FA6"/>
    <w:rsid w:val="00963DD8"/>
    <w:rsid w:val="00967CBE"/>
    <w:rsid w:val="00971EB2"/>
    <w:rsid w:val="00981D62"/>
    <w:rsid w:val="00990D45"/>
    <w:rsid w:val="00993B62"/>
    <w:rsid w:val="00994433"/>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5DB1"/>
    <w:rsid w:val="00A36603"/>
    <w:rsid w:val="00A36DEE"/>
    <w:rsid w:val="00A51345"/>
    <w:rsid w:val="00A54831"/>
    <w:rsid w:val="00A6078F"/>
    <w:rsid w:val="00A62968"/>
    <w:rsid w:val="00A63ACE"/>
    <w:rsid w:val="00A8476F"/>
    <w:rsid w:val="00A93BDE"/>
    <w:rsid w:val="00AB4D1C"/>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46E99"/>
    <w:rsid w:val="00C50A91"/>
    <w:rsid w:val="00C52D74"/>
    <w:rsid w:val="00C5365F"/>
    <w:rsid w:val="00C56C48"/>
    <w:rsid w:val="00C616FD"/>
    <w:rsid w:val="00C638EE"/>
    <w:rsid w:val="00C63B58"/>
    <w:rsid w:val="00C67AC8"/>
    <w:rsid w:val="00C7001F"/>
    <w:rsid w:val="00C71F16"/>
    <w:rsid w:val="00C721BE"/>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44E"/>
    <w:rsid w:val="00DC0672"/>
    <w:rsid w:val="00DC4DB9"/>
    <w:rsid w:val="00DC5CEE"/>
    <w:rsid w:val="00DC76F8"/>
    <w:rsid w:val="00DD42DB"/>
    <w:rsid w:val="00DF222A"/>
    <w:rsid w:val="00DF52E7"/>
    <w:rsid w:val="00DF5973"/>
    <w:rsid w:val="00DF738A"/>
    <w:rsid w:val="00DF7501"/>
    <w:rsid w:val="00E1076A"/>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D22BB"/>
    <w:rsid w:val="00AD6C60"/>
    <w:rsid w:val="00C956B8"/>
    <w:rsid w:val="00C97D45"/>
    <w:rsid w:val="00E30C24"/>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A0A1-6820-436C-AC4F-D97BDC2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Kapka, Larraine</cp:lastModifiedBy>
  <cp:revision>3</cp:revision>
  <cp:lastPrinted>2016-05-02T20:08:00Z</cp:lastPrinted>
  <dcterms:created xsi:type="dcterms:W3CDTF">2016-05-02T20:27:00Z</dcterms:created>
  <dcterms:modified xsi:type="dcterms:W3CDTF">2016-05-02T20:27:00Z</dcterms:modified>
</cp:coreProperties>
</file>