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w:t>
      </w:r>
      <w:r w:rsidR="00BE58DB">
        <w:rPr>
          <w:rFonts w:ascii="Arial" w:hAnsi="Arial" w:cs="Arial"/>
          <w:b/>
          <w:color w:val="000000" w:themeColor="text1"/>
        </w:rPr>
        <w:t>3</w:t>
      </w:r>
      <w:r w:rsidR="001D736E">
        <w:rPr>
          <w:rFonts w:ascii="Arial" w:hAnsi="Arial" w:cs="Arial"/>
          <w:b/>
          <w:color w:val="000000" w:themeColor="text1"/>
        </w:rPr>
        <w:t>-1</w:t>
      </w:r>
      <w:r w:rsidR="00BE58DB">
        <w:rPr>
          <w:rFonts w:ascii="Arial" w:hAnsi="Arial" w:cs="Arial"/>
          <w:b/>
          <w:color w:val="000000" w:themeColor="text1"/>
        </w:rPr>
        <w:t>4</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w:t>
      </w:r>
      <w:r w:rsidR="00BE58DB">
        <w:rPr>
          <w:rFonts w:ascii="Arial" w:hAnsi="Arial" w:cs="Arial"/>
          <w:b/>
          <w:color w:val="000000" w:themeColor="text1"/>
        </w:rPr>
        <w:t>3</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F0775C">
        <w:rPr>
          <w:rFonts w:ascii="Arial" w:hAnsi="Arial" w:cs="Arial"/>
          <w:color w:val="000000" w:themeColor="text1"/>
          <w:u w:val="single"/>
        </w:rPr>
        <w:t>0573 – Engineering – University Parallel</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w:t>
      </w:r>
      <w:r w:rsidR="00C50A91">
        <w:rPr>
          <w:rFonts w:ascii="Arial" w:hAnsi="Arial" w:cs="Arial"/>
          <w:color w:val="000000" w:themeColor="text1"/>
        </w:rPr>
        <w:t>8</w:t>
      </w:r>
      <w:r>
        <w:rPr>
          <w:rFonts w:ascii="Arial" w:hAnsi="Arial" w:cs="Arial"/>
          <w:color w:val="000000" w:themeColor="text1"/>
        </w:rPr>
        <w:t>-</w:t>
      </w:r>
      <w:r w:rsidR="00BE58DB">
        <w:rPr>
          <w:rFonts w:ascii="Arial" w:hAnsi="Arial" w:cs="Arial"/>
          <w:color w:val="000000" w:themeColor="text1"/>
        </w:rPr>
        <w:t>20</w:t>
      </w:r>
      <w:r w:rsidR="00637591">
        <w:rPr>
          <w:rFonts w:ascii="Arial" w:hAnsi="Arial" w:cs="Arial"/>
          <w:color w:val="000000" w:themeColor="text1"/>
        </w:rPr>
        <w:t>0</w:t>
      </w:r>
      <w:r w:rsidR="00C50A91">
        <w:rPr>
          <w:rFonts w:ascii="Arial" w:hAnsi="Arial" w:cs="Arial"/>
          <w:color w:val="000000" w:themeColor="text1"/>
        </w:rPr>
        <w:t>9</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C50A91">
        <w:rPr>
          <w:rFonts w:ascii="Arial" w:hAnsi="Arial" w:cs="Arial"/>
          <w:color w:val="000000" w:themeColor="text1"/>
        </w:rPr>
        <w:t>5</w:t>
      </w:r>
      <w:r>
        <w:rPr>
          <w:rFonts w:ascii="Arial" w:hAnsi="Arial" w:cs="Arial"/>
          <w:color w:val="000000" w:themeColor="text1"/>
        </w:rPr>
        <w:t>-201</w:t>
      </w:r>
      <w:r w:rsidR="00C50A91">
        <w:rPr>
          <w:rFonts w:ascii="Arial" w:hAnsi="Arial" w:cs="Arial"/>
          <w:color w:val="000000" w:themeColor="text1"/>
        </w:rPr>
        <w:t>6</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BE58DB" w:rsidP="00585766">
      <w:pPr>
        <w:rPr>
          <w:rFonts w:ascii="Arial" w:hAnsi="Arial" w:cs="Arial"/>
          <w:noProof/>
          <w:color w:val="000000" w:themeColor="text1"/>
        </w:rPr>
      </w:pPr>
      <w:r>
        <w:rPr>
          <w:noProof/>
        </w:rPr>
        <w:drawing>
          <wp:inline distT="0" distB="0" distL="0" distR="0" wp14:anchorId="2F21FEA8" wp14:editId="36E57208">
            <wp:extent cx="5181600" cy="2743200"/>
            <wp:effectExtent l="19050" t="1905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lastRenderedPageBreak/>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4C52FC" w:rsidRDefault="004C52FC">
      <w:pPr>
        <w:spacing w:after="200" w:line="276" w:lineRule="auto"/>
        <w:rPr>
          <w:rFonts w:ascii="Arial" w:hAnsi="Arial" w:cs="Arial"/>
          <w:b/>
          <w:color w:val="000000" w:themeColor="text1"/>
        </w:rPr>
      </w:pPr>
    </w:p>
    <w:p w:rsidR="00C370E2" w:rsidRDefault="00C370E2">
      <w:pPr>
        <w:spacing w:after="200" w:line="276" w:lineRule="auto"/>
        <w:rPr>
          <w:rFonts w:ascii="Arial" w:hAnsi="Arial" w:cs="Arial"/>
          <w:b/>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085944">
        <w:rPr>
          <w:rFonts w:ascii="Arial" w:hAnsi="Arial" w:cs="Arial"/>
          <w:b/>
          <w:noProof/>
          <w:color w:val="000000" w:themeColor="text1"/>
        </w:rPr>
        <w:t>There was a concerted effort in 2012-2013 to clean up the records and find students who should have graduated but did not.  These adjustments account for some of the additional graduates, the rest are due to increased awareness of the program and the requirement to complete the degree to receive the transfer scholarships at Wright State and UD.</w:t>
      </w:r>
      <w:r>
        <w:rPr>
          <w:rFonts w:ascii="Arial" w:hAnsi="Arial" w:cs="Arial"/>
          <w:b/>
          <w:color w:val="000000" w:themeColor="text1"/>
        </w:rPr>
        <w:fldChar w:fldCharType="end"/>
      </w:r>
    </w:p>
    <w:p w:rsidR="00C370E2" w:rsidRDefault="00C370E2">
      <w:pPr>
        <w:spacing w:after="200" w:line="276" w:lineRule="auto"/>
        <w:rPr>
          <w:rFonts w:ascii="Arial" w:hAnsi="Arial" w:cs="Arial"/>
          <w:b/>
          <w:color w:val="000000" w:themeColor="text1"/>
        </w:rPr>
      </w:pP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637591" w:rsidP="00585766">
      <w:pPr>
        <w:rPr>
          <w:rFonts w:ascii="Arial" w:hAnsi="Arial" w:cs="Arial"/>
          <w:color w:val="000000" w:themeColor="text1"/>
        </w:rPr>
      </w:pPr>
    </w:p>
    <w:p w:rsidR="00C50A91" w:rsidRPr="00F0775C" w:rsidRDefault="00F0775C" w:rsidP="00585766">
      <w:pPr>
        <w:rPr>
          <w:rFonts w:ascii="Arial" w:hAnsi="Arial" w:cs="Arial"/>
          <w:b/>
          <w:color w:val="000000" w:themeColor="text1"/>
        </w:rPr>
      </w:pPr>
      <w:r w:rsidRPr="00F0775C">
        <w:rPr>
          <w:rFonts w:ascii="Arial" w:hAnsi="Arial" w:cs="Arial"/>
          <w:b/>
          <w:color w:val="000000" w:themeColor="text1"/>
        </w:rPr>
        <w:t>NOT APPLICABLE</w:t>
      </w: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01394F" w:rsidRDefault="0001394F">
      <w:pPr>
        <w:spacing w:after="200" w:line="276" w:lineRule="auto"/>
        <w:rPr>
          <w:rFonts w:ascii="Arial" w:hAnsi="Arial" w:cs="Arial"/>
          <w:b/>
          <w:color w:val="000000" w:themeColor="text1"/>
          <w:u w:val="single"/>
        </w:rPr>
      </w:pPr>
      <w:r>
        <w:rPr>
          <w:rFonts w:ascii="Arial" w:hAnsi="Arial" w:cs="Arial"/>
          <w:b/>
          <w:color w:val="000000" w:themeColor="text1"/>
          <w:u w:val="single"/>
        </w:rPr>
        <w:br w:type="page"/>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ook w:val="04A0" w:firstRow="1" w:lastRow="0" w:firstColumn="1" w:lastColumn="0" w:noHBand="0" w:noVBand="1"/>
      </w:tblPr>
      <w:tblGrid>
        <w:gridCol w:w="3951"/>
        <w:gridCol w:w="2647"/>
        <w:gridCol w:w="6632"/>
      </w:tblGrid>
      <w:tr w:rsidR="004C52FC" w:rsidTr="00225B53">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A201E2" w:rsidTr="00225B53">
        <w:trPr>
          <w:trHeight w:val="1399"/>
        </w:trPr>
        <w:tc>
          <w:tcPr>
            <w:tcW w:w="3951" w:type="dxa"/>
          </w:tcPr>
          <w:p w:rsidR="00F0775C" w:rsidRDefault="00F0775C" w:rsidP="00F0775C">
            <w:pPr>
              <w:tabs>
                <w:tab w:val="left" w:pos="1080"/>
              </w:tabs>
              <w:rPr>
                <w:rFonts w:ascii="Arial" w:hAnsi="Arial" w:cs="Arial"/>
              </w:rPr>
            </w:pPr>
            <w:r>
              <w:rPr>
                <w:rFonts w:ascii="Arial" w:hAnsi="Arial" w:cs="Arial"/>
              </w:rPr>
              <w:t>Explore adding global awareness to the courses/program.</w:t>
            </w:r>
          </w:p>
          <w:p w:rsidR="00A201E2" w:rsidRPr="0037786D" w:rsidRDefault="00A201E2" w:rsidP="00225B53">
            <w:pPr>
              <w:spacing w:line="276" w:lineRule="auto"/>
              <w:rPr>
                <w:rFonts w:ascii="Arial" w:hAnsi="Arial" w:cs="Arial"/>
                <w:color w:val="000000" w:themeColor="text1"/>
              </w:rPr>
            </w:pPr>
          </w:p>
        </w:tc>
        <w:tc>
          <w:tcPr>
            <w:tcW w:w="2647" w:type="dxa"/>
          </w:tcPr>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E40CAD">
              <w:fldChar w:fldCharType="begin">
                <w:ffData>
                  <w:name w:val="Check1"/>
                  <w:enabled/>
                  <w:calcOnExit w:val="0"/>
                  <w:checkBox>
                    <w:sizeAuto/>
                    <w:default w:val="0"/>
                  </w:checkBox>
                </w:ffData>
              </w:fldChar>
            </w:r>
            <w:r>
              <w:instrText xml:space="preserve"> FORMCHECKBOX </w:instrText>
            </w:r>
            <w:r w:rsidR="00E40CAD">
              <w:fldChar w:fldCharType="end"/>
            </w:r>
          </w:p>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40CAD">
              <w:fldChar w:fldCharType="begin">
                <w:ffData>
                  <w:name w:val="Check1"/>
                  <w:enabled/>
                  <w:calcOnExit w:val="0"/>
                  <w:checkBox>
                    <w:sizeAuto/>
                    <w:default w:val="0"/>
                  </w:checkBox>
                </w:ffData>
              </w:fldChar>
            </w:r>
            <w:r>
              <w:instrText xml:space="preserve"> FORMCHECKBOX </w:instrText>
            </w:r>
            <w:r w:rsidR="00E40CAD">
              <w:fldChar w:fldCharType="end"/>
            </w:r>
          </w:p>
          <w:p w:rsidR="00A201E2" w:rsidRDefault="00A201E2" w:rsidP="00637591">
            <w:pPr>
              <w:pStyle w:val="ListParagraph"/>
              <w:ind w:left="0"/>
              <w:rPr>
                <w:rFonts w:ascii="Arial" w:hAnsi="Arial" w:cs="Arial"/>
                <w:color w:val="000000" w:themeColor="text1"/>
              </w:rPr>
            </w:pPr>
          </w:p>
          <w:p w:rsidR="00A201E2" w:rsidRPr="0037786D" w:rsidRDefault="00A201E2" w:rsidP="00502D3E">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02D3E">
              <w:fldChar w:fldCharType="begin">
                <w:ffData>
                  <w:name w:val=""/>
                  <w:enabled/>
                  <w:calcOnExit w:val="0"/>
                  <w:checkBox>
                    <w:sizeAuto/>
                    <w:default w:val="1"/>
                  </w:checkBox>
                </w:ffData>
              </w:fldChar>
            </w:r>
            <w:r w:rsidR="00502D3E">
              <w:instrText xml:space="preserve"> FORMCHECKBOX </w:instrText>
            </w:r>
            <w:r w:rsidR="00502D3E">
              <w:fldChar w:fldCharType="end"/>
            </w:r>
          </w:p>
        </w:tc>
        <w:tc>
          <w:tcPr>
            <w:tcW w:w="6632" w:type="dxa"/>
          </w:tcPr>
          <w:p w:rsidR="00A201E2" w:rsidRPr="0037786D" w:rsidRDefault="00502D3E" w:rsidP="00502D3E">
            <w:pPr>
              <w:pStyle w:val="ListParagraph"/>
              <w:ind w:left="0"/>
              <w:rPr>
                <w:rFonts w:ascii="Arial" w:hAnsi="Arial" w:cs="Arial"/>
                <w:color w:val="000000" w:themeColor="text1"/>
              </w:rPr>
            </w:pPr>
            <w:r>
              <w:rPr>
                <w:rFonts w:ascii="Arial" w:hAnsi="Arial" w:cs="Arial"/>
                <w:color w:val="000000" w:themeColor="text1"/>
              </w:rPr>
              <w:t xml:space="preserve">Affects transfer.  Students are allowed to take any OTM courses and then follow specific guidelines from their receiving institution.  </w:t>
            </w:r>
          </w:p>
        </w:tc>
      </w:tr>
      <w:tr w:rsidR="00A201E2" w:rsidTr="00225B53">
        <w:trPr>
          <w:trHeight w:val="1399"/>
        </w:trPr>
        <w:tc>
          <w:tcPr>
            <w:tcW w:w="3951" w:type="dxa"/>
          </w:tcPr>
          <w:p w:rsidR="00F0775C" w:rsidRDefault="00F0775C" w:rsidP="00F0775C">
            <w:pPr>
              <w:tabs>
                <w:tab w:val="left" w:pos="1080"/>
              </w:tabs>
              <w:rPr>
                <w:rFonts w:ascii="Arial" w:hAnsi="Arial" w:cs="Arial"/>
              </w:rPr>
            </w:pPr>
            <w:r>
              <w:rPr>
                <w:rFonts w:ascii="Arial" w:hAnsi="Arial" w:cs="Arial"/>
              </w:rPr>
              <w:t>Online courses.</w:t>
            </w:r>
          </w:p>
          <w:p w:rsidR="00A201E2" w:rsidRPr="0037786D" w:rsidRDefault="00A201E2" w:rsidP="00F0775C">
            <w:pPr>
              <w:tabs>
                <w:tab w:val="left" w:pos="1170"/>
              </w:tabs>
              <w:spacing w:line="276" w:lineRule="auto"/>
              <w:rPr>
                <w:rFonts w:ascii="Arial" w:hAnsi="Arial" w:cs="Arial"/>
                <w:color w:val="000000" w:themeColor="text1"/>
              </w:rPr>
            </w:pPr>
          </w:p>
        </w:tc>
        <w:tc>
          <w:tcPr>
            <w:tcW w:w="2647" w:type="dxa"/>
          </w:tcPr>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E40CAD">
              <w:fldChar w:fldCharType="begin">
                <w:ffData>
                  <w:name w:val="Check1"/>
                  <w:enabled/>
                  <w:calcOnExit w:val="0"/>
                  <w:checkBox>
                    <w:sizeAuto/>
                    <w:default w:val="0"/>
                  </w:checkBox>
                </w:ffData>
              </w:fldChar>
            </w:r>
            <w:r>
              <w:instrText xml:space="preserve"> FORMCHECKBOX </w:instrText>
            </w:r>
            <w:r w:rsidR="00E40CAD">
              <w:fldChar w:fldCharType="end"/>
            </w:r>
          </w:p>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02D3E">
              <w:fldChar w:fldCharType="begin">
                <w:ffData>
                  <w:name w:val=""/>
                  <w:enabled/>
                  <w:calcOnExit w:val="0"/>
                  <w:checkBox>
                    <w:sizeAuto/>
                    <w:default w:val="1"/>
                  </w:checkBox>
                </w:ffData>
              </w:fldChar>
            </w:r>
            <w:r w:rsidR="00502D3E">
              <w:instrText xml:space="preserve"> FORMCHECKBOX </w:instrText>
            </w:r>
            <w:r w:rsidR="00502D3E">
              <w:fldChar w:fldCharType="end"/>
            </w:r>
          </w:p>
          <w:p w:rsidR="00A201E2" w:rsidRDefault="00A201E2" w:rsidP="00637591">
            <w:pPr>
              <w:pStyle w:val="ListParagraph"/>
              <w:ind w:left="0"/>
              <w:rPr>
                <w:rFonts w:ascii="Arial" w:hAnsi="Arial" w:cs="Arial"/>
                <w:color w:val="000000" w:themeColor="text1"/>
              </w:rPr>
            </w:pPr>
          </w:p>
          <w:p w:rsidR="00A201E2" w:rsidRPr="0037786D"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40CAD">
              <w:fldChar w:fldCharType="begin">
                <w:ffData>
                  <w:name w:val="Check1"/>
                  <w:enabled/>
                  <w:calcOnExit w:val="0"/>
                  <w:checkBox>
                    <w:sizeAuto/>
                    <w:default w:val="0"/>
                  </w:checkBox>
                </w:ffData>
              </w:fldChar>
            </w:r>
            <w:r>
              <w:instrText xml:space="preserve"> FORMCHECKBOX </w:instrText>
            </w:r>
            <w:r w:rsidR="00E40CAD">
              <w:fldChar w:fldCharType="end"/>
            </w:r>
          </w:p>
        </w:tc>
        <w:tc>
          <w:tcPr>
            <w:tcW w:w="6632" w:type="dxa"/>
          </w:tcPr>
          <w:p w:rsidR="00A201E2" w:rsidRPr="0037786D" w:rsidRDefault="00502D3E" w:rsidP="00637591">
            <w:pPr>
              <w:pStyle w:val="ListParagraph"/>
              <w:ind w:left="0"/>
              <w:rPr>
                <w:rFonts w:ascii="Arial" w:hAnsi="Arial" w:cs="Arial"/>
                <w:color w:val="000000" w:themeColor="text1"/>
              </w:rPr>
            </w:pPr>
            <w:r>
              <w:rPr>
                <w:rFonts w:ascii="Arial" w:hAnsi="Arial" w:cs="Arial"/>
                <w:color w:val="000000" w:themeColor="text1"/>
              </w:rPr>
              <w:t>Some general education courses are available on-line.  No plans to make the core engineering courses on-line.</w:t>
            </w:r>
          </w:p>
        </w:tc>
      </w:tr>
      <w:tr w:rsidR="00A201E2" w:rsidTr="00225B53">
        <w:trPr>
          <w:trHeight w:val="1101"/>
        </w:trPr>
        <w:tc>
          <w:tcPr>
            <w:tcW w:w="3951" w:type="dxa"/>
          </w:tcPr>
          <w:p w:rsidR="00F0775C" w:rsidRPr="00941D9C" w:rsidRDefault="00F0775C" w:rsidP="00F0775C">
            <w:pPr>
              <w:tabs>
                <w:tab w:val="left" w:pos="1080"/>
              </w:tabs>
              <w:rPr>
                <w:rFonts w:ascii="Arial" w:hAnsi="Arial" w:cs="Arial"/>
              </w:rPr>
            </w:pPr>
            <w:r>
              <w:rPr>
                <w:rFonts w:ascii="Arial" w:hAnsi="Arial" w:cs="Arial"/>
              </w:rPr>
              <w:t>New calculus based Thermodynamics course as suggested by most universities.</w:t>
            </w:r>
          </w:p>
          <w:p w:rsidR="00A201E2" w:rsidRPr="0037786D" w:rsidRDefault="00A201E2" w:rsidP="00225B53">
            <w:pPr>
              <w:spacing w:line="276" w:lineRule="auto"/>
              <w:rPr>
                <w:rFonts w:ascii="Arial" w:hAnsi="Arial" w:cs="Arial"/>
                <w:color w:val="000000" w:themeColor="text1"/>
              </w:rPr>
            </w:pPr>
          </w:p>
        </w:tc>
        <w:tc>
          <w:tcPr>
            <w:tcW w:w="2647" w:type="dxa"/>
          </w:tcPr>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In progress </w:t>
            </w:r>
            <w:bookmarkStart w:id="0" w:name="Check1"/>
            <w:r w:rsidR="00BE58DB">
              <w:fldChar w:fldCharType="begin">
                <w:ffData>
                  <w:name w:val="Check1"/>
                  <w:enabled/>
                  <w:calcOnExit w:val="0"/>
                  <w:checkBox>
                    <w:sizeAuto/>
                    <w:default w:val="0"/>
                  </w:checkBox>
                </w:ffData>
              </w:fldChar>
            </w:r>
            <w:r w:rsidR="00BE58DB">
              <w:instrText xml:space="preserve"> FORMCHECKBOX </w:instrText>
            </w:r>
            <w:r w:rsidR="00BE58DB">
              <w:fldChar w:fldCharType="end"/>
            </w:r>
            <w:bookmarkEnd w:id="0"/>
          </w:p>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40CAD">
              <w:fldChar w:fldCharType="begin">
                <w:ffData>
                  <w:name w:val="Check1"/>
                  <w:enabled/>
                  <w:calcOnExit w:val="0"/>
                  <w:checkBox>
                    <w:sizeAuto/>
                    <w:default w:val="0"/>
                    <w:checked/>
                  </w:checkBox>
                </w:ffData>
              </w:fldChar>
            </w:r>
            <w:r>
              <w:instrText xml:space="preserve"> FORMCHECKBOX </w:instrText>
            </w:r>
            <w:r w:rsidR="00E40CAD">
              <w:fldChar w:fldCharType="end"/>
            </w:r>
          </w:p>
          <w:p w:rsidR="00A201E2" w:rsidRDefault="00A201E2" w:rsidP="00637591">
            <w:pPr>
              <w:pStyle w:val="ListParagraph"/>
              <w:ind w:left="0"/>
              <w:rPr>
                <w:rFonts w:ascii="Arial" w:hAnsi="Arial" w:cs="Arial"/>
                <w:color w:val="000000" w:themeColor="text1"/>
              </w:rPr>
            </w:pPr>
          </w:p>
          <w:p w:rsidR="00A201E2" w:rsidRPr="0037786D"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40CAD">
              <w:fldChar w:fldCharType="begin">
                <w:ffData>
                  <w:name w:val="Check1"/>
                  <w:enabled/>
                  <w:calcOnExit w:val="0"/>
                  <w:checkBox>
                    <w:sizeAuto/>
                    <w:default w:val="0"/>
                  </w:checkBox>
                </w:ffData>
              </w:fldChar>
            </w:r>
            <w:r>
              <w:instrText xml:space="preserve"> FORMCHECKBOX </w:instrText>
            </w:r>
            <w:r w:rsidR="00E40CAD">
              <w:fldChar w:fldCharType="end"/>
            </w:r>
          </w:p>
        </w:tc>
        <w:tc>
          <w:tcPr>
            <w:tcW w:w="6632" w:type="dxa"/>
          </w:tcPr>
          <w:p w:rsidR="00A201E2" w:rsidRPr="0037786D" w:rsidRDefault="00C370E2" w:rsidP="00085944">
            <w:pPr>
              <w:pStyle w:val="ListParagraph"/>
              <w:ind w:left="0"/>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085944">
              <w:rPr>
                <w:rFonts w:ascii="Arial" w:hAnsi="Arial" w:cs="Arial"/>
                <w:b/>
                <w:noProof/>
                <w:color w:val="000000" w:themeColor="text1"/>
              </w:rPr>
              <w:t>MEE 2201 was successfully offered Fall 2012 and Spring 2013.  Course will remain in the schedule each fall and spring.</w:t>
            </w:r>
            <w:r>
              <w:rPr>
                <w:rFonts w:ascii="Arial" w:hAnsi="Arial" w:cs="Arial"/>
                <w:b/>
                <w:color w:val="000000" w:themeColor="text1"/>
              </w:rPr>
              <w:fldChar w:fldCharType="end"/>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ook w:val="04A0" w:firstRow="1" w:lastRow="0" w:firstColumn="1" w:lastColumn="0" w:noHBand="0" w:noVBand="1"/>
      </w:tblPr>
      <w:tblGrid>
        <w:gridCol w:w="3708"/>
        <w:gridCol w:w="2700"/>
        <w:gridCol w:w="6480"/>
      </w:tblGrid>
      <w:tr w:rsidR="004C52FC" w:rsidRPr="0037786D" w:rsidTr="00D07030">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4C52FC" w:rsidRPr="0037786D" w:rsidTr="00D07030">
        <w:tc>
          <w:tcPr>
            <w:tcW w:w="3708" w:type="dxa"/>
          </w:tcPr>
          <w:p w:rsidR="00F0775C" w:rsidRPr="00F0775C" w:rsidRDefault="00F0775C" w:rsidP="00F0775C">
            <w:pPr>
              <w:spacing w:after="200" w:line="276" w:lineRule="auto"/>
              <w:rPr>
                <w:rFonts w:ascii="Arial" w:hAnsi="Arial" w:cs="Arial"/>
              </w:rPr>
            </w:pPr>
            <w:r w:rsidRPr="00F0775C">
              <w:rPr>
                <w:rFonts w:ascii="Arial" w:hAnsi="Arial" w:cs="Arial"/>
                <w:color w:val="000000"/>
              </w:rPr>
              <w:t xml:space="preserve">The program coordinator has done much to revitalize this degree program, but his efforts need to be formalized so that when responsibility for this program transfers to someone else at some future time the momentum that has developed in this program is not lost.  Due to the nature of the program, it is recommended that, like the current coordinator, any future coordinators have an engineering background.  The current coordinator has done a stellar job of overseeing this program, and that should not be lost at some point in the future when he hands his responsibilities over to someone else.  A formalized and well-documented transition process will need to be developed in anticipation of this.  The advisory committee may have some insights on how to </w:t>
            </w:r>
            <w:r w:rsidRPr="00F0775C">
              <w:rPr>
                <w:rFonts w:ascii="Arial" w:hAnsi="Arial" w:cs="Arial"/>
                <w:color w:val="000000"/>
              </w:rPr>
              <w:lastRenderedPageBreak/>
              <w:t>accomplish this.</w:t>
            </w:r>
          </w:p>
          <w:p w:rsidR="004C52FC" w:rsidRPr="00654C15" w:rsidRDefault="004C52FC" w:rsidP="003E791C">
            <w:pPr>
              <w:pStyle w:val="ListParagraph"/>
              <w:ind w:left="0"/>
              <w:rPr>
                <w:rFonts w:ascii="Arial" w:hAnsi="Arial" w:cs="Arial"/>
                <w:color w:val="000000" w:themeColor="text1"/>
              </w:rPr>
            </w:pPr>
          </w:p>
        </w:tc>
        <w:tc>
          <w:tcPr>
            <w:tcW w:w="2700" w:type="dxa"/>
          </w:tcPr>
          <w:p w:rsidR="00A201E2" w:rsidRDefault="00A201E2" w:rsidP="00637591">
            <w:pPr>
              <w:pStyle w:val="ListParagraph"/>
              <w:ind w:left="0"/>
              <w:rPr>
                <w:rFonts w:ascii="Arial" w:hAnsi="Arial" w:cs="Arial"/>
                <w:color w:val="000000" w:themeColor="text1"/>
              </w:rPr>
            </w:pPr>
          </w:p>
          <w:p w:rsidR="004C52FC" w:rsidRDefault="004C52FC" w:rsidP="00637591">
            <w:pPr>
              <w:pStyle w:val="ListParagraph"/>
              <w:ind w:left="0"/>
              <w:rPr>
                <w:rFonts w:ascii="Arial" w:hAnsi="Arial" w:cs="Arial"/>
                <w:color w:val="000000" w:themeColor="text1"/>
              </w:rPr>
            </w:pPr>
            <w:r>
              <w:rPr>
                <w:rFonts w:ascii="Arial" w:hAnsi="Arial" w:cs="Arial"/>
                <w:color w:val="000000" w:themeColor="text1"/>
              </w:rPr>
              <w:t>In progress</w:t>
            </w:r>
            <w:r w:rsidR="00A201E2">
              <w:rPr>
                <w:rFonts w:ascii="Arial" w:hAnsi="Arial" w:cs="Arial"/>
                <w:color w:val="000000" w:themeColor="text1"/>
              </w:rPr>
              <w:t xml:space="preserve"> </w:t>
            </w:r>
            <w:r w:rsidR="00E40CAD">
              <w:fldChar w:fldCharType="begin">
                <w:ffData>
                  <w:name w:val="Check1"/>
                  <w:enabled/>
                  <w:calcOnExit w:val="0"/>
                  <w:checkBox>
                    <w:sizeAuto/>
                    <w:default w:val="0"/>
                  </w:checkBox>
                </w:ffData>
              </w:fldChar>
            </w:r>
            <w:r w:rsidR="00A201E2">
              <w:instrText xml:space="preserve"> FORMCHECKBOX </w:instrText>
            </w:r>
            <w:r w:rsidR="00E40CAD">
              <w:fldChar w:fldCharType="end"/>
            </w:r>
          </w:p>
          <w:p w:rsidR="004C52FC" w:rsidRDefault="004C52FC" w:rsidP="00637591">
            <w:pPr>
              <w:pStyle w:val="ListParagraph"/>
              <w:ind w:left="0"/>
              <w:rPr>
                <w:rFonts w:ascii="Arial" w:hAnsi="Arial" w:cs="Arial"/>
                <w:color w:val="000000" w:themeColor="text1"/>
              </w:rPr>
            </w:pPr>
          </w:p>
          <w:p w:rsidR="004C52FC" w:rsidRDefault="004C52FC"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55212">
              <w:fldChar w:fldCharType="begin">
                <w:ffData>
                  <w:name w:val=""/>
                  <w:enabled/>
                  <w:calcOnExit w:val="0"/>
                  <w:checkBox>
                    <w:sizeAuto/>
                    <w:default w:val="1"/>
                  </w:checkBox>
                </w:ffData>
              </w:fldChar>
            </w:r>
            <w:r w:rsidR="00F55212">
              <w:instrText xml:space="preserve"> FORMCHECKBOX </w:instrText>
            </w:r>
            <w:r w:rsidR="00F55212">
              <w:fldChar w:fldCharType="end"/>
            </w:r>
          </w:p>
          <w:p w:rsidR="004C52FC" w:rsidRDefault="004C52FC" w:rsidP="00637591">
            <w:pPr>
              <w:pStyle w:val="ListParagraph"/>
              <w:ind w:left="0"/>
              <w:rPr>
                <w:rFonts w:ascii="Arial" w:hAnsi="Arial" w:cs="Arial"/>
                <w:color w:val="000000" w:themeColor="text1"/>
              </w:rPr>
            </w:pPr>
          </w:p>
          <w:p w:rsidR="004C52FC" w:rsidRPr="0037786D" w:rsidRDefault="004C52FC"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40CAD">
              <w:fldChar w:fldCharType="begin">
                <w:ffData>
                  <w:name w:val="Check1"/>
                  <w:enabled/>
                  <w:calcOnExit w:val="0"/>
                  <w:checkBox>
                    <w:sizeAuto/>
                    <w:default w:val="0"/>
                  </w:checkBox>
                </w:ffData>
              </w:fldChar>
            </w:r>
            <w:r w:rsidR="00A201E2">
              <w:instrText xml:space="preserve"> FORMCHECKBOX </w:instrText>
            </w:r>
            <w:r w:rsidR="00E40CAD">
              <w:fldChar w:fldCharType="end"/>
            </w:r>
          </w:p>
        </w:tc>
        <w:tc>
          <w:tcPr>
            <w:tcW w:w="6480" w:type="dxa"/>
          </w:tcPr>
          <w:p w:rsidR="004C52FC" w:rsidRPr="0037786D" w:rsidRDefault="00F55212" w:rsidP="003E791C">
            <w:pPr>
              <w:pStyle w:val="ListParagraph"/>
              <w:ind w:left="0"/>
              <w:rPr>
                <w:rFonts w:ascii="Arial" w:hAnsi="Arial" w:cs="Arial"/>
                <w:color w:val="000000" w:themeColor="text1"/>
              </w:rPr>
            </w:pPr>
            <w:r>
              <w:rPr>
                <w:rFonts w:ascii="Arial" w:hAnsi="Arial" w:cs="Arial"/>
                <w:color w:val="000000" w:themeColor="text1"/>
              </w:rPr>
              <w:t>Program has transitioned to new coordinator.  Several new initiatives are under way to better serve students in the program (see later).</w:t>
            </w:r>
          </w:p>
        </w:tc>
      </w:tr>
      <w:tr w:rsidR="00A201E2" w:rsidRPr="0037786D" w:rsidTr="00D07030">
        <w:tc>
          <w:tcPr>
            <w:tcW w:w="3708" w:type="dxa"/>
          </w:tcPr>
          <w:p w:rsidR="00F0775C" w:rsidRPr="00F0775C" w:rsidRDefault="00F0775C" w:rsidP="00F0775C">
            <w:pPr>
              <w:spacing w:after="200" w:line="276" w:lineRule="auto"/>
              <w:rPr>
                <w:rFonts w:ascii="Arial" w:hAnsi="Arial" w:cs="Arial"/>
              </w:rPr>
            </w:pPr>
            <w:r w:rsidRPr="00F0775C">
              <w:rPr>
                <w:rFonts w:ascii="Arial" w:hAnsi="Arial" w:cs="Arial"/>
              </w:rPr>
              <w:lastRenderedPageBreak/>
              <w:t>The coordinator has developed a marketing plan, and it is recommended that the marketing plan be pursued as a way of attracting students to the program.</w:t>
            </w:r>
          </w:p>
          <w:p w:rsidR="00A201E2" w:rsidRPr="00654C15" w:rsidRDefault="00A201E2" w:rsidP="003E791C">
            <w:pPr>
              <w:pStyle w:val="ListParagraph"/>
              <w:ind w:left="0"/>
              <w:rPr>
                <w:rFonts w:ascii="Arial" w:hAnsi="Arial" w:cs="Arial"/>
                <w:color w:val="000000" w:themeColor="text1"/>
              </w:rPr>
            </w:pPr>
          </w:p>
        </w:tc>
        <w:tc>
          <w:tcPr>
            <w:tcW w:w="2700" w:type="dxa"/>
          </w:tcPr>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BE58DB">
              <w:fldChar w:fldCharType="begin">
                <w:ffData>
                  <w:name w:val=""/>
                  <w:enabled/>
                  <w:calcOnExit w:val="0"/>
                  <w:checkBox>
                    <w:sizeAuto/>
                    <w:default w:val="0"/>
                    <w:checked/>
                  </w:checkBox>
                </w:ffData>
              </w:fldChar>
            </w:r>
            <w:r w:rsidR="00BE58DB">
              <w:instrText xml:space="preserve"> FORMCHECKBOX </w:instrText>
            </w:r>
            <w:r w:rsidR="00BE58DB">
              <w:fldChar w:fldCharType="end"/>
            </w:r>
          </w:p>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40CAD">
              <w:fldChar w:fldCharType="begin">
                <w:ffData>
                  <w:name w:val="Check1"/>
                  <w:enabled/>
                  <w:calcOnExit w:val="0"/>
                  <w:checkBox>
                    <w:sizeAuto/>
                    <w:default w:val="0"/>
                  </w:checkBox>
                </w:ffData>
              </w:fldChar>
            </w:r>
            <w:r>
              <w:instrText xml:space="preserve"> FORMCHECKBOX </w:instrText>
            </w:r>
            <w:r w:rsidR="00E40CAD">
              <w:fldChar w:fldCharType="end"/>
            </w:r>
          </w:p>
          <w:p w:rsidR="00A201E2" w:rsidRDefault="00A201E2" w:rsidP="00637591">
            <w:pPr>
              <w:pStyle w:val="ListParagraph"/>
              <w:ind w:left="0"/>
              <w:rPr>
                <w:rFonts w:ascii="Arial" w:hAnsi="Arial" w:cs="Arial"/>
                <w:color w:val="000000" w:themeColor="text1"/>
              </w:rPr>
            </w:pPr>
          </w:p>
          <w:p w:rsidR="00A201E2" w:rsidRPr="0037786D"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40CAD">
              <w:fldChar w:fldCharType="begin">
                <w:ffData>
                  <w:name w:val="Check1"/>
                  <w:enabled/>
                  <w:calcOnExit w:val="0"/>
                  <w:checkBox>
                    <w:sizeAuto/>
                    <w:default w:val="0"/>
                  </w:checkBox>
                </w:ffData>
              </w:fldChar>
            </w:r>
            <w:r>
              <w:instrText xml:space="preserve"> FORMCHECKBOX </w:instrText>
            </w:r>
            <w:r w:rsidR="00E40CAD">
              <w:fldChar w:fldCharType="end"/>
            </w:r>
          </w:p>
        </w:tc>
        <w:tc>
          <w:tcPr>
            <w:tcW w:w="6480" w:type="dxa"/>
          </w:tcPr>
          <w:p w:rsidR="00A201E2" w:rsidRPr="0037786D" w:rsidRDefault="00C370E2" w:rsidP="009F2F27">
            <w:pPr>
              <w:pStyle w:val="ListParagraph"/>
              <w:ind w:left="0"/>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085944">
              <w:rPr>
                <w:rFonts w:ascii="Arial" w:hAnsi="Arial" w:cs="Arial"/>
                <w:b/>
                <w:color w:val="000000" w:themeColor="text1"/>
              </w:rPr>
              <w:t>During 2012-13 held two outreach nights for HS students and their parents.  Participated in college fairs at Mason and West Carrollton.  Displayed at tech prep night.  Will display at Sinclair W</w:t>
            </w:r>
            <w:r w:rsidR="009F2F27">
              <w:rPr>
                <w:rFonts w:ascii="Arial" w:hAnsi="Arial" w:cs="Arial"/>
                <w:b/>
                <w:color w:val="000000" w:themeColor="text1"/>
              </w:rPr>
              <w:t>e</w:t>
            </w:r>
            <w:r w:rsidR="00085944">
              <w:rPr>
                <w:rFonts w:ascii="Arial" w:hAnsi="Arial" w:cs="Arial"/>
                <w:b/>
                <w:color w:val="000000" w:themeColor="text1"/>
              </w:rPr>
              <w:t>lcome Week in the fall and scheduled for two Sinclair Talks on Engineering in 2013-2014.</w:t>
            </w:r>
            <w:r>
              <w:rPr>
                <w:rFonts w:ascii="Arial" w:hAnsi="Arial" w:cs="Arial"/>
                <w:b/>
                <w:color w:val="000000" w:themeColor="text1"/>
              </w:rPr>
              <w:fldChar w:fldCharType="end"/>
            </w:r>
          </w:p>
        </w:tc>
      </w:tr>
      <w:tr w:rsidR="00A201E2" w:rsidRPr="0037786D" w:rsidTr="00D07030">
        <w:tc>
          <w:tcPr>
            <w:tcW w:w="3708" w:type="dxa"/>
          </w:tcPr>
          <w:p w:rsidR="00F0775C" w:rsidRPr="00F0775C" w:rsidRDefault="00F0775C" w:rsidP="00F0775C">
            <w:pPr>
              <w:spacing w:after="200" w:line="276" w:lineRule="auto"/>
              <w:rPr>
                <w:rFonts w:ascii="Arial" w:hAnsi="Arial" w:cs="Arial"/>
              </w:rPr>
            </w:pPr>
            <w:r w:rsidRPr="00F0775C">
              <w:rPr>
                <w:rFonts w:ascii="Arial" w:hAnsi="Arial" w:cs="Arial"/>
              </w:rPr>
              <w:t>Strong relationships already exist with area universities, particularly with the University of Dayton.  It is recommended that the coordinator continue to maintain these relationships.</w:t>
            </w:r>
          </w:p>
          <w:p w:rsidR="00A201E2" w:rsidRPr="00654C15" w:rsidRDefault="00A201E2" w:rsidP="003E791C">
            <w:pPr>
              <w:pStyle w:val="ListParagraph"/>
              <w:ind w:left="0"/>
              <w:rPr>
                <w:rFonts w:ascii="Arial" w:hAnsi="Arial" w:cs="Arial"/>
                <w:color w:val="000000" w:themeColor="text1"/>
              </w:rPr>
            </w:pPr>
          </w:p>
        </w:tc>
        <w:tc>
          <w:tcPr>
            <w:tcW w:w="2700" w:type="dxa"/>
          </w:tcPr>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BE58DB">
              <w:fldChar w:fldCharType="begin">
                <w:ffData>
                  <w:name w:val=""/>
                  <w:enabled/>
                  <w:calcOnExit w:val="0"/>
                  <w:checkBox>
                    <w:sizeAuto/>
                    <w:default w:val="0"/>
                    <w:checked/>
                  </w:checkBox>
                </w:ffData>
              </w:fldChar>
            </w:r>
            <w:r w:rsidR="00BE58DB">
              <w:instrText xml:space="preserve"> FORMCHECKBOX </w:instrText>
            </w:r>
            <w:r w:rsidR="00BE58DB">
              <w:fldChar w:fldCharType="end"/>
            </w:r>
          </w:p>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40CAD">
              <w:fldChar w:fldCharType="begin">
                <w:ffData>
                  <w:name w:val="Check1"/>
                  <w:enabled/>
                  <w:calcOnExit w:val="0"/>
                  <w:checkBox>
                    <w:sizeAuto/>
                    <w:default w:val="0"/>
                  </w:checkBox>
                </w:ffData>
              </w:fldChar>
            </w:r>
            <w:r>
              <w:instrText xml:space="preserve"> FORMCHECKBOX </w:instrText>
            </w:r>
            <w:r w:rsidR="00E40CAD">
              <w:fldChar w:fldCharType="end"/>
            </w:r>
          </w:p>
          <w:p w:rsidR="00A201E2" w:rsidRDefault="00A201E2" w:rsidP="00637591">
            <w:pPr>
              <w:pStyle w:val="ListParagraph"/>
              <w:ind w:left="0"/>
              <w:rPr>
                <w:rFonts w:ascii="Arial" w:hAnsi="Arial" w:cs="Arial"/>
                <w:color w:val="000000" w:themeColor="text1"/>
              </w:rPr>
            </w:pPr>
          </w:p>
          <w:p w:rsidR="00A201E2" w:rsidRPr="0037786D"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40CAD">
              <w:fldChar w:fldCharType="begin">
                <w:ffData>
                  <w:name w:val="Check1"/>
                  <w:enabled/>
                  <w:calcOnExit w:val="0"/>
                  <w:checkBox>
                    <w:sizeAuto/>
                    <w:default w:val="0"/>
                  </w:checkBox>
                </w:ffData>
              </w:fldChar>
            </w:r>
            <w:r>
              <w:instrText xml:space="preserve"> FORMCHECKBOX </w:instrText>
            </w:r>
            <w:r w:rsidR="00E40CAD">
              <w:fldChar w:fldCharType="end"/>
            </w:r>
          </w:p>
        </w:tc>
        <w:tc>
          <w:tcPr>
            <w:tcW w:w="6480" w:type="dxa"/>
          </w:tcPr>
          <w:p w:rsidR="00A201E2" w:rsidRPr="0037786D" w:rsidRDefault="00C370E2" w:rsidP="009F2F27">
            <w:pPr>
              <w:pStyle w:val="ListParagraph"/>
              <w:ind w:left="0"/>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085944">
              <w:rPr>
                <w:rFonts w:ascii="Arial" w:hAnsi="Arial" w:cs="Arial"/>
                <w:b/>
                <w:noProof/>
                <w:color w:val="000000" w:themeColor="text1"/>
              </w:rPr>
              <w:t>Relationships are strong with both WSU and UD.  Developing relationships with Central S</w:t>
            </w:r>
            <w:r w:rsidR="009F2F27">
              <w:rPr>
                <w:rFonts w:ascii="Arial" w:hAnsi="Arial" w:cs="Arial"/>
                <w:b/>
                <w:noProof/>
                <w:color w:val="000000" w:themeColor="text1"/>
              </w:rPr>
              <w:t>t</w:t>
            </w:r>
            <w:r w:rsidR="00085944">
              <w:rPr>
                <w:rFonts w:ascii="Arial" w:hAnsi="Arial" w:cs="Arial"/>
                <w:b/>
                <w:noProof/>
                <w:color w:val="000000" w:themeColor="text1"/>
              </w:rPr>
              <w:t>ate and Wilberforce.  Opening a new dialog with UC</w:t>
            </w:r>
            <w:r w:rsidR="009F2F27">
              <w:rPr>
                <w:rFonts w:ascii="Arial" w:hAnsi="Arial" w:cs="Arial"/>
                <w:b/>
                <w:noProof/>
                <w:color w:val="000000" w:themeColor="text1"/>
              </w:rPr>
              <w:t xml:space="preserve"> and Miami</w:t>
            </w:r>
            <w:r w:rsidR="00085944">
              <w:rPr>
                <w:rFonts w:ascii="Arial" w:hAnsi="Arial" w:cs="Arial"/>
                <w:b/>
                <w:noProof/>
                <w:color w:val="000000" w:themeColor="text1"/>
              </w:rPr>
              <w:t>.</w:t>
            </w:r>
            <w:r>
              <w:rPr>
                <w:rFonts w:ascii="Arial" w:hAnsi="Arial" w:cs="Arial"/>
                <w:b/>
                <w:color w:val="000000" w:themeColor="text1"/>
              </w:rPr>
              <w:fldChar w:fldCharType="end"/>
            </w:r>
          </w:p>
        </w:tc>
      </w:tr>
      <w:tr w:rsidR="00A201E2" w:rsidRPr="0037786D" w:rsidTr="00D07030">
        <w:tc>
          <w:tcPr>
            <w:tcW w:w="3708" w:type="dxa"/>
          </w:tcPr>
          <w:p w:rsidR="00A201E2" w:rsidRPr="00654C15" w:rsidRDefault="00F0775C" w:rsidP="00FB2E03">
            <w:pPr>
              <w:spacing w:after="200" w:line="276" w:lineRule="auto"/>
              <w:rPr>
                <w:rFonts w:ascii="Arial" w:hAnsi="Arial" w:cs="Arial"/>
                <w:color w:val="000000" w:themeColor="text1"/>
              </w:rPr>
            </w:pPr>
            <w:r w:rsidRPr="00F0775C">
              <w:rPr>
                <w:rFonts w:ascii="Arial" w:hAnsi="Arial" w:cs="Arial"/>
              </w:rPr>
              <w:t xml:space="preserve">Much of the knowledge regarding this program is held by the coordinator and by a Senior Academic Advisor.  It is recommended that cross-training occur and documentation of policies and procedures be made, such that when other individuals transition into these positions there is continuity of policies and </w:t>
            </w:r>
            <w:r w:rsidRPr="00F0775C">
              <w:rPr>
                <w:rFonts w:ascii="Arial" w:hAnsi="Arial" w:cs="Arial"/>
              </w:rPr>
              <w:lastRenderedPageBreak/>
              <w:t>procedures.   There is a pressing need for clear documentation that will allow a variety of academic advisors to assist interested students.</w:t>
            </w:r>
          </w:p>
        </w:tc>
        <w:tc>
          <w:tcPr>
            <w:tcW w:w="2700" w:type="dxa"/>
          </w:tcPr>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BE58DB">
              <w:fldChar w:fldCharType="begin">
                <w:ffData>
                  <w:name w:val=""/>
                  <w:enabled/>
                  <w:calcOnExit w:val="0"/>
                  <w:checkBox>
                    <w:sizeAuto/>
                    <w:default w:val="0"/>
                    <w:checked/>
                  </w:checkBox>
                </w:ffData>
              </w:fldChar>
            </w:r>
            <w:r w:rsidR="00BE58DB">
              <w:instrText xml:space="preserve"> FORMCHECKBOX </w:instrText>
            </w:r>
            <w:r w:rsidR="00BE58DB">
              <w:fldChar w:fldCharType="end"/>
            </w:r>
          </w:p>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40CAD">
              <w:fldChar w:fldCharType="begin">
                <w:ffData>
                  <w:name w:val="Check1"/>
                  <w:enabled/>
                  <w:calcOnExit w:val="0"/>
                  <w:checkBox>
                    <w:sizeAuto/>
                    <w:default w:val="0"/>
                  </w:checkBox>
                </w:ffData>
              </w:fldChar>
            </w:r>
            <w:r>
              <w:instrText xml:space="preserve"> FORMCHECKBOX </w:instrText>
            </w:r>
            <w:r w:rsidR="00E40CAD">
              <w:fldChar w:fldCharType="end"/>
            </w:r>
          </w:p>
          <w:p w:rsidR="00A201E2" w:rsidRDefault="00A201E2" w:rsidP="00637591">
            <w:pPr>
              <w:pStyle w:val="ListParagraph"/>
              <w:ind w:left="0"/>
              <w:rPr>
                <w:rFonts w:ascii="Arial" w:hAnsi="Arial" w:cs="Arial"/>
                <w:color w:val="000000" w:themeColor="text1"/>
              </w:rPr>
            </w:pPr>
          </w:p>
          <w:p w:rsidR="00A201E2" w:rsidRPr="0037786D"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40CAD">
              <w:fldChar w:fldCharType="begin">
                <w:ffData>
                  <w:name w:val="Check1"/>
                  <w:enabled/>
                  <w:calcOnExit w:val="0"/>
                  <w:checkBox>
                    <w:sizeAuto/>
                    <w:default w:val="0"/>
                  </w:checkBox>
                </w:ffData>
              </w:fldChar>
            </w:r>
            <w:r>
              <w:instrText xml:space="preserve"> FORMCHECKBOX </w:instrText>
            </w:r>
            <w:r w:rsidR="00E40CAD">
              <w:fldChar w:fldCharType="end"/>
            </w:r>
          </w:p>
        </w:tc>
        <w:tc>
          <w:tcPr>
            <w:tcW w:w="6480" w:type="dxa"/>
          </w:tcPr>
          <w:p w:rsidR="00F55212" w:rsidRPr="0037786D" w:rsidRDefault="00C370E2" w:rsidP="009F2F27">
            <w:pPr>
              <w:pStyle w:val="ListParagraph"/>
              <w:ind w:left="0"/>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085944">
              <w:rPr>
                <w:rFonts w:ascii="Arial" w:hAnsi="Arial" w:cs="Arial"/>
                <w:b/>
                <w:noProof/>
                <w:color w:val="000000" w:themeColor="text1"/>
              </w:rPr>
              <w:t>Work continues on training addvisors.  Two training sessions held.  New pathway documents will also be of help to advisors.</w:t>
            </w:r>
            <w:r>
              <w:rPr>
                <w:rFonts w:ascii="Arial" w:hAnsi="Arial" w:cs="Arial"/>
                <w:b/>
                <w:color w:val="000000" w:themeColor="text1"/>
              </w:rPr>
              <w:fldChar w:fldCharType="end"/>
            </w:r>
          </w:p>
        </w:tc>
      </w:tr>
      <w:tr w:rsidR="00D07030" w:rsidRPr="0037786D" w:rsidTr="00D07030">
        <w:tc>
          <w:tcPr>
            <w:tcW w:w="3708" w:type="dxa"/>
          </w:tcPr>
          <w:p w:rsidR="00F0775C" w:rsidRPr="00F0775C" w:rsidRDefault="00F0775C" w:rsidP="00F0775C">
            <w:pPr>
              <w:spacing w:after="200" w:line="276" w:lineRule="auto"/>
              <w:rPr>
                <w:rFonts w:ascii="Arial" w:hAnsi="Arial" w:cs="Arial"/>
              </w:rPr>
            </w:pPr>
            <w:r w:rsidRPr="00F0775C">
              <w:rPr>
                <w:rFonts w:ascii="Arial" w:hAnsi="Arial" w:cs="Arial"/>
              </w:rPr>
              <w:lastRenderedPageBreak/>
              <w:t>The formation of the advisory committee was an important step for this program.  It is recommended that the coordinator work closely with the committee, such that the committee feels engaged in program maintenance and improvement.  The self-study mentions that a “definite plan will be developed in the advisory committee meeting in Spring 2010” to increase student retention, and it is recommended that this be pursued in that meeting.</w:t>
            </w:r>
          </w:p>
          <w:p w:rsidR="00D07030" w:rsidRPr="00654C15" w:rsidRDefault="00D07030" w:rsidP="00D07030">
            <w:pPr>
              <w:pStyle w:val="ListParagraph"/>
              <w:ind w:left="0"/>
              <w:rPr>
                <w:rFonts w:ascii="Arial" w:hAnsi="Arial" w:cs="Arial"/>
                <w:color w:val="000000" w:themeColor="text1"/>
              </w:rPr>
            </w:pPr>
          </w:p>
        </w:tc>
        <w:tc>
          <w:tcPr>
            <w:tcW w:w="2700" w:type="dxa"/>
          </w:tcPr>
          <w:p w:rsidR="00D07030" w:rsidRDefault="00D07030" w:rsidP="00D07030">
            <w:pPr>
              <w:pStyle w:val="ListParagraph"/>
              <w:ind w:left="0"/>
              <w:rPr>
                <w:rFonts w:ascii="Arial" w:hAnsi="Arial" w:cs="Arial"/>
                <w:color w:val="000000" w:themeColor="text1"/>
              </w:rPr>
            </w:pPr>
          </w:p>
          <w:p w:rsidR="00D07030" w:rsidRDefault="00D07030"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F55212">
              <w:fldChar w:fldCharType="begin">
                <w:ffData>
                  <w:name w:val=""/>
                  <w:enabled/>
                  <w:calcOnExit w:val="0"/>
                  <w:checkBox>
                    <w:sizeAuto/>
                    <w:default w:val="0"/>
                  </w:checkBox>
                </w:ffData>
              </w:fldChar>
            </w:r>
            <w:r w:rsidR="00F55212">
              <w:instrText xml:space="preserve"> FORMCHECKBOX </w:instrText>
            </w:r>
            <w:r w:rsidR="00F55212">
              <w:fldChar w:fldCharType="end"/>
            </w:r>
          </w:p>
          <w:p w:rsidR="00D07030" w:rsidRDefault="00D07030" w:rsidP="00D07030">
            <w:pPr>
              <w:pStyle w:val="ListParagraph"/>
              <w:ind w:left="0"/>
              <w:rPr>
                <w:rFonts w:ascii="Arial" w:hAnsi="Arial" w:cs="Arial"/>
                <w:color w:val="000000" w:themeColor="text1"/>
              </w:rPr>
            </w:pPr>
          </w:p>
          <w:p w:rsidR="00D07030" w:rsidRDefault="00D07030"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F55212">
              <w:fldChar w:fldCharType="begin">
                <w:ffData>
                  <w:name w:val=""/>
                  <w:enabled/>
                  <w:calcOnExit w:val="0"/>
                  <w:checkBox>
                    <w:sizeAuto/>
                    <w:default w:val="1"/>
                  </w:checkBox>
                </w:ffData>
              </w:fldChar>
            </w:r>
            <w:r w:rsidR="00F55212">
              <w:instrText xml:space="preserve"> FORMCHECKBOX </w:instrText>
            </w:r>
            <w:r w:rsidR="00F55212">
              <w:fldChar w:fldCharType="end"/>
            </w:r>
          </w:p>
          <w:p w:rsidR="00D07030" w:rsidRDefault="00D07030" w:rsidP="00D07030">
            <w:pPr>
              <w:pStyle w:val="ListParagraph"/>
              <w:ind w:left="0"/>
              <w:rPr>
                <w:rFonts w:ascii="Arial" w:hAnsi="Arial" w:cs="Arial"/>
                <w:color w:val="000000" w:themeColor="text1"/>
              </w:rPr>
            </w:pPr>
          </w:p>
          <w:p w:rsidR="00D07030" w:rsidRPr="0037786D" w:rsidRDefault="00D07030"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40CAD">
              <w:fldChar w:fldCharType="begin">
                <w:ffData>
                  <w:name w:val="Check1"/>
                  <w:enabled/>
                  <w:calcOnExit w:val="0"/>
                  <w:checkBox>
                    <w:sizeAuto/>
                    <w:default w:val="0"/>
                  </w:checkBox>
                </w:ffData>
              </w:fldChar>
            </w:r>
            <w:r>
              <w:instrText xml:space="preserve"> FORMCHECKBOX </w:instrText>
            </w:r>
            <w:r w:rsidR="00E40CAD">
              <w:fldChar w:fldCharType="end"/>
            </w:r>
          </w:p>
        </w:tc>
        <w:tc>
          <w:tcPr>
            <w:tcW w:w="6480" w:type="dxa"/>
          </w:tcPr>
          <w:p w:rsidR="00D07030" w:rsidRPr="0037786D" w:rsidRDefault="00F55212" w:rsidP="00D07030">
            <w:pPr>
              <w:pStyle w:val="ListParagraph"/>
              <w:ind w:left="0"/>
              <w:rPr>
                <w:rFonts w:ascii="Arial" w:hAnsi="Arial" w:cs="Arial"/>
                <w:color w:val="000000" w:themeColor="text1"/>
              </w:rPr>
            </w:pPr>
            <w:r>
              <w:rPr>
                <w:rFonts w:ascii="Arial" w:hAnsi="Arial" w:cs="Arial"/>
                <w:color w:val="000000" w:themeColor="text1"/>
              </w:rPr>
              <w:t>Spring 2012 marketing initiatives were implemented.  Work with advisory is ongoing and additional actions will be taken in the future.</w:t>
            </w:r>
          </w:p>
        </w:tc>
      </w:tr>
      <w:tr w:rsidR="00D07030" w:rsidRPr="0037786D" w:rsidTr="00D07030">
        <w:tc>
          <w:tcPr>
            <w:tcW w:w="3708" w:type="dxa"/>
          </w:tcPr>
          <w:p w:rsidR="00D07030" w:rsidRPr="00654C15" w:rsidRDefault="00F0775C" w:rsidP="00FB2E03">
            <w:pPr>
              <w:spacing w:after="200" w:line="276" w:lineRule="auto"/>
              <w:rPr>
                <w:rFonts w:ascii="Arial" w:hAnsi="Arial" w:cs="Arial"/>
                <w:color w:val="000000" w:themeColor="text1"/>
              </w:rPr>
            </w:pPr>
            <w:r w:rsidRPr="00F0775C">
              <w:rPr>
                <w:rFonts w:ascii="Arial" w:hAnsi="Arial" w:cs="Arial"/>
              </w:rPr>
              <w:t>Work recently began on the web page for the program, and continued development of this is recommended.</w:t>
            </w:r>
          </w:p>
        </w:tc>
        <w:tc>
          <w:tcPr>
            <w:tcW w:w="2700" w:type="dxa"/>
          </w:tcPr>
          <w:p w:rsidR="00D07030" w:rsidRDefault="00D07030" w:rsidP="00D07030">
            <w:pPr>
              <w:pStyle w:val="ListParagraph"/>
              <w:ind w:left="0"/>
              <w:rPr>
                <w:rFonts w:ascii="Arial" w:hAnsi="Arial" w:cs="Arial"/>
                <w:color w:val="000000" w:themeColor="text1"/>
              </w:rPr>
            </w:pPr>
          </w:p>
          <w:p w:rsidR="00D07030" w:rsidRDefault="00D07030"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BE58DB">
              <w:fldChar w:fldCharType="begin">
                <w:ffData>
                  <w:name w:val=""/>
                  <w:enabled/>
                  <w:calcOnExit w:val="0"/>
                  <w:checkBox>
                    <w:sizeAuto/>
                    <w:default w:val="0"/>
                  </w:checkBox>
                </w:ffData>
              </w:fldChar>
            </w:r>
            <w:r w:rsidR="00BE58DB">
              <w:instrText xml:space="preserve"> FORMCHECKBOX </w:instrText>
            </w:r>
            <w:r w:rsidR="00BE58DB">
              <w:fldChar w:fldCharType="end"/>
            </w:r>
          </w:p>
          <w:p w:rsidR="00D07030" w:rsidRDefault="00D07030" w:rsidP="00D07030">
            <w:pPr>
              <w:pStyle w:val="ListParagraph"/>
              <w:ind w:left="0"/>
              <w:rPr>
                <w:rFonts w:ascii="Arial" w:hAnsi="Arial" w:cs="Arial"/>
                <w:color w:val="000000" w:themeColor="text1"/>
              </w:rPr>
            </w:pPr>
          </w:p>
          <w:p w:rsidR="00D07030" w:rsidRDefault="00D07030"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E40CAD">
              <w:fldChar w:fldCharType="begin">
                <w:ffData>
                  <w:name w:val="Check1"/>
                  <w:enabled/>
                  <w:calcOnExit w:val="0"/>
                  <w:checkBox>
                    <w:sizeAuto/>
                    <w:default w:val="0"/>
                    <w:checked/>
                  </w:checkBox>
                </w:ffData>
              </w:fldChar>
            </w:r>
            <w:r>
              <w:instrText xml:space="preserve"> FORMCHECKBOX </w:instrText>
            </w:r>
            <w:r w:rsidR="00E40CAD">
              <w:fldChar w:fldCharType="end"/>
            </w:r>
          </w:p>
          <w:p w:rsidR="00D07030" w:rsidRDefault="00D07030" w:rsidP="00D07030">
            <w:pPr>
              <w:pStyle w:val="ListParagraph"/>
              <w:ind w:left="0"/>
              <w:rPr>
                <w:rFonts w:ascii="Arial" w:hAnsi="Arial" w:cs="Arial"/>
                <w:color w:val="000000" w:themeColor="text1"/>
              </w:rPr>
            </w:pPr>
          </w:p>
          <w:p w:rsidR="00D07030" w:rsidRPr="0037786D" w:rsidRDefault="00D07030"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40CAD">
              <w:fldChar w:fldCharType="begin">
                <w:ffData>
                  <w:name w:val="Check1"/>
                  <w:enabled/>
                  <w:calcOnExit w:val="0"/>
                  <w:checkBox>
                    <w:sizeAuto/>
                    <w:default w:val="0"/>
                  </w:checkBox>
                </w:ffData>
              </w:fldChar>
            </w:r>
            <w:r>
              <w:instrText xml:space="preserve"> FORMCHECKBOX </w:instrText>
            </w:r>
            <w:r w:rsidR="00E40CAD">
              <w:fldChar w:fldCharType="end"/>
            </w:r>
          </w:p>
        </w:tc>
        <w:tc>
          <w:tcPr>
            <w:tcW w:w="6480" w:type="dxa"/>
          </w:tcPr>
          <w:p w:rsidR="00D07030" w:rsidRPr="00A51345" w:rsidRDefault="00C370E2" w:rsidP="00085944">
            <w:pPr>
              <w:pStyle w:val="ListParagraph"/>
              <w:ind w:left="0"/>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085944">
              <w:rPr>
                <w:rFonts w:ascii="Arial" w:hAnsi="Arial" w:cs="Arial"/>
                <w:b/>
                <w:noProof/>
                <w:color w:val="000000" w:themeColor="text1"/>
              </w:rPr>
              <w:t>Web page exists.</w:t>
            </w:r>
            <w:r>
              <w:rPr>
                <w:rFonts w:ascii="Arial" w:hAnsi="Arial" w:cs="Arial"/>
                <w:b/>
                <w:color w:val="000000" w:themeColor="text1"/>
              </w:rPr>
              <w:fldChar w:fldCharType="end"/>
            </w:r>
          </w:p>
        </w:tc>
      </w:tr>
      <w:tr w:rsidR="00F0775C" w:rsidRPr="0037786D" w:rsidTr="00D07030">
        <w:tc>
          <w:tcPr>
            <w:tcW w:w="3708" w:type="dxa"/>
          </w:tcPr>
          <w:p w:rsidR="00F0775C" w:rsidRPr="00F0775C" w:rsidRDefault="00F0775C" w:rsidP="00F0775C">
            <w:pPr>
              <w:spacing w:after="200" w:line="276" w:lineRule="auto"/>
              <w:rPr>
                <w:rFonts w:ascii="Arial" w:hAnsi="Arial" w:cs="Arial"/>
              </w:rPr>
            </w:pPr>
            <w:r w:rsidRPr="00F0775C">
              <w:rPr>
                <w:rFonts w:ascii="Arial" w:hAnsi="Arial" w:cs="Arial"/>
              </w:rPr>
              <w:lastRenderedPageBreak/>
              <w:t>Continue efforts to better communicate with students in the program.</w:t>
            </w:r>
          </w:p>
          <w:p w:rsidR="00F0775C" w:rsidRPr="00654C15" w:rsidRDefault="00F0775C" w:rsidP="00D07030">
            <w:pPr>
              <w:pStyle w:val="ListParagraph"/>
              <w:ind w:left="0"/>
              <w:rPr>
                <w:rFonts w:ascii="Arial" w:hAnsi="Arial" w:cs="Arial"/>
                <w:color w:val="000000" w:themeColor="text1"/>
              </w:rPr>
            </w:pPr>
          </w:p>
        </w:tc>
        <w:tc>
          <w:tcPr>
            <w:tcW w:w="2700" w:type="dxa"/>
          </w:tcPr>
          <w:p w:rsidR="00F0775C" w:rsidRDefault="00F0775C" w:rsidP="00F0775C">
            <w:pPr>
              <w:pStyle w:val="ListParagraph"/>
              <w:ind w:left="0"/>
              <w:rPr>
                <w:rFonts w:ascii="Arial" w:hAnsi="Arial" w:cs="Arial"/>
                <w:color w:val="000000" w:themeColor="text1"/>
              </w:rPr>
            </w:pPr>
          </w:p>
          <w:p w:rsidR="00F0775C" w:rsidRDefault="00F0775C" w:rsidP="00F0775C">
            <w:pPr>
              <w:pStyle w:val="ListParagraph"/>
              <w:ind w:left="0"/>
              <w:rPr>
                <w:rFonts w:ascii="Arial" w:hAnsi="Arial" w:cs="Arial"/>
                <w:color w:val="000000" w:themeColor="text1"/>
              </w:rPr>
            </w:pPr>
            <w:r>
              <w:rPr>
                <w:rFonts w:ascii="Arial" w:hAnsi="Arial" w:cs="Arial"/>
                <w:color w:val="000000" w:themeColor="text1"/>
              </w:rPr>
              <w:t xml:space="preserve">In progress </w:t>
            </w:r>
            <w:r w:rsidR="00BE58DB">
              <w:fldChar w:fldCharType="begin">
                <w:ffData>
                  <w:name w:val=""/>
                  <w:enabled/>
                  <w:calcOnExit w:val="0"/>
                  <w:checkBox>
                    <w:sizeAuto/>
                    <w:default w:val="0"/>
                    <w:checked/>
                  </w:checkBox>
                </w:ffData>
              </w:fldChar>
            </w:r>
            <w:r w:rsidR="00BE58DB">
              <w:instrText xml:space="preserve"> FORMCHECKBOX </w:instrText>
            </w:r>
            <w:r w:rsidR="00BE58DB">
              <w:fldChar w:fldCharType="end"/>
            </w:r>
          </w:p>
          <w:p w:rsidR="00F0775C" w:rsidRDefault="00F0775C" w:rsidP="00F0775C">
            <w:pPr>
              <w:pStyle w:val="ListParagraph"/>
              <w:ind w:left="0"/>
              <w:rPr>
                <w:rFonts w:ascii="Arial" w:hAnsi="Arial" w:cs="Arial"/>
                <w:color w:val="000000" w:themeColor="text1"/>
              </w:rPr>
            </w:pPr>
          </w:p>
          <w:p w:rsidR="00F0775C" w:rsidRDefault="00F0775C" w:rsidP="00F0775C">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fldChar w:fldCharType="end"/>
            </w:r>
          </w:p>
          <w:p w:rsidR="00F0775C" w:rsidRDefault="00F0775C" w:rsidP="00F0775C">
            <w:pPr>
              <w:pStyle w:val="ListParagraph"/>
              <w:ind w:left="0"/>
              <w:rPr>
                <w:rFonts w:ascii="Arial" w:hAnsi="Arial" w:cs="Arial"/>
                <w:color w:val="000000" w:themeColor="text1"/>
              </w:rPr>
            </w:pPr>
          </w:p>
          <w:p w:rsidR="00F0775C" w:rsidRDefault="00F0775C" w:rsidP="00F0775C">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fldChar w:fldCharType="end"/>
            </w:r>
          </w:p>
        </w:tc>
        <w:tc>
          <w:tcPr>
            <w:tcW w:w="6480" w:type="dxa"/>
          </w:tcPr>
          <w:p w:rsidR="00F55212" w:rsidRDefault="00C370E2" w:rsidP="00085944">
            <w:pPr>
              <w:pStyle w:val="ListParagraph"/>
              <w:ind w:left="0"/>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085944">
              <w:rPr>
                <w:rFonts w:ascii="Arial" w:hAnsi="Arial" w:cs="Arial"/>
                <w:b/>
                <w:noProof/>
                <w:color w:val="000000" w:themeColor="text1"/>
              </w:rPr>
              <w:t>Developed Angel community for better communication with students.  Electrical students now have a class assignment in a basic class (EET 1131) that requires them to contact the EUT corrdinator if they are engineering students.</w:t>
            </w:r>
            <w:r>
              <w:rPr>
                <w:rFonts w:ascii="Arial" w:hAnsi="Arial" w:cs="Arial"/>
                <w:b/>
                <w:color w:val="000000" w:themeColor="text1"/>
              </w:rPr>
              <w:fldChar w:fldCharType="end"/>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footerReference w:type="default" r:id="rId10"/>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Look w:val="01E0" w:firstRow="1" w:lastRow="1" w:firstColumn="1" w:lastColumn="1" w:noHBand="0" w:noVBand="0"/>
      </w:tblPr>
      <w:tblGrid>
        <w:gridCol w:w="16"/>
        <w:gridCol w:w="3512"/>
        <w:gridCol w:w="1922"/>
        <w:gridCol w:w="1430"/>
        <w:gridCol w:w="2250"/>
        <w:gridCol w:w="4028"/>
      </w:tblGrid>
      <w:tr w:rsidR="00B34F9E" w:rsidRPr="004C52FC" w:rsidTr="00BE58DB">
        <w:trPr>
          <w:gridBefore w:val="1"/>
          <w:wBefore w:w="16" w:type="dxa"/>
          <w:trHeight w:val="72"/>
        </w:trPr>
        <w:tc>
          <w:tcPr>
            <w:tcW w:w="351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92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34F9E" w:rsidRPr="004C52FC" w:rsidTr="00BE58DB">
        <w:trPr>
          <w:trHeight w:val="274"/>
        </w:trPr>
        <w:tc>
          <w:tcPr>
            <w:tcW w:w="352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auto"/>
          </w:tcPr>
          <w:p w:rsidR="00B34F9E" w:rsidRDefault="00C370E2" w:rsidP="001D736E">
            <w:pPr>
              <w:ind w:left="72"/>
              <w:rPr>
                <w:rFonts w:asciiTheme="minorHAnsi" w:hAnsiTheme="minorHAnsi"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591EB8">
              <w:rPr>
                <w:rFonts w:ascii="Arial" w:hAnsi="Arial" w:cs="Arial"/>
                <w:b/>
                <w:noProof/>
                <w:color w:val="000000" w:themeColor="text1"/>
              </w:rPr>
              <w:t>Tests</w:t>
            </w:r>
            <w:r>
              <w:rPr>
                <w:rFonts w:ascii="Arial" w:hAnsi="Arial" w:cs="Arial"/>
                <w:b/>
                <w:color w:val="000000" w:themeColor="text1"/>
              </w:rPr>
              <w:fldChar w:fldCharType="end"/>
            </w:r>
          </w:p>
          <w:p w:rsidR="00BE58DB" w:rsidRDefault="00BE58DB" w:rsidP="001D736E">
            <w:pPr>
              <w:ind w:left="72"/>
              <w:rPr>
                <w:rFonts w:asciiTheme="minorHAnsi" w:hAnsiTheme="minorHAnsi" w:cs="Arial"/>
                <w:color w:val="000000" w:themeColor="text1"/>
              </w:rPr>
            </w:pPr>
          </w:p>
          <w:p w:rsidR="00BE58DB" w:rsidRPr="004C52FC" w:rsidRDefault="00BE58DB" w:rsidP="001D736E">
            <w:pPr>
              <w:ind w:left="72"/>
              <w:rPr>
                <w:rFonts w:asciiTheme="minorHAnsi" w:hAnsiTheme="minorHAnsi" w:cs="Arial"/>
                <w:color w:val="000000" w:themeColor="text1"/>
              </w:rPr>
            </w:pPr>
          </w:p>
        </w:tc>
        <w:tc>
          <w:tcPr>
            <w:tcW w:w="4028" w:type="dxa"/>
            <w:shd w:val="clear" w:color="auto" w:fill="auto"/>
          </w:tcPr>
          <w:p w:rsidR="00B34F9E" w:rsidRPr="004C52FC" w:rsidRDefault="00C370E2" w:rsidP="00591EB8">
            <w:pPr>
              <w:ind w:left="72"/>
              <w:rPr>
                <w:rFonts w:asciiTheme="minorHAnsi" w:hAnsiTheme="minorHAnsi"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591EB8">
              <w:rPr>
                <w:rFonts w:ascii="Arial" w:hAnsi="Arial" w:cs="Arial"/>
                <w:b/>
                <w:noProof/>
                <w:color w:val="000000" w:themeColor="text1"/>
              </w:rPr>
              <w:t>Analysis of tests in Calc I and II and EGR 1101 show improved critical thinking and problem solving in all areas from pre-test to post-test.</w:t>
            </w:r>
            <w:r>
              <w:rPr>
                <w:rFonts w:ascii="Arial" w:hAnsi="Arial" w:cs="Arial"/>
                <w:b/>
                <w:color w:val="000000" w:themeColor="text1"/>
              </w:rPr>
              <w:fldChar w:fldCharType="end"/>
            </w:r>
          </w:p>
        </w:tc>
      </w:tr>
      <w:tr w:rsidR="00B34F9E" w:rsidRPr="004C52FC" w:rsidTr="00B62D15">
        <w:trPr>
          <w:trHeight w:val="274"/>
        </w:trPr>
        <w:tc>
          <w:tcPr>
            <w:tcW w:w="352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B62D15">
        <w:trPr>
          <w:trHeight w:val="274"/>
        </w:trPr>
        <w:tc>
          <w:tcPr>
            <w:tcW w:w="352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B62D15">
        <w:trPr>
          <w:trHeight w:val="274"/>
        </w:trPr>
        <w:tc>
          <w:tcPr>
            <w:tcW w:w="352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E58DB" w:rsidRPr="004C52FC" w:rsidTr="00B62D15">
        <w:trPr>
          <w:trHeight w:val="274"/>
        </w:trPr>
        <w:tc>
          <w:tcPr>
            <w:tcW w:w="3528" w:type="dxa"/>
            <w:gridSpan w:val="2"/>
            <w:tcBorders>
              <w:right w:val="single" w:sz="4" w:space="0" w:color="auto"/>
            </w:tcBorders>
            <w:shd w:val="clear" w:color="auto" w:fill="FFFFFF"/>
            <w:vAlign w:val="center"/>
          </w:tcPr>
          <w:p w:rsidR="00BE58DB" w:rsidRPr="004C52FC" w:rsidRDefault="00BE58DB"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Oral Communication</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E58DB" w:rsidRPr="004C52FC" w:rsidRDefault="00BE58DB" w:rsidP="00D276EA">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E58DB" w:rsidRPr="004C52FC" w:rsidRDefault="00BE58DB"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BE58DB" w:rsidRPr="004C52FC" w:rsidRDefault="00BE58DB" w:rsidP="001D736E">
            <w:pPr>
              <w:ind w:left="72"/>
              <w:rPr>
                <w:rFonts w:asciiTheme="minorHAnsi" w:hAnsiTheme="minorHAnsi" w:cs="Arial"/>
                <w:color w:val="000000" w:themeColor="text1"/>
              </w:rPr>
            </w:pPr>
          </w:p>
        </w:tc>
        <w:tc>
          <w:tcPr>
            <w:tcW w:w="4028" w:type="dxa"/>
            <w:shd w:val="clear" w:color="auto" w:fill="000000" w:themeFill="text1"/>
          </w:tcPr>
          <w:p w:rsidR="00BE58DB" w:rsidRPr="004C52FC" w:rsidRDefault="00BE58DB" w:rsidP="001D736E">
            <w:pPr>
              <w:ind w:left="72"/>
              <w:rPr>
                <w:rFonts w:asciiTheme="minorHAnsi" w:hAnsiTheme="minorHAnsi" w:cs="Arial"/>
                <w:color w:val="000000" w:themeColor="text1"/>
              </w:rPr>
            </w:pPr>
          </w:p>
        </w:tc>
      </w:tr>
      <w:tr w:rsidR="00BE58DB" w:rsidRPr="004C52FC" w:rsidTr="00B62D15">
        <w:trPr>
          <w:trHeight w:val="274"/>
        </w:trPr>
        <w:tc>
          <w:tcPr>
            <w:tcW w:w="3528" w:type="dxa"/>
            <w:gridSpan w:val="2"/>
            <w:tcBorders>
              <w:right w:val="single" w:sz="4" w:space="0" w:color="auto"/>
            </w:tcBorders>
            <w:shd w:val="clear" w:color="auto" w:fill="FFFFFF"/>
            <w:vAlign w:val="center"/>
          </w:tcPr>
          <w:p w:rsidR="00BE58DB" w:rsidRPr="004C52FC" w:rsidRDefault="00BE58DB"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Written Communication</w:t>
            </w:r>
          </w:p>
        </w:tc>
        <w:tc>
          <w:tcPr>
            <w:tcW w:w="1922" w:type="dxa"/>
            <w:tcBorders>
              <w:top w:val="single" w:sz="4" w:space="0" w:color="auto"/>
              <w:left w:val="single" w:sz="4" w:space="0" w:color="auto"/>
              <w:bottom w:val="single" w:sz="4" w:space="0" w:color="auto"/>
              <w:right w:val="single" w:sz="4" w:space="0" w:color="auto"/>
            </w:tcBorders>
            <w:shd w:val="clear" w:color="auto" w:fill="auto"/>
          </w:tcPr>
          <w:p w:rsidR="00BE58DB" w:rsidRPr="004C52FC" w:rsidRDefault="00BE58DB" w:rsidP="00D276EA">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E58DB" w:rsidRPr="004C52FC" w:rsidRDefault="00BE58DB"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BE58DB" w:rsidRPr="004C52FC" w:rsidRDefault="00BE58DB" w:rsidP="001D736E">
            <w:pPr>
              <w:ind w:left="72"/>
              <w:rPr>
                <w:rFonts w:asciiTheme="minorHAnsi" w:hAnsiTheme="minorHAnsi" w:cs="Arial"/>
                <w:color w:val="000000" w:themeColor="text1"/>
              </w:rPr>
            </w:pPr>
          </w:p>
        </w:tc>
        <w:tc>
          <w:tcPr>
            <w:tcW w:w="4028" w:type="dxa"/>
            <w:shd w:val="clear" w:color="auto" w:fill="000000" w:themeFill="text1"/>
          </w:tcPr>
          <w:p w:rsidR="00BE58DB" w:rsidRPr="004C52FC" w:rsidRDefault="00BE58DB" w:rsidP="001D736E">
            <w:pPr>
              <w:ind w:left="72"/>
              <w:rPr>
                <w:rFonts w:asciiTheme="minorHAnsi" w:hAnsiTheme="minorHAnsi" w:cs="Arial"/>
                <w:color w:val="000000" w:themeColor="text1"/>
              </w:rPr>
            </w:pPr>
          </w:p>
        </w:tc>
      </w:tr>
      <w:tr w:rsidR="00BE58DB" w:rsidRPr="004C52FC" w:rsidTr="00B62D15">
        <w:trPr>
          <w:trHeight w:val="274"/>
        </w:trPr>
        <w:tc>
          <w:tcPr>
            <w:tcW w:w="3528" w:type="dxa"/>
            <w:gridSpan w:val="2"/>
            <w:shd w:val="clear" w:color="auto" w:fill="FFFFFF"/>
            <w:vAlign w:val="center"/>
          </w:tcPr>
          <w:p w:rsidR="00BE58DB" w:rsidRPr="004C52FC" w:rsidRDefault="00BE58DB" w:rsidP="003D6D6E">
            <w:pPr>
              <w:rPr>
                <w:rFonts w:asciiTheme="minorHAnsi" w:hAnsiTheme="minorHAnsi"/>
              </w:rPr>
            </w:pPr>
          </w:p>
        </w:tc>
        <w:tc>
          <w:tcPr>
            <w:tcW w:w="1922" w:type="dxa"/>
            <w:tcBorders>
              <w:top w:val="single" w:sz="4" w:space="0" w:color="auto"/>
            </w:tcBorders>
          </w:tcPr>
          <w:p w:rsidR="00BE58DB" w:rsidRPr="004C52FC" w:rsidRDefault="00BE58DB" w:rsidP="00BC12BF">
            <w:pPr>
              <w:jc w:val="center"/>
              <w:rPr>
                <w:rFonts w:asciiTheme="minorHAnsi" w:hAnsiTheme="minorHAnsi" w:cs="Arial"/>
                <w:color w:val="000000" w:themeColor="text1"/>
                <w:highlight w:val="yellow"/>
              </w:rPr>
            </w:pPr>
          </w:p>
        </w:tc>
        <w:tc>
          <w:tcPr>
            <w:tcW w:w="1430" w:type="dxa"/>
            <w:shd w:val="clear" w:color="auto" w:fill="auto"/>
          </w:tcPr>
          <w:p w:rsidR="00BE58DB" w:rsidRPr="004C52FC" w:rsidRDefault="00BE58DB" w:rsidP="00817DDA">
            <w:pPr>
              <w:jc w:val="center"/>
              <w:rPr>
                <w:rFonts w:asciiTheme="minorHAnsi" w:hAnsiTheme="minorHAnsi" w:cs="Arial"/>
                <w:color w:val="000000" w:themeColor="text1"/>
              </w:rPr>
            </w:pPr>
          </w:p>
        </w:tc>
        <w:tc>
          <w:tcPr>
            <w:tcW w:w="2250" w:type="dxa"/>
          </w:tcPr>
          <w:p w:rsidR="00BE58DB" w:rsidRPr="004C52FC" w:rsidRDefault="00BE58DB" w:rsidP="001D736E">
            <w:pPr>
              <w:ind w:left="72"/>
              <w:rPr>
                <w:rFonts w:asciiTheme="minorHAnsi" w:hAnsiTheme="minorHAnsi" w:cs="Arial"/>
                <w:color w:val="000000" w:themeColor="text1"/>
              </w:rPr>
            </w:pPr>
          </w:p>
        </w:tc>
        <w:tc>
          <w:tcPr>
            <w:tcW w:w="4028" w:type="dxa"/>
          </w:tcPr>
          <w:p w:rsidR="00BE58DB" w:rsidRPr="004C52FC" w:rsidRDefault="00BE58DB" w:rsidP="001D736E">
            <w:pPr>
              <w:ind w:left="72"/>
              <w:rPr>
                <w:rFonts w:asciiTheme="minorHAnsi" w:hAnsiTheme="minorHAnsi" w:cs="Arial"/>
                <w:color w:val="000000" w:themeColor="text1"/>
              </w:rPr>
            </w:pPr>
          </w:p>
        </w:tc>
      </w:tr>
      <w:tr w:rsidR="00BE58DB" w:rsidRPr="004C52FC" w:rsidTr="00B62D15">
        <w:trPr>
          <w:trHeight w:val="274"/>
        </w:trPr>
        <w:tc>
          <w:tcPr>
            <w:tcW w:w="3528" w:type="dxa"/>
            <w:gridSpan w:val="2"/>
            <w:shd w:val="clear" w:color="auto" w:fill="FFFFFF"/>
            <w:vAlign w:val="center"/>
          </w:tcPr>
          <w:p w:rsidR="00BE58DB" w:rsidRPr="004C52FC" w:rsidRDefault="00BE58DB">
            <w:pPr>
              <w:jc w:val="center"/>
              <w:rPr>
                <w:rFonts w:asciiTheme="minorHAnsi" w:hAnsiTheme="minorHAnsi"/>
                <w:b/>
              </w:rPr>
            </w:pPr>
            <w:r w:rsidRPr="004C52FC">
              <w:rPr>
                <w:rFonts w:asciiTheme="minorHAnsi" w:hAnsiTheme="minorHAnsi"/>
                <w:b/>
              </w:rPr>
              <w:t>Program Outcomes</w:t>
            </w:r>
          </w:p>
        </w:tc>
        <w:tc>
          <w:tcPr>
            <w:tcW w:w="1922" w:type="dxa"/>
          </w:tcPr>
          <w:p w:rsidR="00BE58DB" w:rsidRPr="004C52FC" w:rsidRDefault="00BE58DB"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E58DB" w:rsidRPr="004C52FC" w:rsidRDefault="00BE58DB"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E58DB" w:rsidRPr="004C52FC" w:rsidRDefault="00BE58DB"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E58DB" w:rsidRPr="004C52FC" w:rsidRDefault="00BE58DB"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E58DB" w:rsidRPr="004C52FC" w:rsidRDefault="00BE58DB" w:rsidP="00C50A91">
            <w:pPr>
              <w:jc w:val="center"/>
              <w:rPr>
                <w:rFonts w:asciiTheme="minorHAnsi" w:hAnsiTheme="minorHAnsi" w:cs="Arial"/>
                <w:color w:val="000000" w:themeColor="text1"/>
                <w:sz w:val="20"/>
              </w:rPr>
            </w:pPr>
          </w:p>
        </w:tc>
        <w:tc>
          <w:tcPr>
            <w:tcW w:w="4028" w:type="dxa"/>
          </w:tcPr>
          <w:p w:rsidR="00BE58DB" w:rsidRPr="004C52FC" w:rsidRDefault="00BE58DB"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E58DB" w:rsidRPr="004C52FC" w:rsidRDefault="00BE58DB"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E58DB" w:rsidRPr="004C52FC" w:rsidTr="00B62D15">
        <w:trPr>
          <w:trHeight w:val="274"/>
        </w:trPr>
        <w:tc>
          <w:tcPr>
            <w:tcW w:w="3528" w:type="dxa"/>
            <w:gridSpan w:val="2"/>
            <w:shd w:val="clear" w:color="auto" w:fill="FFFFFF"/>
            <w:vAlign w:val="center"/>
          </w:tcPr>
          <w:p w:rsidR="00BE58DB" w:rsidRPr="00AA0D8B" w:rsidRDefault="00BE58DB" w:rsidP="0033735F">
            <w:pPr>
              <w:shd w:val="clear" w:color="auto" w:fill="FFFFFF"/>
              <w:spacing w:after="112"/>
              <w:textAlignment w:val="top"/>
              <w:rPr>
                <w:rFonts w:ascii="Verdana" w:hAnsi="Verdana"/>
                <w:color w:val="333333"/>
                <w:sz w:val="20"/>
                <w:szCs w:val="20"/>
              </w:rPr>
            </w:pPr>
            <w:r w:rsidRPr="00E4193C">
              <w:rPr>
                <w:rFonts w:ascii="Verdana" w:hAnsi="Verdana"/>
                <w:color w:val="333333"/>
                <w:sz w:val="20"/>
                <w:szCs w:val="20"/>
              </w:rPr>
              <w:t>Develop skills in calculus, analytical geometry and differential equations to analyze and solve engineering problems.</w:t>
            </w:r>
          </w:p>
        </w:tc>
        <w:tc>
          <w:tcPr>
            <w:tcW w:w="1922" w:type="dxa"/>
            <w:vAlign w:val="center"/>
          </w:tcPr>
          <w:p w:rsidR="00BE58DB" w:rsidRDefault="00BE58DB" w:rsidP="0033735F">
            <w:pPr>
              <w:rPr>
                <w:rFonts w:ascii="Verdana" w:hAnsi="Verdana"/>
                <w:sz w:val="20"/>
                <w:szCs w:val="20"/>
              </w:rPr>
            </w:pPr>
            <w:r>
              <w:rPr>
                <w:rFonts w:ascii="Verdana" w:hAnsi="Verdana"/>
                <w:sz w:val="20"/>
                <w:szCs w:val="20"/>
              </w:rPr>
              <w:t>MAT 2270</w:t>
            </w:r>
          </w:p>
          <w:p w:rsidR="00BE58DB" w:rsidRPr="00AA0D8B" w:rsidRDefault="00BE58DB" w:rsidP="0033735F">
            <w:pPr>
              <w:rPr>
                <w:rFonts w:ascii="Verdana" w:hAnsi="Verdana"/>
                <w:sz w:val="20"/>
                <w:szCs w:val="20"/>
              </w:rPr>
            </w:pPr>
            <w:r>
              <w:rPr>
                <w:rFonts w:ascii="Verdana" w:hAnsi="Verdana"/>
                <w:sz w:val="20"/>
                <w:szCs w:val="20"/>
              </w:rPr>
              <w:t>MAT 2280</w:t>
            </w:r>
          </w:p>
        </w:tc>
        <w:tc>
          <w:tcPr>
            <w:tcW w:w="1430" w:type="dxa"/>
            <w:shd w:val="clear" w:color="auto" w:fill="auto"/>
          </w:tcPr>
          <w:p w:rsidR="00BE58DB" w:rsidRPr="004C52FC" w:rsidRDefault="00BE58DB" w:rsidP="00817DDA">
            <w:pPr>
              <w:jc w:val="center"/>
              <w:rPr>
                <w:rFonts w:asciiTheme="minorHAnsi" w:hAnsiTheme="minorHAnsi" w:cs="Arial"/>
                <w:color w:val="000000" w:themeColor="text1"/>
              </w:rPr>
            </w:pPr>
            <w:r>
              <w:rPr>
                <w:rFonts w:asciiTheme="minorHAnsi" w:hAnsiTheme="minorHAnsi" w:cs="Arial"/>
                <w:color w:val="000000" w:themeColor="text1"/>
              </w:rPr>
              <w:t>2012-13</w:t>
            </w:r>
          </w:p>
        </w:tc>
        <w:tc>
          <w:tcPr>
            <w:tcW w:w="2250" w:type="dxa"/>
          </w:tcPr>
          <w:p w:rsidR="00BE58DB" w:rsidRPr="004C52FC" w:rsidRDefault="00C370E2" w:rsidP="00591EB8">
            <w:pPr>
              <w:ind w:left="72"/>
              <w:rPr>
                <w:rFonts w:asciiTheme="minorHAnsi" w:hAnsiTheme="minorHAnsi"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591EB8">
              <w:rPr>
                <w:rFonts w:ascii="Arial" w:hAnsi="Arial" w:cs="Arial"/>
                <w:b/>
                <w:noProof/>
                <w:color w:val="000000" w:themeColor="text1"/>
              </w:rPr>
              <w:t>Tests</w:t>
            </w:r>
            <w:r>
              <w:rPr>
                <w:rFonts w:ascii="Arial" w:hAnsi="Arial" w:cs="Arial"/>
                <w:b/>
                <w:color w:val="000000" w:themeColor="text1"/>
              </w:rPr>
              <w:fldChar w:fldCharType="end"/>
            </w:r>
          </w:p>
        </w:tc>
        <w:tc>
          <w:tcPr>
            <w:tcW w:w="4028" w:type="dxa"/>
          </w:tcPr>
          <w:p w:rsidR="00BE58DB" w:rsidRPr="004C52FC" w:rsidRDefault="00C370E2" w:rsidP="00452965">
            <w:pPr>
              <w:ind w:left="72"/>
              <w:rPr>
                <w:rFonts w:asciiTheme="minorHAnsi" w:hAnsiTheme="minorHAnsi"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6B65B9">
              <w:rPr>
                <w:rFonts w:ascii="Arial" w:hAnsi="Arial" w:cs="Arial"/>
                <w:b/>
                <w:noProof/>
                <w:color w:val="000000" w:themeColor="text1"/>
              </w:rPr>
              <w:t>Substantial improvement in</w:t>
            </w:r>
            <w:bookmarkStart w:id="1" w:name="_GoBack"/>
            <w:bookmarkEnd w:id="1"/>
            <w:r w:rsidR="006B65B9">
              <w:rPr>
                <w:rFonts w:ascii="Arial" w:hAnsi="Arial" w:cs="Arial"/>
                <w:b/>
                <w:noProof/>
                <w:color w:val="000000" w:themeColor="text1"/>
              </w:rPr>
              <w:t xml:space="preserve"> student performance from pre-test to post-test (averaging 40 percentage points higher.</w:t>
            </w:r>
            <w:r>
              <w:rPr>
                <w:rFonts w:ascii="Arial" w:hAnsi="Arial" w:cs="Arial"/>
                <w:b/>
                <w:color w:val="000000" w:themeColor="text1"/>
              </w:rPr>
              <w:fldChar w:fldCharType="end"/>
            </w:r>
          </w:p>
        </w:tc>
      </w:tr>
      <w:tr w:rsidR="00BE58DB" w:rsidRPr="004C52FC" w:rsidTr="00B62D15">
        <w:trPr>
          <w:trHeight w:val="72"/>
        </w:trPr>
        <w:tc>
          <w:tcPr>
            <w:tcW w:w="3528" w:type="dxa"/>
            <w:gridSpan w:val="2"/>
            <w:shd w:val="clear" w:color="auto" w:fill="FFFFFF"/>
            <w:vAlign w:val="center"/>
          </w:tcPr>
          <w:p w:rsidR="00BE58DB" w:rsidRPr="00AA0D8B" w:rsidRDefault="00BE58DB" w:rsidP="0033735F">
            <w:pPr>
              <w:rPr>
                <w:rFonts w:ascii="Verdana" w:hAnsi="Verdana"/>
                <w:sz w:val="20"/>
                <w:szCs w:val="20"/>
              </w:rPr>
            </w:pPr>
            <w:r w:rsidRPr="00E4193C">
              <w:rPr>
                <w:rFonts w:ascii="Verdana" w:hAnsi="Verdana"/>
                <w:color w:val="333333"/>
                <w:sz w:val="20"/>
                <w:szCs w:val="20"/>
              </w:rPr>
              <w:t>Demonstrate written and oral communication skills for effective presentations.</w:t>
            </w:r>
          </w:p>
        </w:tc>
        <w:tc>
          <w:tcPr>
            <w:tcW w:w="1922" w:type="dxa"/>
            <w:vAlign w:val="center"/>
          </w:tcPr>
          <w:p w:rsidR="00BE58DB" w:rsidRDefault="00BE58DB" w:rsidP="0033735F">
            <w:pPr>
              <w:rPr>
                <w:rFonts w:ascii="Verdana" w:hAnsi="Verdana"/>
                <w:sz w:val="20"/>
                <w:szCs w:val="20"/>
              </w:rPr>
            </w:pPr>
            <w:r>
              <w:rPr>
                <w:rFonts w:ascii="Verdana" w:hAnsi="Verdana"/>
                <w:sz w:val="20"/>
                <w:szCs w:val="20"/>
              </w:rPr>
              <w:t>ENG 1101</w:t>
            </w:r>
          </w:p>
          <w:p w:rsidR="00BE58DB" w:rsidRDefault="00BE58DB" w:rsidP="0033735F">
            <w:pPr>
              <w:rPr>
                <w:rFonts w:ascii="Verdana" w:hAnsi="Verdana"/>
                <w:sz w:val="20"/>
                <w:szCs w:val="20"/>
              </w:rPr>
            </w:pPr>
            <w:r>
              <w:rPr>
                <w:rFonts w:ascii="Verdana" w:hAnsi="Verdana"/>
                <w:sz w:val="20"/>
                <w:szCs w:val="20"/>
              </w:rPr>
              <w:t>ENG 1201</w:t>
            </w:r>
          </w:p>
          <w:p w:rsidR="00BE58DB" w:rsidRDefault="00BE58DB" w:rsidP="0033735F">
            <w:pPr>
              <w:rPr>
                <w:rFonts w:ascii="Verdana" w:hAnsi="Verdana"/>
                <w:sz w:val="20"/>
                <w:szCs w:val="20"/>
              </w:rPr>
            </w:pPr>
            <w:r>
              <w:rPr>
                <w:rFonts w:ascii="Verdana" w:hAnsi="Verdana"/>
                <w:sz w:val="20"/>
                <w:szCs w:val="20"/>
              </w:rPr>
              <w:t>COM 2211</w:t>
            </w:r>
          </w:p>
          <w:p w:rsidR="00BE58DB" w:rsidRDefault="00BE58DB" w:rsidP="0033735F">
            <w:pPr>
              <w:rPr>
                <w:rFonts w:ascii="Verdana" w:hAnsi="Verdana"/>
                <w:sz w:val="20"/>
                <w:szCs w:val="20"/>
              </w:rPr>
            </w:pPr>
            <w:r>
              <w:rPr>
                <w:rFonts w:ascii="Verdana" w:hAnsi="Verdana"/>
                <w:sz w:val="20"/>
                <w:szCs w:val="20"/>
              </w:rPr>
              <w:t>OTM Arts/Humanities Elective</w:t>
            </w:r>
          </w:p>
          <w:p w:rsidR="00BE58DB" w:rsidRPr="00AA0D8B" w:rsidRDefault="00BE58DB" w:rsidP="0033735F">
            <w:pPr>
              <w:rPr>
                <w:rFonts w:ascii="Verdana" w:hAnsi="Verdana"/>
                <w:sz w:val="20"/>
                <w:szCs w:val="20"/>
              </w:rPr>
            </w:pPr>
            <w:r>
              <w:rPr>
                <w:rFonts w:ascii="Verdana" w:hAnsi="Verdana"/>
                <w:sz w:val="20"/>
                <w:szCs w:val="20"/>
              </w:rPr>
              <w:t xml:space="preserve">OTM Social/ Behavioral </w:t>
            </w:r>
            <w:r>
              <w:rPr>
                <w:rFonts w:ascii="Verdana" w:hAnsi="Verdana"/>
                <w:sz w:val="20"/>
                <w:szCs w:val="20"/>
              </w:rPr>
              <w:lastRenderedPageBreak/>
              <w:t>Elective</w:t>
            </w:r>
          </w:p>
        </w:tc>
        <w:tc>
          <w:tcPr>
            <w:tcW w:w="1430" w:type="dxa"/>
            <w:shd w:val="clear" w:color="auto" w:fill="auto"/>
          </w:tcPr>
          <w:p w:rsidR="00BE58DB" w:rsidRPr="004C52FC" w:rsidRDefault="00BE58DB" w:rsidP="00DF7501">
            <w:pPr>
              <w:jc w:val="center"/>
              <w:rPr>
                <w:rFonts w:asciiTheme="minorHAnsi" w:hAnsiTheme="minorHAnsi" w:cs="Arial"/>
                <w:color w:val="000000" w:themeColor="text1"/>
              </w:rPr>
            </w:pPr>
            <w:r>
              <w:rPr>
                <w:rFonts w:asciiTheme="minorHAnsi" w:hAnsiTheme="minorHAnsi" w:cs="Arial"/>
                <w:color w:val="000000" w:themeColor="text1"/>
              </w:rPr>
              <w:lastRenderedPageBreak/>
              <w:t>2013-14</w:t>
            </w:r>
          </w:p>
        </w:tc>
        <w:tc>
          <w:tcPr>
            <w:tcW w:w="2250" w:type="dxa"/>
          </w:tcPr>
          <w:p w:rsidR="00BE58DB" w:rsidRPr="004C52FC" w:rsidRDefault="00C370E2" w:rsidP="001D736E">
            <w:pPr>
              <w:ind w:left="72"/>
              <w:rPr>
                <w:rFonts w:asciiTheme="minorHAnsi" w:hAnsiTheme="minorHAnsi"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color w:val="000000" w:themeColor="text1"/>
              </w:rPr>
              <w:fldChar w:fldCharType="end"/>
            </w:r>
          </w:p>
        </w:tc>
        <w:tc>
          <w:tcPr>
            <w:tcW w:w="4028" w:type="dxa"/>
          </w:tcPr>
          <w:p w:rsidR="00BE58DB" w:rsidRPr="004C52FC" w:rsidRDefault="00C370E2" w:rsidP="001D736E">
            <w:pPr>
              <w:ind w:left="72"/>
              <w:rPr>
                <w:rFonts w:asciiTheme="minorHAnsi" w:hAnsiTheme="minorHAnsi"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color w:val="000000" w:themeColor="text1"/>
              </w:rPr>
              <w:fldChar w:fldCharType="end"/>
            </w:r>
          </w:p>
        </w:tc>
      </w:tr>
      <w:tr w:rsidR="00BE58DB" w:rsidRPr="004C52FC" w:rsidTr="00B62D15">
        <w:trPr>
          <w:trHeight w:val="72"/>
        </w:trPr>
        <w:tc>
          <w:tcPr>
            <w:tcW w:w="3528" w:type="dxa"/>
            <w:gridSpan w:val="2"/>
            <w:shd w:val="clear" w:color="auto" w:fill="FFFFFF"/>
            <w:vAlign w:val="center"/>
          </w:tcPr>
          <w:p w:rsidR="00BE58DB" w:rsidRPr="00AA0D8B" w:rsidRDefault="00BE58DB" w:rsidP="0033735F">
            <w:pPr>
              <w:shd w:val="clear" w:color="auto" w:fill="FFFFFF"/>
              <w:spacing w:after="112"/>
              <w:textAlignment w:val="top"/>
              <w:rPr>
                <w:rFonts w:ascii="Verdana" w:hAnsi="Verdana"/>
                <w:color w:val="333333"/>
                <w:sz w:val="20"/>
                <w:szCs w:val="20"/>
              </w:rPr>
            </w:pPr>
            <w:r w:rsidRPr="00E4193C">
              <w:rPr>
                <w:rFonts w:ascii="Verdana" w:hAnsi="Verdana"/>
                <w:color w:val="333333"/>
                <w:sz w:val="20"/>
                <w:szCs w:val="20"/>
              </w:rPr>
              <w:lastRenderedPageBreak/>
              <w:t>Use mathematics and analytical tools for engineering and related problem solving.</w:t>
            </w:r>
          </w:p>
        </w:tc>
        <w:tc>
          <w:tcPr>
            <w:tcW w:w="1922" w:type="dxa"/>
            <w:vAlign w:val="center"/>
          </w:tcPr>
          <w:p w:rsidR="00BE58DB" w:rsidRDefault="00BE58DB" w:rsidP="0033735F">
            <w:pPr>
              <w:rPr>
                <w:rFonts w:ascii="Verdana" w:hAnsi="Verdana"/>
                <w:sz w:val="20"/>
                <w:szCs w:val="20"/>
              </w:rPr>
            </w:pPr>
            <w:r>
              <w:rPr>
                <w:rFonts w:ascii="Verdana" w:hAnsi="Verdana"/>
                <w:sz w:val="20"/>
                <w:szCs w:val="20"/>
              </w:rPr>
              <w:t>EGR Electives</w:t>
            </w:r>
          </w:p>
          <w:p w:rsidR="00BE58DB" w:rsidRPr="00AA0D8B" w:rsidRDefault="00BE58DB" w:rsidP="0033735F">
            <w:pPr>
              <w:rPr>
                <w:rFonts w:ascii="Verdana" w:hAnsi="Verdana"/>
                <w:sz w:val="20"/>
                <w:szCs w:val="20"/>
              </w:rPr>
            </w:pPr>
            <w:r>
              <w:rPr>
                <w:rFonts w:ascii="Verdana" w:hAnsi="Verdana"/>
                <w:sz w:val="20"/>
                <w:szCs w:val="20"/>
              </w:rPr>
              <w:t>SME 1101</w:t>
            </w:r>
          </w:p>
        </w:tc>
        <w:tc>
          <w:tcPr>
            <w:tcW w:w="1430" w:type="dxa"/>
            <w:shd w:val="clear" w:color="auto" w:fill="auto"/>
          </w:tcPr>
          <w:p w:rsidR="00BE58DB" w:rsidRDefault="00BE58DB" w:rsidP="00817DDA">
            <w:pPr>
              <w:jc w:val="center"/>
              <w:rPr>
                <w:rFonts w:asciiTheme="minorHAnsi" w:hAnsiTheme="minorHAnsi" w:cs="Arial"/>
                <w:color w:val="000000" w:themeColor="text1"/>
              </w:rPr>
            </w:pPr>
          </w:p>
          <w:p w:rsidR="00BE58DB" w:rsidRPr="004C52FC" w:rsidRDefault="00BE58DB" w:rsidP="00817DDA">
            <w:pPr>
              <w:jc w:val="center"/>
              <w:rPr>
                <w:rFonts w:asciiTheme="minorHAnsi" w:hAnsiTheme="minorHAnsi" w:cs="Arial"/>
                <w:color w:val="000000" w:themeColor="text1"/>
              </w:rPr>
            </w:pPr>
            <w:r>
              <w:rPr>
                <w:rFonts w:asciiTheme="minorHAnsi" w:hAnsiTheme="minorHAnsi" w:cs="Arial"/>
                <w:color w:val="000000" w:themeColor="text1"/>
              </w:rPr>
              <w:t>2011-12</w:t>
            </w:r>
          </w:p>
        </w:tc>
        <w:tc>
          <w:tcPr>
            <w:tcW w:w="2250" w:type="dxa"/>
          </w:tcPr>
          <w:p w:rsidR="00BE58DB" w:rsidRPr="004C52FC" w:rsidRDefault="00C370E2" w:rsidP="009C0BE9">
            <w:pPr>
              <w:ind w:left="72"/>
              <w:rPr>
                <w:rFonts w:asciiTheme="minorHAnsi" w:hAnsiTheme="minorHAnsi"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9C0BE9">
              <w:rPr>
                <w:rFonts w:ascii="Arial" w:hAnsi="Arial" w:cs="Arial"/>
                <w:b/>
                <w:noProof/>
                <w:color w:val="000000" w:themeColor="text1"/>
              </w:rPr>
              <w:t>Exams</w:t>
            </w:r>
            <w:r>
              <w:rPr>
                <w:rFonts w:ascii="Arial" w:hAnsi="Arial" w:cs="Arial"/>
                <w:b/>
                <w:color w:val="000000" w:themeColor="text1"/>
              </w:rPr>
              <w:fldChar w:fldCharType="end"/>
            </w:r>
          </w:p>
        </w:tc>
        <w:tc>
          <w:tcPr>
            <w:tcW w:w="4028" w:type="dxa"/>
          </w:tcPr>
          <w:p w:rsidR="00BE58DB" w:rsidRPr="004C52FC" w:rsidRDefault="00C370E2" w:rsidP="009C0BE9">
            <w:pPr>
              <w:ind w:left="72"/>
              <w:rPr>
                <w:rFonts w:asciiTheme="minorHAnsi" w:hAnsiTheme="minorHAnsi"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9C0BE9" w:rsidRPr="009C0BE9">
              <w:rPr>
                <w:rFonts w:ascii="Arial" w:hAnsi="Arial" w:cs="Arial"/>
                <w:b/>
                <w:noProof/>
                <w:color w:val="000000" w:themeColor="text1"/>
              </w:rPr>
              <w:t>Section averages consistently above 75%, consistently higher than WSU students on same exam in parallel course.</w:t>
            </w:r>
            <w:r>
              <w:rPr>
                <w:rFonts w:ascii="Arial" w:hAnsi="Arial" w:cs="Arial"/>
                <w:b/>
                <w:color w:val="000000" w:themeColor="text1"/>
              </w:rPr>
              <w:fldChar w:fldCharType="end"/>
            </w:r>
          </w:p>
        </w:tc>
      </w:tr>
      <w:tr w:rsidR="00BE58DB" w:rsidRPr="004C52FC" w:rsidTr="00B62D15">
        <w:tblPrEx>
          <w:shd w:val="clear" w:color="auto" w:fill="auto"/>
          <w:tblLook w:val="04A0" w:firstRow="1" w:lastRow="0" w:firstColumn="1" w:lastColumn="0" w:noHBand="0" w:noVBand="1"/>
        </w:tblPrEx>
        <w:trPr>
          <w:trHeight w:val="72"/>
        </w:trPr>
        <w:tc>
          <w:tcPr>
            <w:tcW w:w="3528" w:type="dxa"/>
            <w:gridSpan w:val="2"/>
            <w:vAlign w:val="center"/>
          </w:tcPr>
          <w:p w:rsidR="00BE58DB" w:rsidRPr="00AA0D8B" w:rsidRDefault="00BE58DB" w:rsidP="0033735F">
            <w:pPr>
              <w:shd w:val="clear" w:color="auto" w:fill="FFFFFF"/>
              <w:textAlignment w:val="top"/>
              <w:rPr>
                <w:rFonts w:ascii="Verdana" w:hAnsi="Verdana"/>
                <w:color w:val="333333"/>
                <w:sz w:val="20"/>
                <w:szCs w:val="20"/>
              </w:rPr>
            </w:pPr>
            <w:r w:rsidRPr="00E4193C">
              <w:rPr>
                <w:rFonts w:ascii="Verdana" w:hAnsi="Verdana"/>
                <w:color w:val="333333"/>
                <w:sz w:val="20"/>
                <w:szCs w:val="20"/>
              </w:rPr>
              <w:t>Identify and apply the basic laws of physics and chemistry including mechanical, electrical</w:t>
            </w:r>
            <w:r>
              <w:rPr>
                <w:rFonts w:ascii="Verdana" w:hAnsi="Verdana"/>
                <w:color w:val="333333"/>
                <w:sz w:val="20"/>
                <w:szCs w:val="20"/>
              </w:rPr>
              <w:t>,</w:t>
            </w:r>
            <w:r w:rsidRPr="00E4193C">
              <w:rPr>
                <w:rFonts w:ascii="Verdana" w:hAnsi="Verdana"/>
                <w:color w:val="333333"/>
                <w:sz w:val="20"/>
                <w:szCs w:val="20"/>
              </w:rPr>
              <w:t xml:space="preserve"> heat, light, sound, and inorganic chemistry to enhance comprehension of engineering topics.</w:t>
            </w:r>
          </w:p>
        </w:tc>
        <w:tc>
          <w:tcPr>
            <w:tcW w:w="1922" w:type="dxa"/>
            <w:vAlign w:val="center"/>
          </w:tcPr>
          <w:p w:rsidR="00BE58DB" w:rsidRDefault="00BE58DB" w:rsidP="0033735F">
            <w:pPr>
              <w:rPr>
                <w:rFonts w:ascii="Verdana" w:hAnsi="Verdana"/>
                <w:sz w:val="20"/>
                <w:szCs w:val="20"/>
              </w:rPr>
            </w:pPr>
            <w:r>
              <w:rPr>
                <w:rFonts w:ascii="Verdana" w:hAnsi="Verdana"/>
                <w:sz w:val="20"/>
                <w:szCs w:val="20"/>
              </w:rPr>
              <w:t>CHE 1211</w:t>
            </w:r>
          </w:p>
          <w:p w:rsidR="00BE58DB" w:rsidRDefault="00BE58DB" w:rsidP="0033735F">
            <w:pPr>
              <w:rPr>
                <w:rFonts w:ascii="Verdana" w:hAnsi="Verdana"/>
                <w:sz w:val="20"/>
                <w:szCs w:val="20"/>
              </w:rPr>
            </w:pPr>
            <w:r>
              <w:rPr>
                <w:rFonts w:ascii="Verdana" w:hAnsi="Verdana"/>
                <w:sz w:val="20"/>
                <w:szCs w:val="20"/>
              </w:rPr>
              <w:t>PHY 2201</w:t>
            </w:r>
          </w:p>
          <w:p w:rsidR="00BE58DB" w:rsidRPr="00AA0D8B" w:rsidRDefault="00BE58DB" w:rsidP="0033735F">
            <w:pPr>
              <w:rPr>
                <w:rFonts w:ascii="Verdana" w:hAnsi="Verdana"/>
                <w:sz w:val="20"/>
                <w:szCs w:val="20"/>
              </w:rPr>
            </w:pPr>
            <w:r>
              <w:rPr>
                <w:rFonts w:ascii="Verdana" w:hAnsi="Verdana"/>
                <w:sz w:val="20"/>
                <w:szCs w:val="20"/>
              </w:rPr>
              <w:t>PHY 2202</w:t>
            </w:r>
          </w:p>
        </w:tc>
        <w:tc>
          <w:tcPr>
            <w:tcW w:w="1430" w:type="dxa"/>
          </w:tcPr>
          <w:p w:rsidR="00BE58DB" w:rsidRPr="004C52FC" w:rsidRDefault="00BE58DB" w:rsidP="00181457">
            <w:pPr>
              <w:jc w:val="center"/>
              <w:rPr>
                <w:rFonts w:asciiTheme="minorHAnsi" w:hAnsiTheme="minorHAnsi" w:cs="Arial"/>
                <w:color w:val="000000" w:themeColor="text1"/>
              </w:rPr>
            </w:pPr>
            <w:r>
              <w:rPr>
                <w:rFonts w:asciiTheme="minorHAnsi" w:hAnsiTheme="minorHAnsi" w:cs="Arial"/>
                <w:color w:val="000000" w:themeColor="text1"/>
              </w:rPr>
              <w:t>2014-15</w:t>
            </w:r>
          </w:p>
        </w:tc>
        <w:tc>
          <w:tcPr>
            <w:tcW w:w="2250" w:type="dxa"/>
          </w:tcPr>
          <w:p w:rsidR="00BE58DB" w:rsidRPr="004C52FC" w:rsidRDefault="00C370E2" w:rsidP="001D736E">
            <w:pPr>
              <w:ind w:left="72"/>
              <w:rPr>
                <w:rFonts w:asciiTheme="minorHAnsi" w:hAnsiTheme="minorHAnsi"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color w:val="000000" w:themeColor="text1"/>
              </w:rPr>
              <w:fldChar w:fldCharType="end"/>
            </w:r>
          </w:p>
        </w:tc>
        <w:tc>
          <w:tcPr>
            <w:tcW w:w="4028" w:type="dxa"/>
          </w:tcPr>
          <w:p w:rsidR="00BE58DB" w:rsidRPr="004C52FC" w:rsidRDefault="00C370E2" w:rsidP="001D736E">
            <w:pPr>
              <w:ind w:left="72"/>
              <w:rPr>
                <w:rFonts w:asciiTheme="minorHAnsi" w:hAnsiTheme="minorHAnsi"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color w:val="000000" w:themeColor="text1"/>
              </w:rPr>
              <w:fldChar w:fldCharType="end"/>
            </w:r>
          </w:p>
        </w:tc>
      </w:tr>
    </w:tbl>
    <w:p w:rsidR="00BF3561" w:rsidRDefault="00BF3561" w:rsidP="001D736E">
      <w:pPr>
        <w:pStyle w:val="ListParagraph"/>
        <w:tabs>
          <w:tab w:val="left" w:pos="5040"/>
        </w:tabs>
        <w:ind w:left="360"/>
        <w:rPr>
          <w:rFonts w:ascii="Arial" w:hAnsi="Arial" w:cs="Arial"/>
          <w:color w:val="000000" w:themeColor="text1"/>
        </w:rPr>
      </w:pPr>
    </w:p>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C370E2" w:rsidP="003E791C">
      <w:pPr>
        <w:pStyle w:val="ListParagraph"/>
        <w:tabs>
          <w:tab w:val="left" w:pos="5040"/>
        </w:tabs>
        <w:ind w:left="0"/>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6B65B9">
        <w:rPr>
          <w:rFonts w:ascii="Arial" w:hAnsi="Arial" w:cs="Arial"/>
          <w:b/>
          <w:noProof/>
          <w:color w:val="000000" w:themeColor="text1"/>
        </w:rPr>
        <w:t>No</w:t>
      </w:r>
      <w:r>
        <w:rPr>
          <w:rFonts w:ascii="Arial" w:hAnsi="Arial" w:cs="Arial"/>
          <w:b/>
          <w:color w:val="000000" w:themeColor="text1"/>
        </w:rPr>
        <w:fldChar w:fldCharType="end"/>
      </w:r>
    </w:p>
    <w:p w:rsidR="00BE58DB" w:rsidRDefault="00BE58DB" w:rsidP="003E791C">
      <w:pPr>
        <w:pStyle w:val="ListParagraph"/>
        <w:tabs>
          <w:tab w:val="left" w:pos="5040"/>
        </w:tabs>
        <w:ind w:left="0"/>
        <w:rPr>
          <w:rFonts w:ascii="Arial" w:hAnsi="Arial" w:cs="Arial"/>
          <w:color w:val="000000" w:themeColor="text1"/>
        </w:rPr>
      </w:pPr>
    </w:p>
    <w:p w:rsidR="00BE58DB" w:rsidRDefault="00BE58DB"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3E791C">
      <w:pPr>
        <w:pStyle w:val="ListParagraph"/>
        <w:tabs>
          <w:tab w:val="left" w:pos="5040"/>
        </w:tabs>
        <w:rPr>
          <w:rFonts w:ascii="Arial" w:hAnsi="Arial" w:cs="Arial"/>
          <w:color w:val="000000" w:themeColor="text1"/>
        </w:rPr>
      </w:pPr>
    </w:p>
    <w:p w:rsidR="00BE58DB" w:rsidRPr="00C370E2" w:rsidRDefault="00C370E2" w:rsidP="00C370E2">
      <w:pPr>
        <w:tabs>
          <w:tab w:val="left" w:pos="5040"/>
        </w:tabs>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color w:val="000000" w:themeColor="text1"/>
        </w:rPr>
        <w:fldChar w:fldCharType="end"/>
      </w:r>
    </w:p>
    <w:p w:rsidR="00BE58DB" w:rsidRDefault="00BE58DB" w:rsidP="003E791C">
      <w:pPr>
        <w:pStyle w:val="ListParagraph"/>
        <w:tabs>
          <w:tab w:val="left" w:pos="5040"/>
        </w:tabs>
        <w:rPr>
          <w:rFonts w:ascii="Arial" w:hAnsi="Arial" w:cs="Arial"/>
          <w:color w:val="000000" w:themeColor="text1"/>
        </w:rPr>
      </w:pPr>
    </w:p>
    <w:p w:rsidR="002D428E" w:rsidRDefault="002D428E">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C370E2">
      <w:pPr>
        <w:pStyle w:val="ListParagraph"/>
        <w:tabs>
          <w:tab w:val="left" w:pos="5040"/>
        </w:tabs>
        <w:ind w:left="0"/>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6B65B9">
        <w:rPr>
          <w:rFonts w:ascii="Arial" w:hAnsi="Arial" w:cs="Arial"/>
          <w:b/>
          <w:noProof/>
          <w:color w:val="000000" w:themeColor="text1"/>
        </w:rPr>
        <w:t>No</w:t>
      </w:r>
      <w:r>
        <w:rPr>
          <w:rFonts w:ascii="Arial" w:hAnsi="Arial" w:cs="Arial"/>
          <w:b/>
          <w:color w:val="000000" w:themeColor="text1"/>
        </w:rPr>
        <w:fldChar w:fldCharType="end"/>
      </w:r>
    </w:p>
    <w:p w:rsidR="00EC6B80" w:rsidRDefault="00EC6B80">
      <w:pPr>
        <w:pStyle w:val="ListParagraph"/>
        <w:tabs>
          <w:tab w:val="left" w:pos="5040"/>
        </w:tabs>
        <w:ind w:left="0"/>
        <w:rPr>
          <w:rFonts w:ascii="Arial" w:hAnsi="Arial" w:cs="Arial"/>
          <w:color w:val="000000" w:themeColor="text1"/>
        </w:rPr>
      </w:pPr>
    </w:p>
    <w:p w:rsidR="00BE58DB" w:rsidRDefault="00BE58DB">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EF15CD" w:rsidRPr="00C370E2" w:rsidRDefault="00C370E2" w:rsidP="00C370E2">
      <w:pPr>
        <w:tabs>
          <w:tab w:val="left" w:pos="5040"/>
        </w:tabs>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noProof/>
          <w:color w:val="000000" w:themeColor="text1"/>
        </w:rPr>
        <w:t> </w:t>
      </w:r>
      <w:r>
        <w:rPr>
          <w:rFonts w:ascii="Arial" w:hAnsi="Arial" w:cs="Arial"/>
          <w:b/>
          <w:color w:val="000000" w:themeColor="text1"/>
        </w:rPr>
        <w:fldChar w:fldCharType="end"/>
      </w:r>
    </w:p>
    <w:p w:rsidR="00BE58DB" w:rsidRDefault="00BE58DB">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9F2F27" w:rsidRDefault="00C370E2" w:rsidP="00C370E2">
      <w:pPr>
        <w:tabs>
          <w:tab w:val="left" w:pos="5040"/>
        </w:tabs>
        <w:rPr>
          <w:rFonts w:ascii="Arial" w:hAnsi="Arial" w:cs="Arial"/>
          <w:b/>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p>
    <w:p w:rsidR="00416DBF" w:rsidRDefault="009F2F27" w:rsidP="00C370E2">
      <w:pPr>
        <w:tabs>
          <w:tab w:val="left" w:pos="5040"/>
        </w:tabs>
        <w:rPr>
          <w:rFonts w:ascii="Arial" w:hAnsi="Arial" w:cs="Arial"/>
          <w:b/>
          <w:noProof/>
          <w:color w:val="000000" w:themeColor="text1"/>
        </w:rPr>
      </w:pPr>
      <w:r w:rsidRPr="009F2F27">
        <w:rPr>
          <w:rFonts w:ascii="Arial" w:hAnsi="Arial" w:cs="Arial"/>
          <w:b/>
          <w:noProof/>
          <w:color w:val="000000" w:themeColor="text1"/>
        </w:rPr>
        <w:t xml:space="preserve">Last year it was identified that students were having trouble with the MATLAB portion </w:t>
      </w:r>
      <w:r w:rsidR="00416DBF">
        <w:rPr>
          <w:rFonts w:ascii="Arial" w:hAnsi="Arial" w:cs="Arial"/>
          <w:b/>
          <w:noProof/>
          <w:color w:val="000000" w:themeColor="text1"/>
        </w:rPr>
        <w:t>o</w:t>
      </w:r>
      <w:r w:rsidRPr="009F2F27">
        <w:rPr>
          <w:rFonts w:ascii="Arial" w:hAnsi="Arial" w:cs="Arial"/>
          <w:b/>
          <w:noProof/>
          <w:color w:val="000000" w:themeColor="text1"/>
        </w:rPr>
        <w:t>f EGR 1101.  Four new assignments were added and students performed in line with performance on other class exams on the MATLAB exam.</w:t>
      </w:r>
    </w:p>
    <w:p w:rsidR="00416DBF" w:rsidRDefault="00416DBF" w:rsidP="00C370E2">
      <w:pPr>
        <w:tabs>
          <w:tab w:val="left" w:pos="5040"/>
        </w:tabs>
        <w:rPr>
          <w:rFonts w:ascii="Arial" w:hAnsi="Arial" w:cs="Arial"/>
          <w:b/>
          <w:noProof/>
          <w:color w:val="000000" w:themeColor="text1"/>
        </w:rPr>
      </w:pPr>
    </w:p>
    <w:p w:rsidR="00C370E2" w:rsidRPr="00C370E2" w:rsidRDefault="00C370E2" w:rsidP="00C370E2">
      <w:pPr>
        <w:tabs>
          <w:tab w:val="left" w:pos="5040"/>
        </w:tabs>
        <w:rPr>
          <w:rFonts w:ascii="Arial" w:hAnsi="Arial" w:cs="Arial"/>
          <w:color w:val="000000" w:themeColor="text1"/>
        </w:rPr>
      </w:pPr>
      <w:r>
        <w:rPr>
          <w:rFonts w:ascii="Arial" w:hAnsi="Arial" w:cs="Arial"/>
          <w:b/>
          <w:color w:val="000000" w:themeColor="text1"/>
        </w:rPr>
        <w:fldChar w:fldCharType="end"/>
      </w:r>
    </w:p>
    <w:p w:rsidR="004C52FC" w:rsidRDefault="004C52FC" w:rsidP="004C52FC">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A201E2" w:rsidRPr="0001394F" w:rsidRDefault="00C370E2" w:rsidP="0001394F">
      <w:pPr>
        <w:spacing w:after="200" w:line="276" w:lineRule="auto"/>
        <w:rPr>
          <w:rFonts w:ascii="Arial" w:hAnsi="Arial" w:cs="Arial"/>
          <w:b/>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6B65B9">
        <w:rPr>
          <w:rFonts w:ascii="Arial" w:hAnsi="Arial" w:cs="Arial"/>
          <w:b/>
          <w:color w:val="000000" w:themeColor="text1"/>
        </w:rPr>
        <w:t>No</w:t>
      </w:r>
      <w:r>
        <w:rPr>
          <w:rFonts w:ascii="Arial" w:hAnsi="Arial" w:cs="Arial"/>
          <w:b/>
          <w:color w:val="000000" w:themeColor="text1"/>
        </w:rPr>
        <w:fldChar w:fldCharType="end"/>
      </w:r>
    </w:p>
    <w:sectPr w:rsidR="00A201E2" w:rsidRPr="0001394F" w:rsidSect="00A201E2">
      <w:pgSz w:w="12240" w:h="15840"/>
      <w:pgMar w:top="1152" w:right="1440" w:bottom="1152"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DD7" w:rsidRDefault="008B5DD7" w:rsidP="0094204C">
      <w:r>
        <w:separator/>
      </w:r>
    </w:p>
  </w:endnote>
  <w:endnote w:type="continuationSeparator" w:id="0">
    <w:p w:rsidR="008B5DD7" w:rsidRDefault="008B5DD7"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EndPr/>
    <w:sdtContent>
      <w:p w:rsidR="00C50A91" w:rsidRDefault="00654115">
        <w:pPr>
          <w:pStyle w:val="Footer"/>
          <w:jc w:val="right"/>
        </w:pPr>
        <w:r>
          <w:fldChar w:fldCharType="begin"/>
        </w:r>
        <w:r>
          <w:instrText xml:space="preserve"> PAGE   \* MERGEFORMAT </w:instrText>
        </w:r>
        <w:r>
          <w:fldChar w:fldCharType="separate"/>
        </w:r>
        <w:r w:rsidR="00452965">
          <w:rPr>
            <w:noProof/>
          </w:rPr>
          <w:t>8</w:t>
        </w:r>
        <w:r>
          <w:rPr>
            <w:noProof/>
          </w:rPr>
          <w:fldChar w:fldCharType="end"/>
        </w:r>
      </w:p>
    </w:sdtContent>
  </w:sdt>
  <w:p w:rsidR="00C50A91" w:rsidRDefault="00C50A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DD7" w:rsidRDefault="008B5DD7" w:rsidP="0094204C">
      <w:r>
        <w:separator/>
      </w:r>
    </w:p>
  </w:footnote>
  <w:footnote w:type="continuationSeparator" w:id="0">
    <w:p w:rsidR="008B5DD7" w:rsidRDefault="008B5DD7"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F0203"/>
    <w:multiLevelType w:val="hybridMultilevel"/>
    <w:tmpl w:val="D0086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A2E3CC8"/>
    <w:multiLevelType w:val="hybridMultilevel"/>
    <w:tmpl w:val="05ECB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11"/>
  </w:num>
  <w:num w:numId="5">
    <w:abstractNumId w:val="3"/>
  </w:num>
  <w:num w:numId="6">
    <w:abstractNumId w:val="7"/>
  </w:num>
  <w:num w:numId="7">
    <w:abstractNumId w:val="14"/>
  </w:num>
  <w:num w:numId="8">
    <w:abstractNumId w:val="12"/>
  </w:num>
  <w:num w:numId="9">
    <w:abstractNumId w:val="1"/>
  </w:num>
  <w:num w:numId="10">
    <w:abstractNumId w:val="15"/>
  </w:num>
  <w:num w:numId="11">
    <w:abstractNumId w:val="0"/>
  </w:num>
  <w:num w:numId="12">
    <w:abstractNumId w:val="13"/>
  </w:num>
  <w:num w:numId="13">
    <w:abstractNumId w:val="9"/>
  </w:num>
  <w:num w:numId="14">
    <w:abstractNumId w:val="4"/>
  </w:num>
  <w:num w:numId="15">
    <w:abstractNumId w:val="2"/>
  </w:num>
  <w:num w:numId="1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XwCudAh3z85JwSD3ZTDVZQfdgQQ=" w:salt="+uyWtLxDD4eDi1d1kKd0Q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1394F"/>
    <w:rsid w:val="000279EB"/>
    <w:rsid w:val="000337E6"/>
    <w:rsid w:val="00034CE6"/>
    <w:rsid w:val="00036DF9"/>
    <w:rsid w:val="00054BFD"/>
    <w:rsid w:val="00056964"/>
    <w:rsid w:val="000616F3"/>
    <w:rsid w:val="00063778"/>
    <w:rsid w:val="00065129"/>
    <w:rsid w:val="000738FE"/>
    <w:rsid w:val="00074BD5"/>
    <w:rsid w:val="00077C3B"/>
    <w:rsid w:val="00080933"/>
    <w:rsid w:val="00080A19"/>
    <w:rsid w:val="00085944"/>
    <w:rsid w:val="00097843"/>
    <w:rsid w:val="000A089D"/>
    <w:rsid w:val="000A2A44"/>
    <w:rsid w:val="000A4EE0"/>
    <w:rsid w:val="000B0D23"/>
    <w:rsid w:val="000B0D4D"/>
    <w:rsid w:val="000B261C"/>
    <w:rsid w:val="000D1111"/>
    <w:rsid w:val="000D3A39"/>
    <w:rsid w:val="000E4EFE"/>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2776"/>
    <w:rsid w:val="001532B7"/>
    <w:rsid w:val="001628B1"/>
    <w:rsid w:val="00174C4B"/>
    <w:rsid w:val="001803A0"/>
    <w:rsid w:val="00181457"/>
    <w:rsid w:val="00183806"/>
    <w:rsid w:val="00183A7F"/>
    <w:rsid w:val="00184AE5"/>
    <w:rsid w:val="0018798A"/>
    <w:rsid w:val="00190F5C"/>
    <w:rsid w:val="0019135D"/>
    <w:rsid w:val="00195B7B"/>
    <w:rsid w:val="001A1B67"/>
    <w:rsid w:val="001A7AF7"/>
    <w:rsid w:val="001B6007"/>
    <w:rsid w:val="001C202C"/>
    <w:rsid w:val="001C42D0"/>
    <w:rsid w:val="001C5DC3"/>
    <w:rsid w:val="001D3E1D"/>
    <w:rsid w:val="001D5757"/>
    <w:rsid w:val="001D7080"/>
    <w:rsid w:val="001D736E"/>
    <w:rsid w:val="001D7C83"/>
    <w:rsid w:val="001E0764"/>
    <w:rsid w:val="001E7137"/>
    <w:rsid w:val="001F4B9E"/>
    <w:rsid w:val="002105E7"/>
    <w:rsid w:val="00210FF3"/>
    <w:rsid w:val="002245AB"/>
    <w:rsid w:val="00225B53"/>
    <w:rsid w:val="0022692B"/>
    <w:rsid w:val="002315EE"/>
    <w:rsid w:val="0025548D"/>
    <w:rsid w:val="00255C18"/>
    <w:rsid w:val="00255F7D"/>
    <w:rsid w:val="00256114"/>
    <w:rsid w:val="0025618C"/>
    <w:rsid w:val="00262914"/>
    <w:rsid w:val="00262EFB"/>
    <w:rsid w:val="00265A99"/>
    <w:rsid w:val="00266F2F"/>
    <w:rsid w:val="0026791C"/>
    <w:rsid w:val="00275EED"/>
    <w:rsid w:val="00276B75"/>
    <w:rsid w:val="00280C60"/>
    <w:rsid w:val="00281C63"/>
    <w:rsid w:val="0028603C"/>
    <w:rsid w:val="002922CE"/>
    <w:rsid w:val="00293D8D"/>
    <w:rsid w:val="002A1D8C"/>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7A3A"/>
    <w:rsid w:val="003454F6"/>
    <w:rsid w:val="00350D53"/>
    <w:rsid w:val="003641BA"/>
    <w:rsid w:val="00367F52"/>
    <w:rsid w:val="00372B02"/>
    <w:rsid w:val="0037786D"/>
    <w:rsid w:val="00377D40"/>
    <w:rsid w:val="003A298D"/>
    <w:rsid w:val="003B2034"/>
    <w:rsid w:val="003B5176"/>
    <w:rsid w:val="003B5F45"/>
    <w:rsid w:val="003B6EA6"/>
    <w:rsid w:val="003C1C8E"/>
    <w:rsid w:val="003C2993"/>
    <w:rsid w:val="003D2587"/>
    <w:rsid w:val="003D6946"/>
    <w:rsid w:val="003D6D6E"/>
    <w:rsid w:val="003E791C"/>
    <w:rsid w:val="00404810"/>
    <w:rsid w:val="00414645"/>
    <w:rsid w:val="00416DBF"/>
    <w:rsid w:val="00424E5D"/>
    <w:rsid w:val="00425F46"/>
    <w:rsid w:val="00434F56"/>
    <w:rsid w:val="004359FC"/>
    <w:rsid w:val="004467C4"/>
    <w:rsid w:val="00452965"/>
    <w:rsid w:val="00455833"/>
    <w:rsid w:val="004604FB"/>
    <w:rsid w:val="00461386"/>
    <w:rsid w:val="00462D00"/>
    <w:rsid w:val="004712EB"/>
    <w:rsid w:val="00476425"/>
    <w:rsid w:val="0048088F"/>
    <w:rsid w:val="00480BB2"/>
    <w:rsid w:val="004818E1"/>
    <w:rsid w:val="00481A7E"/>
    <w:rsid w:val="0048427F"/>
    <w:rsid w:val="00495C9D"/>
    <w:rsid w:val="004B7492"/>
    <w:rsid w:val="004C2B30"/>
    <w:rsid w:val="004C52FC"/>
    <w:rsid w:val="004C7DB2"/>
    <w:rsid w:val="004D3BE1"/>
    <w:rsid w:val="004D3C8C"/>
    <w:rsid w:val="004D7C2F"/>
    <w:rsid w:val="004E47AA"/>
    <w:rsid w:val="004E4BD6"/>
    <w:rsid w:val="004F41D5"/>
    <w:rsid w:val="00502D3E"/>
    <w:rsid w:val="0051294F"/>
    <w:rsid w:val="00516463"/>
    <w:rsid w:val="00520FBE"/>
    <w:rsid w:val="0052152C"/>
    <w:rsid w:val="0054350A"/>
    <w:rsid w:val="005531E8"/>
    <w:rsid w:val="005674F9"/>
    <w:rsid w:val="00573ECD"/>
    <w:rsid w:val="00585766"/>
    <w:rsid w:val="005863ED"/>
    <w:rsid w:val="005864A4"/>
    <w:rsid w:val="005918B2"/>
    <w:rsid w:val="00591EB8"/>
    <w:rsid w:val="00597F85"/>
    <w:rsid w:val="005D19D9"/>
    <w:rsid w:val="005F5F7E"/>
    <w:rsid w:val="005F6B5B"/>
    <w:rsid w:val="005F7377"/>
    <w:rsid w:val="0061454F"/>
    <w:rsid w:val="0061712A"/>
    <w:rsid w:val="00624906"/>
    <w:rsid w:val="006368CC"/>
    <w:rsid w:val="00637591"/>
    <w:rsid w:val="00640611"/>
    <w:rsid w:val="00643904"/>
    <w:rsid w:val="00651CF2"/>
    <w:rsid w:val="006532D6"/>
    <w:rsid w:val="00654115"/>
    <w:rsid w:val="0065453B"/>
    <w:rsid w:val="00654C15"/>
    <w:rsid w:val="006551C4"/>
    <w:rsid w:val="00660080"/>
    <w:rsid w:val="0066285F"/>
    <w:rsid w:val="0066607A"/>
    <w:rsid w:val="00677703"/>
    <w:rsid w:val="006835C1"/>
    <w:rsid w:val="00690A3D"/>
    <w:rsid w:val="006A2AA3"/>
    <w:rsid w:val="006B5D02"/>
    <w:rsid w:val="006B6194"/>
    <w:rsid w:val="006B65B9"/>
    <w:rsid w:val="006C0C43"/>
    <w:rsid w:val="006C142B"/>
    <w:rsid w:val="006C28B1"/>
    <w:rsid w:val="006C4C0B"/>
    <w:rsid w:val="006C4F5E"/>
    <w:rsid w:val="006D67EB"/>
    <w:rsid w:val="006E3686"/>
    <w:rsid w:val="006F0183"/>
    <w:rsid w:val="00716A26"/>
    <w:rsid w:val="00740D35"/>
    <w:rsid w:val="00746675"/>
    <w:rsid w:val="00751FC5"/>
    <w:rsid w:val="00781DA4"/>
    <w:rsid w:val="007825CC"/>
    <w:rsid w:val="007856A2"/>
    <w:rsid w:val="0078669D"/>
    <w:rsid w:val="00786F00"/>
    <w:rsid w:val="00791FF2"/>
    <w:rsid w:val="0079281D"/>
    <w:rsid w:val="00794EA2"/>
    <w:rsid w:val="007A43CE"/>
    <w:rsid w:val="007B7B02"/>
    <w:rsid w:val="007C1FEF"/>
    <w:rsid w:val="007C46D3"/>
    <w:rsid w:val="007C74F5"/>
    <w:rsid w:val="007E36F4"/>
    <w:rsid w:val="007F45E6"/>
    <w:rsid w:val="007F66F9"/>
    <w:rsid w:val="0080292B"/>
    <w:rsid w:val="008034BE"/>
    <w:rsid w:val="008056C5"/>
    <w:rsid w:val="00805C23"/>
    <w:rsid w:val="00807113"/>
    <w:rsid w:val="00813ADA"/>
    <w:rsid w:val="00817DDA"/>
    <w:rsid w:val="00821011"/>
    <w:rsid w:val="008258DA"/>
    <w:rsid w:val="00827AE5"/>
    <w:rsid w:val="00836B9F"/>
    <w:rsid w:val="00847243"/>
    <w:rsid w:val="008642E1"/>
    <w:rsid w:val="00875A7C"/>
    <w:rsid w:val="00877383"/>
    <w:rsid w:val="00880686"/>
    <w:rsid w:val="008836F4"/>
    <w:rsid w:val="008860C1"/>
    <w:rsid w:val="008909D4"/>
    <w:rsid w:val="008942FA"/>
    <w:rsid w:val="00897A68"/>
    <w:rsid w:val="008B52A0"/>
    <w:rsid w:val="008B5DD7"/>
    <w:rsid w:val="008D4D55"/>
    <w:rsid w:val="008E063A"/>
    <w:rsid w:val="008F3D47"/>
    <w:rsid w:val="008F41A6"/>
    <w:rsid w:val="009108ED"/>
    <w:rsid w:val="00915CDA"/>
    <w:rsid w:val="00925394"/>
    <w:rsid w:val="0092540D"/>
    <w:rsid w:val="00925758"/>
    <w:rsid w:val="009268A3"/>
    <w:rsid w:val="009304B9"/>
    <w:rsid w:val="0094204C"/>
    <w:rsid w:val="00952FA6"/>
    <w:rsid w:val="00963DD8"/>
    <w:rsid w:val="00981D62"/>
    <w:rsid w:val="009A2F4E"/>
    <w:rsid w:val="009A616E"/>
    <w:rsid w:val="009A69F0"/>
    <w:rsid w:val="009C0BE9"/>
    <w:rsid w:val="009C1092"/>
    <w:rsid w:val="009D4970"/>
    <w:rsid w:val="009D7D4C"/>
    <w:rsid w:val="009E2519"/>
    <w:rsid w:val="009F2769"/>
    <w:rsid w:val="009F2F27"/>
    <w:rsid w:val="009F71F8"/>
    <w:rsid w:val="00A03C1A"/>
    <w:rsid w:val="00A11155"/>
    <w:rsid w:val="00A14B89"/>
    <w:rsid w:val="00A201E2"/>
    <w:rsid w:val="00A21E6E"/>
    <w:rsid w:val="00A279B7"/>
    <w:rsid w:val="00A316A8"/>
    <w:rsid w:val="00A341DF"/>
    <w:rsid w:val="00A36DEE"/>
    <w:rsid w:val="00A51345"/>
    <w:rsid w:val="00A54831"/>
    <w:rsid w:val="00A6078F"/>
    <w:rsid w:val="00A62968"/>
    <w:rsid w:val="00A63ACE"/>
    <w:rsid w:val="00A64271"/>
    <w:rsid w:val="00A8476F"/>
    <w:rsid w:val="00AC0386"/>
    <w:rsid w:val="00AC62F8"/>
    <w:rsid w:val="00AD4FA7"/>
    <w:rsid w:val="00AE4AD2"/>
    <w:rsid w:val="00AE5F43"/>
    <w:rsid w:val="00AF1271"/>
    <w:rsid w:val="00AF6A23"/>
    <w:rsid w:val="00B11F28"/>
    <w:rsid w:val="00B27095"/>
    <w:rsid w:val="00B31728"/>
    <w:rsid w:val="00B34F9E"/>
    <w:rsid w:val="00B42C55"/>
    <w:rsid w:val="00B44B23"/>
    <w:rsid w:val="00B4625A"/>
    <w:rsid w:val="00B608D5"/>
    <w:rsid w:val="00B61D81"/>
    <w:rsid w:val="00B62D15"/>
    <w:rsid w:val="00B700A5"/>
    <w:rsid w:val="00B71307"/>
    <w:rsid w:val="00B75DD0"/>
    <w:rsid w:val="00B764F8"/>
    <w:rsid w:val="00B81607"/>
    <w:rsid w:val="00B8227E"/>
    <w:rsid w:val="00B90F20"/>
    <w:rsid w:val="00B91F1E"/>
    <w:rsid w:val="00BA3246"/>
    <w:rsid w:val="00BA411F"/>
    <w:rsid w:val="00BA527A"/>
    <w:rsid w:val="00BB272C"/>
    <w:rsid w:val="00BB28CF"/>
    <w:rsid w:val="00BB4ABC"/>
    <w:rsid w:val="00BB4C9F"/>
    <w:rsid w:val="00BB5574"/>
    <w:rsid w:val="00BC12BF"/>
    <w:rsid w:val="00BC5FF1"/>
    <w:rsid w:val="00BC6C11"/>
    <w:rsid w:val="00BD2C4F"/>
    <w:rsid w:val="00BD3EF3"/>
    <w:rsid w:val="00BE51FF"/>
    <w:rsid w:val="00BE58DB"/>
    <w:rsid w:val="00BF3561"/>
    <w:rsid w:val="00BF556C"/>
    <w:rsid w:val="00C05015"/>
    <w:rsid w:val="00C05EFD"/>
    <w:rsid w:val="00C1279D"/>
    <w:rsid w:val="00C22083"/>
    <w:rsid w:val="00C32DEA"/>
    <w:rsid w:val="00C370E2"/>
    <w:rsid w:val="00C37B7B"/>
    <w:rsid w:val="00C45053"/>
    <w:rsid w:val="00C50A91"/>
    <w:rsid w:val="00C52D74"/>
    <w:rsid w:val="00C5365F"/>
    <w:rsid w:val="00C56C48"/>
    <w:rsid w:val="00C616FD"/>
    <w:rsid w:val="00C63B58"/>
    <w:rsid w:val="00C7001F"/>
    <w:rsid w:val="00C71F16"/>
    <w:rsid w:val="00C77723"/>
    <w:rsid w:val="00C800A9"/>
    <w:rsid w:val="00C80222"/>
    <w:rsid w:val="00C86826"/>
    <w:rsid w:val="00C86D2C"/>
    <w:rsid w:val="00C90C76"/>
    <w:rsid w:val="00CA10D7"/>
    <w:rsid w:val="00CB09E0"/>
    <w:rsid w:val="00CC0679"/>
    <w:rsid w:val="00CC66AD"/>
    <w:rsid w:val="00CC69E8"/>
    <w:rsid w:val="00CC6AF3"/>
    <w:rsid w:val="00CD2613"/>
    <w:rsid w:val="00CE06A2"/>
    <w:rsid w:val="00CE118B"/>
    <w:rsid w:val="00CF0112"/>
    <w:rsid w:val="00CF34BC"/>
    <w:rsid w:val="00D07030"/>
    <w:rsid w:val="00D23E74"/>
    <w:rsid w:val="00D31DDA"/>
    <w:rsid w:val="00D35C00"/>
    <w:rsid w:val="00D44D7D"/>
    <w:rsid w:val="00D50759"/>
    <w:rsid w:val="00D52978"/>
    <w:rsid w:val="00D57E53"/>
    <w:rsid w:val="00D60F74"/>
    <w:rsid w:val="00D632DC"/>
    <w:rsid w:val="00D708C3"/>
    <w:rsid w:val="00D72CCC"/>
    <w:rsid w:val="00D73E22"/>
    <w:rsid w:val="00D9642E"/>
    <w:rsid w:val="00DA5E37"/>
    <w:rsid w:val="00DA7FA2"/>
    <w:rsid w:val="00DB041B"/>
    <w:rsid w:val="00DB17B2"/>
    <w:rsid w:val="00DC0672"/>
    <w:rsid w:val="00DC5CEE"/>
    <w:rsid w:val="00DD42DB"/>
    <w:rsid w:val="00DF5973"/>
    <w:rsid w:val="00DF738A"/>
    <w:rsid w:val="00DF7501"/>
    <w:rsid w:val="00E12A67"/>
    <w:rsid w:val="00E12E4F"/>
    <w:rsid w:val="00E13C55"/>
    <w:rsid w:val="00E14C90"/>
    <w:rsid w:val="00E16205"/>
    <w:rsid w:val="00E254D9"/>
    <w:rsid w:val="00E25ACC"/>
    <w:rsid w:val="00E40CAD"/>
    <w:rsid w:val="00E47A53"/>
    <w:rsid w:val="00E501C6"/>
    <w:rsid w:val="00E55AD1"/>
    <w:rsid w:val="00E642B3"/>
    <w:rsid w:val="00E66EBA"/>
    <w:rsid w:val="00E7049B"/>
    <w:rsid w:val="00E727F2"/>
    <w:rsid w:val="00E73A43"/>
    <w:rsid w:val="00E749F1"/>
    <w:rsid w:val="00E87116"/>
    <w:rsid w:val="00E90F22"/>
    <w:rsid w:val="00E96021"/>
    <w:rsid w:val="00E97968"/>
    <w:rsid w:val="00EA7AFE"/>
    <w:rsid w:val="00EB3C20"/>
    <w:rsid w:val="00EC0B9E"/>
    <w:rsid w:val="00EC1EB5"/>
    <w:rsid w:val="00EC6B80"/>
    <w:rsid w:val="00EC765B"/>
    <w:rsid w:val="00ED0C45"/>
    <w:rsid w:val="00ED4142"/>
    <w:rsid w:val="00EF15CD"/>
    <w:rsid w:val="00EF6A00"/>
    <w:rsid w:val="00EF6E21"/>
    <w:rsid w:val="00F0239E"/>
    <w:rsid w:val="00F0775C"/>
    <w:rsid w:val="00F07EFD"/>
    <w:rsid w:val="00F1164D"/>
    <w:rsid w:val="00F1200D"/>
    <w:rsid w:val="00F1316B"/>
    <w:rsid w:val="00F154DF"/>
    <w:rsid w:val="00F17C08"/>
    <w:rsid w:val="00F27D5C"/>
    <w:rsid w:val="00F340B8"/>
    <w:rsid w:val="00F341CB"/>
    <w:rsid w:val="00F37373"/>
    <w:rsid w:val="00F43F29"/>
    <w:rsid w:val="00F509AE"/>
    <w:rsid w:val="00F55212"/>
    <w:rsid w:val="00F60941"/>
    <w:rsid w:val="00F60C52"/>
    <w:rsid w:val="00F60FAC"/>
    <w:rsid w:val="00F67B60"/>
    <w:rsid w:val="00F7110B"/>
    <w:rsid w:val="00F81080"/>
    <w:rsid w:val="00F8191D"/>
    <w:rsid w:val="00F86156"/>
    <w:rsid w:val="00F920EB"/>
    <w:rsid w:val="00F938A3"/>
    <w:rsid w:val="00F94D4D"/>
    <w:rsid w:val="00F95896"/>
    <w:rsid w:val="00FA24D1"/>
    <w:rsid w:val="00FA7DDB"/>
    <w:rsid w:val="00FB0E89"/>
    <w:rsid w:val="00FB231A"/>
    <w:rsid w:val="00FB2E03"/>
    <w:rsid w:val="00FB4AA9"/>
    <w:rsid w:val="00FC1435"/>
    <w:rsid w:val="00FC45CA"/>
    <w:rsid w:val="00FC49AB"/>
    <w:rsid w:val="00FC7F0C"/>
    <w:rsid w:val="00FD4866"/>
    <w:rsid w:val="00FE084D"/>
    <w:rsid w:val="00FF050B"/>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 FOR COMPLETIONS'!$K$6</c:f>
              <c:strCache>
                <c:ptCount val="1"/>
                <c:pt idx="0">
                  <c:v>0573 - Engineering – University Parallel</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COMPLETIONS'!$E$6:$J$6</c:f>
              <c:numCache>
                <c:formatCode>#,##0</c:formatCode>
                <c:ptCount val="6"/>
                <c:pt idx="0">
                  <c:v>23</c:v>
                </c:pt>
                <c:pt idx="1">
                  <c:v>24</c:v>
                </c:pt>
                <c:pt idx="2">
                  <c:v>27</c:v>
                </c:pt>
                <c:pt idx="3">
                  <c:v>22</c:v>
                </c:pt>
                <c:pt idx="4" formatCode="General">
                  <c:v>37</c:v>
                </c:pt>
                <c:pt idx="5" formatCode="General">
                  <c:v>53</c:v>
                </c:pt>
              </c:numCache>
            </c:numRef>
          </c:val>
        </c:ser>
        <c:ser>
          <c:idx val="1"/>
          <c:order val="1"/>
          <c:tx>
            <c:strRef>
              <c:f>'CHART FOR COMPLETIONS'!$K$7</c:f>
              <c:strCache>
                <c:ptCount val="1"/>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COMPLETIONS'!$E$7:$I$7</c:f>
              <c:numCache>
                <c:formatCode>General</c:formatCode>
                <c:ptCount val="5"/>
              </c:numCache>
            </c:numRef>
          </c:val>
        </c:ser>
        <c:dLbls>
          <c:showLegendKey val="0"/>
          <c:showVal val="0"/>
          <c:showCatName val="0"/>
          <c:showSerName val="0"/>
          <c:showPercent val="0"/>
          <c:showBubbleSize val="0"/>
        </c:dLbls>
        <c:gapWidth val="150"/>
        <c:axId val="121271808"/>
        <c:axId val="121273344"/>
      </c:barChart>
      <c:catAx>
        <c:axId val="121271808"/>
        <c:scaling>
          <c:orientation val="minMax"/>
        </c:scaling>
        <c:delete val="0"/>
        <c:axPos val="b"/>
        <c:majorTickMark val="out"/>
        <c:minorTickMark val="none"/>
        <c:tickLblPos val="nextTo"/>
        <c:crossAx val="121273344"/>
        <c:crosses val="autoZero"/>
        <c:auto val="1"/>
        <c:lblAlgn val="ctr"/>
        <c:lblOffset val="100"/>
        <c:noMultiLvlLbl val="0"/>
      </c:catAx>
      <c:valAx>
        <c:axId val="121273344"/>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121271808"/>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88079-B943-460F-96C5-BA325AF9F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9843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larraine.kapka</cp:lastModifiedBy>
  <cp:revision>4</cp:revision>
  <cp:lastPrinted>2012-09-18T13:09:00Z</cp:lastPrinted>
  <dcterms:created xsi:type="dcterms:W3CDTF">2013-08-08T16:48:00Z</dcterms:created>
  <dcterms:modified xsi:type="dcterms:W3CDTF">2013-08-27T13:23:00Z</dcterms:modified>
</cp:coreProperties>
</file>