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F0775C">
        <w:rPr>
          <w:rFonts w:ascii="Arial" w:hAnsi="Arial" w:cs="Arial"/>
          <w:color w:val="000000" w:themeColor="text1"/>
          <w:u w:val="single"/>
        </w:rPr>
        <w:t>0573 – Engineering – University Parallel</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C50A91">
        <w:rPr>
          <w:rFonts w:ascii="Arial" w:hAnsi="Arial" w:cs="Arial"/>
          <w:color w:val="000000" w:themeColor="text1"/>
        </w:rPr>
        <w:t>8</w:t>
      </w:r>
      <w:r>
        <w:rPr>
          <w:rFonts w:ascii="Arial" w:hAnsi="Arial" w:cs="Arial"/>
          <w:color w:val="000000" w:themeColor="text1"/>
        </w:rPr>
        <w:t>-</w:t>
      </w:r>
      <w:r w:rsidR="00637591">
        <w:rPr>
          <w:rFonts w:ascii="Arial" w:hAnsi="Arial" w:cs="Arial"/>
          <w:color w:val="000000" w:themeColor="text1"/>
        </w:rPr>
        <w:t>0</w:t>
      </w:r>
      <w:r w:rsidR="00C50A91">
        <w:rPr>
          <w:rFonts w:ascii="Arial" w:hAnsi="Arial" w:cs="Arial"/>
          <w:color w:val="000000" w:themeColor="text1"/>
        </w:rPr>
        <w:t>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C50A91">
        <w:rPr>
          <w:rFonts w:ascii="Arial" w:hAnsi="Arial" w:cs="Arial"/>
          <w:color w:val="000000" w:themeColor="text1"/>
        </w:rPr>
        <w:t>5</w:t>
      </w:r>
      <w:r>
        <w:rPr>
          <w:rFonts w:ascii="Arial" w:hAnsi="Arial" w:cs="Arial"/>
          <w:color w:val="000000" w:themeColor="text1"/>
        </w:rPr>
        <w:t>-201</w:t>
      </w:r>
      <w:r w:rsidR="00C50A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637591" w:rsidP="00585766">
      <w:pPr>
        <w:rPr>
          <w:rFonts w:ascii="Arial" w:hAnsi="Arial" w:cs="Arial"/>
          <w:noProof/>
          <w:color w:val="000000" w:themeColor="text1"/>
        </w:rPr>
      </w:pPr>
    </w:p>
    <w:p w:rsidR="00637591" w:rsidRDefault="00813ADA" w:rsidP="00585766">
      <w:pPr>
        <w:rPr>
          <w:rFonts w:ascii="Arial" w:hAnsi="Arial" w:cs="Arial"/>
          <w:color w:val="000000" w:themeColor="text1"/>
        </w:rPr>
      </w:pPr>
      <w:r>
        <w:rPr>
          <w:noProof/>
        </w:rPr>
        <w:drawing>
          <wp:inline distT="0" distB="0" distL="0" distR="0" wp14:anchorId="5B064222" wp14:editId="6E48AF8F">
            <wp:extent cx="573405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lastRenderedPageBreak/>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3C2993" w:rsidRDefault="003C2993">
      <w:pPr>
        <w:spacing w:after="200" w:line="276" w:lineRule="auto"/>
        <w:rPr>
          <w:rFonts w:ascii="Arial" w:hAnsi="Arial" w:cs="Arial"/>
          <w:b/>
          <w:color w:val="000000" w:themeColor="text1"/>
        </w:rPr>
      </w:pPr>
      <w:r>
        <w:rPr>
          <w:rFonts w:ascii="Arial" w:hAnsi="Arial" w:cs="Arial"/>
          <w:b/>
          <w:color w:val="000000" w:themeColor="text1"/>
        </w:rPr>
        <w:t>Per the DAWN Portal, the number of graduates in FY 10-11 was 30, not 21.  For 11-12, it was 31.</w:t>
      </w:r>
      <w:r w:rsidR="00F1316B">
        <w:rPr>
          <w:rFonts w:ascii="Arial" w:hAnsi="Arial" w:cs="Arial"/>
          <w:b/>
          <w:color w:val="000000" w:themeColor="text1"/>
        </w:rPr>
        <w:t xml:space="preserve">  The above chart has been updated with this information. </w:t>
      </w:r>
    </w:p>
    <w:p w:rsidR="003C2993" w:rsidRDefault="003C2993">
      <w:pPr>
        <w:spacing w:after="200" w:line="276" w:lineRule="auto"/>
        <w:rPr>
          <w:rFonts w:ascii="Arial" w:hAnsi="Arial" w:cs="Arial"/>
          <w:color w:val="000000" w:themeColor="text1"/>
        </w:rPr>
      </w:pPr>
      <w:r>
        <w:rPr>
          <w:rFonts w:ascii="Arial" w:hAnsi="Arial" w:cs="Arial"/>
          <w:color w:val="000000" w:themeColor="text1"/>
        </w:rPr>
        <w:t>Graduation rates are slowly climbing.  This can be attributed to changes in the program in the recent past to reduce excess credits that would not transfer to partner institutions.  Additionally, better communication with these students helps keep them on-track to graduate.</w:t>
      </w:r>
    </w:p>
    <w:p w:rsidR="006C0C43" w:rsidRDefault="006C0C43">
      <w:pPr>
        <w:spacing w:after="200" w:line="276" w:lineRule="auto"/>
        <w:rPr>
          <w:rFonts w:ascii="Arial" w:hAnsi="Arial" w:cs="Arial"/>
          <w:color w:val="000000" w:themeColor="text1"/>
        </w:rPr>
      </w:pPr>
    </w:p>
    <w:p w:rsidR="006C0C43" w:rsidRDefault="006C0C43">
      <w:pPr>
        <w:spacing w:after="200" w:line="276" w:lineRule="auto"/>
        <w:rPr>
          <w:rFonts w:ascii="Arial" w:hAnsi="Arial" w:cs="Arial"/>
          <w:color w:val="000000" w:themeColor="text1"/>
        </w:rPr>
      </w:pPr>
      <w:r>
        <w:rPr>
          <w:noProof/>
        </w:rPr>
        <w:drawing>
          <wp:inline distT="0" distB="0" distL="0" distR="0" wp14:anchorId="69D77A70" wp14:editId="13CC6734">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C0C43" w:rsidRDefault="006C0C43">
      <w:pPr>
        <w:spacing w:after="200" w:line="276" w:lineRule="auto"/>
        <w:rPr>
          <w:rFonts w:ascii="Arial" w:hAnsi="Arial" w:cs="Arial"/>
          <w:color w:val="000000" w:themeColor="text1"/>
        </w:rPr>
      </w:pPr>
      <w:r>
        <w:rPr>
          <w:noProof/>
        </w:rPr>
        <w:lastRenderedPageBreak/>
        <w:drawing>
          <wp:inline distT="0" distB="0" distL="0" distR="0" wp14:anchorId="676BA10A" wp14:editId="5AC3FC4A">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0C43" w:rsidRDefault="006C0C43">
      <w:pPr>
        <w:spacing w:after="200" w:line="276" w:lineRule="auto"/>
        <w:rPr>
          <w:rFonts w:ascii="Arial" w:hAnsi="Arial" w:cs="Arial"/>
          <w:color w:val="000000" w:themeColor="text1"/>
        </w:rPr>
      </w:pPr>
    </w:p>
    <w:p w:rsidR="00F1316B" w:rsidRPr="003C2993" w:rsidRDefault="006C0C43">
      <w:pPr>
        <w:spacing w:after="200" w:line="276" w:lineRule="auto"/>
        <w:rPr>
          <w:rFonts w:ascii="Arial" w:hAnsi="Arial" w:cs="Arial"/>
          <w:color w:val="000000" w:themeColor="text1"/>
        </w:rPr>
      </w:pPr>
      <w:r>
        <w:rPr>
          <w:rFonts w:ascii="Arial" w:hAnsi="Arial" w:cs="Arial"/>
          <w:color w:val="000000" w:themeColor="text1"/>
        </w:rPr>
        <w:t xml:space="preserve">A further look at the demographics of the program indicates that the percentage of women has climbed somewhat </w:t>
      </w:r>
      <w:r w:rsidR="00502D3E">
        <w:rPr>
          <w:rFonts w:ascii="Arial" w:hAnsi="Arial" w:cs="Arial"/>
          <w:color w:val="000000" w:themeColor="text1"/>
        </w:rPr>
        <w:t xml:space="preserve">over the past 5 years, averaging 14% but 16% for this past year.  </w:t>
      </w:r>
      <w:r w:rsidR="00502D3E">
        <w:rPr>
          <w:rFonts w:ascii="Arial" w:hAnsi="Arial" w:cs="Arial"/>
          <w:color w:val="000000" w:themeColor="text1"/>
        </w:rPr>
        <w:br/>
        <w:t xml:space="preserve">Minority participation has been averaging around 19% but dropped to 17% in 2011-12.  </w:t>
      </w:r>
    </w:p>
    <w:p w:rsidR="004C52FC" w:rsidRDefault="004C52FC">
      <w:pPr>
        <w:spacing w:after="200" w:line="276" w:lineRule="auto"/>
        <w:rPr>
          <w:rFonts w:ascii="Arial" w:hAnsi="Arial" w:cs="Arial"/>
          <w:b/>
          <w:color w:val="000000" w:themeColor="text1"/>
        </w:rPr>
      </w:pP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637591" w:rsidP="00585766">
      <w:pPr>
        <w:rPr>
          <w:rFonts w:ascii="Arial" w:hAnsi="Arial" w:cs="Arial"/>
          <w:color w:val="000000" w:themeColor="text1"/>
        </w:rPr>
      </w:pPr>
    </w:p>
    <w:p w:rsidR="00C50A91" w:rsidRPr="00F0775C" w:rsidRDefault="00F0775C" w:rsidP="00585766">
      <w:pPr>
        <w:rPr>
          <w:rFonts w:ascii="Arial" w:hAnsi="Arial" w:cs="Arial"/>
          <w:b/>
          <w:color w:val="000000" w:themeColor="text1"/>
        </w:rPr>
      </w:pPr>
      <w:r w:rsidRPr="00F0775C">
        <w:rPr>
          <w:rFonts w:ascii="Arial" w:hAnsi="Arial" w:cs="Arial"/>
          <w:b/>
          <w:color w:val="000000" w:themeColor="text1"/>
        </w:rPr>
        <w:t>NOT APPLICABLE</w:t>
      </w: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01394F" w:rsidRDefault="0001394F">
      <w:pPr>
        <w:spacing w:after="200" w:line="276" w:lineRule="auto"/>
        <w:rPr>
          <w:rFonts w:ascii="Arial" w:hAnsi="Arial" w:cs="Arial"/>
          <w:b/>
          <w:color w:val="000000" w:themeColor="text1"/>
          <w:u w:val="single"/>
        </w:rPr>
      </w:pPr>
      <w:r>
        <w:rPr>
          <w:rFonts w:ascii="Arial" w:hAnsi="Arial" w:cs="Arial"/>
          <w:b/>
          <w:color w:val="000000" w:themeColor="text1"/>
          <w:u w:val="single"/>
        </w:rPr>
        <w:br w:type="page"/>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ook w:val="04A0" w:firstRow="1" w:lastRow="0" w:firstColumn="1" w:lastColumn="0" w:noHBand="0" w:noVBand="1"/>
      </w:tblPr>
      <w:tblGrid>
        <w:gridCol w:w="3951"/>
        <w:gridCol w:w="2647"/>
        <w:gridCol w:w="6632"/>
      </w:tblGrid>
      <w:tr w:rsidR="004C52FC" w:rsidTr="00225B53">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201E2" w:rsidTr="00225B53">
        <w:trPr>
          <w:trHeight w:val="1399"/>
        </w:trPr>
        <w:tc>
          <w:tcPr>
            <w:tcW w:w="3951" w:type="dxa"/>
          </w:tcPr>
          <w:p w:rsidR="00F0775C" w:rsidRDefault="00F0775C" w:rsidP="00F0775C">
            <w:pPr>
              <w:tabs>
                <w:tab w:val="left" w:pos="1080"/>
              </w:tabs>
              <w:rPr>
                <w:rFonts w:ascii="Arial" w:hAnsi="Arial" w:cs="Arial"/>
              </w:rPr>
            </w:pPr>
            <w:r>
              <w:rPr>
                <w:rFonts w:ascii="Arial" w:hAnsi="Arial" w:cs="Arial"/>
              </w:rPr>
              <w:t>Explore adding global awareness to the courses/program.</w:t>
            </w:r>
          </w:p>
          <w:p w:rsidR="00A201E2" w:rsidRPr="0037786D" w:rsidRDefault="00A201E2" w:rsidP="00225B53">
            <w:pPr>
              <w:spacing w:line="276" w:lineRule="auto"/>
              <w:rPr>
                <w:rFonts w:ascii="Arial" w:hAnsi="Arial" w:cs="Arial"/>
                <w:color w:val="000000" w:themeColor="text1"/>
              </w:rPr>
            </w:pPr>
          </w:p>
        </w:tc>
        <w:tc>
          <w:tcPr>
            <w:tcW w:w="2647"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40CAD">
              <w:fldChar w:fldCharType="begin">
                <w:ffData>
                  <w:name w:val="Check1"/>
                  <w:enabled/>
                  <w:calcOnExit w:val="0"/>
                  <w:checkBox>
                    <w:sizeAuto/>
                    <w:default w:val="0"/>
                  </w:checkBox>
                </w:ffData>
              </w:fldChar>
            </w:r>
            <w:r>
              <w:instrText xml:space="preserve"> FORMCHECKBOX </w:instrText>
            </w:r>
            <w:r w:rsidR="00E40CAD">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40CAD">
              <w:fldChar w:fldCharType="begin">
                <w:ffData>
                  <w:name w:val="Check1"/>
                  <w:enabled/>
                  <w:calcOnExit w:val="0"/>
                  <w:checkBox>
                    <w:sizeAuto/>
                    <w:default w:val="0"/>
                  </w:checkBox>
                </w:ffData>
              </w:fldChar>
            </w:r>
            <w:r>
              <w:instrText xml:space="preserve"> FORMCHECKBOX </w:instrText>
            </w:r>
            <w:r w:rsidR="00E40CAD">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502D3E">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02D3E">
              <w:fldChar w:fldCharType="begin">
                <w:ffData>
                  <w:name w:val=""/>
                  <w:enabled/>
                  <w:calcOnExit w:val="0"/>
                  <w:checkBox>
                    <w:sizeAuto/>
                    <w:default w:val="1"/>
                  </w:checkBox>
                </w:ffData>
              </w:fldChar>
            </w:r>
            <w:r w:rsidR="00502D3E">
              <w:instrText xml:space="preserve"> FORMCHECKBOX </w:instrText>
            </w:r>
            <w:r w:rsidR="00502D3E">
              <w:fldChar w:fldCharType="end"/>
            </w:r>
          </w:p>
        </w:tc>
        <w:tc>
          <w:tcPr>
            <w:tcW w:w="6632" w:type="dxa"/>
          </w:tcPr>
          <w:p w:rsidR="00A201E2" w:rsidRPr="0037786D" w:rsidRDefault="00502D3E" w:rsidP="00502D3E">
            <w:pPr>
              <w:pStyle w:val="ListParagraph"/>
              <w:ind w:left="0"/>
              <w:rPr>
                <w:rFonts w:ascii="Arial" w:hAnsi="Arial" w:cs="Arial"/>
                <w:color w:val="000000" w:themeColor="text1"/>
              </w:rPr>
            </w:pPr>
            <w:r>
              <w:rPr>
                <w:rFonts w:ascii="Arial" w:hAnsi="Arial" w:cs="Arial"/>
                <w:color w:val="000000" w:themeColor="text1"/>
              </w:rPr>
              <w:t xml:space="preserve">Affects transfer.  Students are allowed to take any OTM courses and then follow specific guidelines from their receiving institution.  </w:t>
            </w:r>
          </w:p>
        </w:tc>
      </w:tr>
      <w:tr w:rsidR="00A201E2" w:rsidTr="00225B53">
        <w:trPr>
          <w:trHeight w:val="1399"/>
        </w:trPr>
        <w:tc>
          <w:tcPr>
            <w:tcW w:w="3951" w:type="dxa"/>
          </w:tcPr>
          <w:p w:rsidR="00F0775C" w:rsidRDefault="00F0775C" w:rsidP="00F0775C">
            <w:pPr>
              <w:tabs>
                <w:tab w:val="left" w:pos="1080"/>
              </w:tabs>
              <w:rPr>
                <w:rFonts w:ascii="Arial" w:hAnsi="Arial" w:cs="Arial"/>
              </w:rPr>
            </w:pPr>
            <w:r>
              <w:rPr>
                <w:rFonts w:ascii="Arial" w:hAnsi="Arial" w:cs="Arial"/>
              </w:rPr>
              <w:t>Online courses.</w:t>
            </w:r>
          </w:p>
          <w:p w:rsidR="00A201E2" w:rsidRPr="0037786D" w:rsidRDefault="00A201E2" w:rsidP="00F0775C">
            <w:pPr>
              <w:tabs>
                <w:tab w:val="left" w:pos="1170"/>
              </w:tabs>
              <w:spacing w:line="276" w:lineRule="auto"/>
              <w:rPr>
                <w:rFonts w:ascii="Arial" w:hAnsi="Arial" w:cs="Arial"/>
                <w:color w:val="000000" w:themeColor="text1"/>
              </w:rPr>
            </w:pPr>
          </w:p>
        </w:tc>
        <w:tc>
          <w:tcPr>
            <w:tcW w:w="2647"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40CAD">
              <w:fldChar w:fldCharType="begin">
                <w:ffData>
                  <w:name w:val="Check1"/>
                  <w:enabled/>
                  <w:calcOnExit w:val="0"/>
                  <w:checkBox>
                    <w:sizeAuto/>
                    <w:default w:val="0"/>
                  </w:checkBox>
                </w:ffData>
              </w:fldChar>
            </w:r>
            <w:r>
              <w:instrText xml:space="preserve"> FORMCHECKBOX </w:instrText>
            </w:r>
            <w:r w:rsidR="00E40CAD">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02D3E">
              <w:fldChar w:fldCharType="begin">
                <w:ffData>
                  <w:name w:val=""/>
                  <w:enabled/>
                  <w:calcOnExit w:val="0"/>
                  <w:checkBox>
                    <w:sizeAuto/>
                    <w:default w:val="1"/>
                  </w:checkBox>
                </w:ffData>
              </w:fldChar>
            </w:r>
            <w:r w:rsidR="00502D3E">
              <w:instrText xml:space="preserve"> FORMCHECKBOX </w:instrText>
            </w:r>
            <w:r w:rsidR="00502D3E">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instrText xml:space="preserve"> FORMCHECKBOX </w:instrText>
            </w:r>
            <w:r w:rsidR="00E40CAD">
              <w:fldChar w:fldCharType="end"/>
            </w:r>
          </w:p>
        </w:tc>
        <w:tc>
          <w:tcPr>
            <w:tcW w:w="6632" w:type="dxa"/>
          </w:tcPr>
          <w:p w:rsidR="00A201E2" w:rsidRPr="0037786D" w:rsidRDefault="00502D3E" w:rsidP="00637591">
            <w:pPr>
              <w:pStyle w:val="ListParagraph"/>
              <w:ind w:left="0"/>
              <w:rPr>
                <w:rFonts w:ascii="Arial" w:hAnsi="Arial" w:cs="Arial"/>
                <w:color w:val="000000" w:themeColor="text1"/>
              </w:rPr>
            </w:pPr>
            <w:r>
              <w:rPr>
                <w:rFonts w:ascii="Arial" w:hAnsi="Arial" w:cs="Arial"/>
                <w:color w:val="000000" w:themeColor="text1"/>
              </w:rPr>
              <w:t>Some general education courses are available on-line.  No plans to make the core engineering courses on-line.</w:t>
            </w:r>
          </w:p>
        </w:tc>
      </w:tr>
      <w:tr w:rsidR="00A201E2" w:rsidTr="00225B53">
        <w:trPr>
          <w:trHeight w:val="1101"/>
        </w:trPr>
        <w:tc>
          <w:tcPr>
            <w:tcW w:w="3951" w:type="dxa"/>
          </w:tcPr>
          <w:p w:rsidR="00F0775C" w:rsidRPr="00941D9C" w:rsidRDefault="00F0775C" w:rsidP="00F0775C">
            <w:pPr>
              <w:tabs>
                <w:tab w:val="left" w:pos="1080"/>
              </w:tabs>
              <w:rPr>
                <w:rFonts w:ascii="Arial" w:hAnsi="Arial" w:cs="Arial"/>
              </w:rPr>
            </w:pPr>
            <w:r>
              <w:rPr>
                <w:rFonts w:ascii="Arial" w:hAnsi="Arial" w:cs="Arial"/>
              </w:rPr>
              <w:t>New calculus based Thermodynamics course as suggested by most universities.</w:t>
            </w:r>
          </w:p>
          <w:p w:rsidR="00A201E2" w:rsidRPr="0037786D" w:rsidRDefault="00A201E2" w:rsidP="00225B53">
            <w:pPr>
              <w:spacing w:line="276" w:lineRule="auto"/>
              <w:rPr>
                <w:rFonts w:ascii="Arial" w:hAnsi="Arial" w:cs="Arial"/>
                <w:color w:val="000000" w:themeColor="text1"/>
              </w:rPr>
            </w:pPr>
          </w:p>
        </w:tc>
        <w:tc>
          <w:tcPr>
            <w:tcW w:w="2647"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F55212">
              <w:fldChar w:fldCharType="begin">
                <w:ffData>
                  <w:name w:val="Check1"/>
                  <w:enabled/>
                  <w:calcOnExit w:val="0"/>
                  <w:checkBox>
                    <w:sizeAuto/>
                    <w:default w:val="1"/>
                  </w:checkBox>
                </w:ffData>
              </w:fldChar>
            </w:r>
            <w:r w:rsidR="00F55212">
              <w:instrText xml:space="preserve"> FORMCHECKBOX </w:instrText>
            </w:r>
            <w:r w:rsidR="00F55212">
              <w:fldChar w:fldCharType="end"/>
            </w:r>
            <w:bookmarkEnd w:id="0"/>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40CAD">
              <w:fldChar w:fldCharType="begin">
                <w:ffData>
                  <w:name w:val="Check1"/>
                  <w:enabled/>
                  <w:calcOnExit w:val="0"/>
                  <w:checkBox>
                    <w:sizeAuto/>
                    <w:default w:val="0"/>
                  </w:checkBox>
                </w:ffData>
              </w:fldChar>
            </w:r>
            <w:r>
              <w:instrText xml:space="preserve"> FORMCHECKBOX </w:instrText>
            </w:r>
            <w:r w:rsidR="00E40CAD">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instrText xml:space="preserve"> FORMCHECKBOX </w:instrText>
            </w:r>
            <w:r w:rsidR="00E40CAD">
              <w:fldChar w:fldCharType="end"/>
            </w:r>
          </w:p>
        </w:tc>
        <w:tc>
          <w:tcPr>
            <w:tcW w:w="6632" w:type="dxa"/>
          </w:tcPr>
          <w:p w:rsidR="00A201E2" w:rsidRPr="0037786D" w:rsidRDefault="00F55212" w:rsidP="00637591">
            <w:pPr>
              <w:pStyle w:val="ListParagraph"/>
              <w:ind w:left="0"/>
              <w:rPr>
                <w:rFonts w:ascii="Arial" w:hAnsi="Arial" w:cs="Arial"/>
                <w:color w:val="000000" w:themeColor="text1"/>
              </w:rPr>
            </w:pPr>
            <w:r>
              <w:rPr>
                <w:rFonts w:ascii="Arial" w:hAnsi="Arial" w:cs="Arial"/>
                <w:color w:val="000000" w:themeColor="text1"/>
              </w:rPr>
              <w:t>First offering of new course Fall 2012.</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4C52FC" w:rsidRPr="0037786D" w:rsidTr="00D07030">
        <w:tc>
          <w:tcPr>
            <w:tcW w:w="3708" w:type="dxa"/>
          </w:tcPr>
          <w:p w:rsidR="00F0775C" w:rsidRPr="00F0775C" w:rsidRDefault="00F0775C" w:rsidP="00F0775C">
            <w:pPr>
              <w:spacing w:after="200" w:line="276" w:lineRule="auto"/>
              <w:rPr>
                <w:rFonts w:ascii="Arial" w:hAnsi="Arial" w:cs="Arial"/>
              </w:rPr>
            </w:pPr>
            <w:r w:rsidRPr="00F0775C">
              <w:rPr>
                <w:rFonts w:ascii="Arial" w:hAnsi="Arial" w:cs="Arial"/>
                <w:color w:val="000000"/>
              </w:rPr>
              <w:t xml:space="preserve">The program coordinator has done much to revitalize this degree program, but his efforts need to be formalized so that when responsibility for this program transfers to someone else at some future time the momentum that has developed in this program is not lost.  Due to the nature of the program, it is recommended that, like the current coordinator, any future coordinators have an engineering background.  The current coordinator has done a stellar job of overseeing this program, and that should not be lost at some point in the future when he hands his responsibilities over to someone else.  A formalized and well-documented transition process will need to be developed in anticipation of this.  The advisory committee may have some insights on how to </w:t>
            </w:r>
            <w:r w:rsidRPr="00F0775C">
              <w:rPr>
                <w:rFonts w:ascii="Arial" w:hAnsi="Arial" w:cs="Arial"/>
                <w:color w:val="000000"/>
              </w:rPr>
              <w:lastRenderedPageBreak/>
              <w:t>accomplish this.</w:t>
            </w:r>
          </w:p>
          <w:p w:rsidR="004C52FC" w:rsidRPr="00654C15" w:rsidRDefault="004C52FC" w:rsidP="003E791C">
            <w:pPr>
              <w:pStyle w:val="ListParagraph"/>
              <w:ind w:left="0"/>
              <w:rPr>
                <w:rFonts w:ascii="Arial" w:hAnsi="Arial" w:cs="Arial"/>
                <w:color w:val="000000" w:themeColor="text1"/>
              </w:rPr>
            </w:pPr>
          </w:p>
        </w:tc>
        <w:tc>
          <w:tcPr>
            <w:tcW w:w="2700" w:type="dxa"/>
          </w:tcPr>
          <w:p w:rsidR="00A201E2" w:rsidRDefault="00A201E2" w:rsidP="00637591">
            <w:pPr>
              <w:pStyle w:val="ListParagraph"/>
              <w:ind w:left="0"/>
              <w:rPr>
                <w:rFonts w:ascii="Arial" w:hAnsi="Arial" w:cs="Arial"/>
                <w:color w:val="000000" w:themeColor="text1"/>
              </w:rPr>
            </w:pPr>
          </w:p>
          <w:p w:rsidR="004C52FC" w:rsidRDefault="004C52FC" w:rsidP="00637591">
            <w:pPr>
              <w:pStyle w:val="ListParagraph"/>
              <w:ind w:left="0"/>
              <w:rPr>
                <w:rFonts w:ascii="Arial" w:hAnsi="Arial" w:cs="Arial"/>
                <w:color w:val="000000" w:themeColor="text1"/>
              </w:rPr>
            </w:pPr>
            <w:r>
              <w:rPr>
                <w:rFonts w:ascii="Arial" w:hAnsi="Arial" w:cs="Arial"/>
                <w:color w:val="000000" w:themeColor="text1"/>
              </w:rPr>
              <w:t>In progress</w:t>
            </w:r>
            <w:r w:rsidR="00A201E2">
              <w:rPr>
                <w:rFonts w:ascii="Arial" w:hAnsi="Arial" w:cs="Arial"/>
                <w:color w:val="000000" w:themeColor="text1"/>
              </w:rPr>
              <w:t xml:space="preserve"> </w:t>
            </w:r>
            <w:r w:rsidR="00E40CAD">
              <w:fldChar w:fldCharType="begin">
                <w:ffData>
                  <w:name w:val="Check1"/>
                  <w:enabled/>
                  <w:calcOnExit w:val="0"/>
                  <w:checkBox>
                    <w:sizeAuto/>
                    <w:default w:val="0"/>
                  </w:checkBox>
                </w:ffData>
              </w:fldChar>
            </w:r>
            <w:r w:rsidR="00A201E2">
              <w:instrText xml:space="preserve"> FORMCHECKBOX </w:instrText>
            </w:r>
            <w:r w:rsidR="00E40CAD">
              <w:fldChar w:fldCharType="end"/>
            </w:r>
          </w:p>
          <w:p w:rsidR="004C52FC" w:rsidRDefault="004C52FC" w:rsidP="00637591">
            <w:pPr>
              <w:pStyle w:val="ListParagraph"/>
              <w:ind w:left="0"/>
              <w:rPr>
                <w:rFonts w:ascii="Arial" w:hAnsi="Arial" w:cs="Arial"/>
                <w:color w:val="000000" w:themeColor="text1"/>
              </w:rPr>
            </w:pPr>
          </w:p>
          <w:p w:rsidR="004C52FC" w:rsidRDefault="004C52F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55212">
              <w:fldChar w:fldCharType="begin">
                <w:ffData>
                  <w:name w:val=""/>
                  <w:enabled/>
                  <w:calcOnExit w:val="0"/>
                  <w:checkBox>
                    <w:sizeAuto/>
                    <w:default w:val="1"/>
                  </w:checkBox>
                </w:ffData>
              </w:fldChar>
            </w:r>
            <w:r w:rsidR="00F55212">
              <w:instrText xml:space="preserve"> FORMCHECKBOX </w:instrText>
            </w:r>
            <w:r w:rsidR="00F55212">
              <w:fldChar w:fldCharType="end"/>
            </w:r>
          </w:p>
          <w:p w:rsidR="004C52FC" w:rsidRDefault="004C52FC" w:rsidP="00637591">
            <w:pPr>
              <w:pStyle w:val="ListParagraph"/>
              <w:ind w:left="0"/>
              <w:rPr>
                <w:rFonts w:ascii="Arial" w:hAnsi="Arial" w:cs="Arial"/>
                <w:color w:val="000000" w:themeColor="text1"/>
              </w:rPr>
            </w:pPr>
          </w:p>
          <w:p w:rsidR="004C52FC" w:rsidRPr="0037786D" w:rsidRDefault="004C52FC"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rsidR="00A201E2">
              <w:instrText xml:space="preserve"> FORMCHECKBOX </w:instrText>
            </w:r>
            <w:r w:rsidR="00E40CAD">
              <w:fldChar w:fldCharType="end"/>
            </w:r>
          </w:p>
        </w:tc>
        <w:tc>
          <w:tcPr>
            <w:tcW w:w="6480" w:type="dxa"/>
          </w:tcPr>
          <w:p w:rsidR="004C52FC" w:rsidRPr="0037786D" w:rsidRDefault="00F55212" w:rsidP="003E791C">
            <w:pPr>
              <w:pStyle w:val="ListParagraph"/>
              <w:ind w:left="0"/>
              <w:rPr>
                <w:rFonts w:ascii="Arial" w:hAnsi="Arial" w:cs="Arial"/>
                <w:color w:val="000000" w:themeColor="text1"/>
              </w:rPr>
            </w:pPr>
            <w:r>
              <w:rPr>
                <w:rFonts w:ascii="Arial" w:hAnsi="Arial" w:cs="Arial"/>
                <w:color w:val="000000" w:themeColor="text1"/>
              </w:rPr>
              <w:t>Program has transitioned to new coordinator.  Several new initiatives are under way to better serve students in the program (see later).</w:t>
            </w:r>
          </w:p>
        </w:tc>
      </w:tr>
      <w:tr w:rsidR="00A201E2" w:rsidRPr="0037786D" w:rsidTr="00D07030">
        <w:tc>
          <w:tcPr>
            <w:tcW w:w="3708" w:type="dxa"/>
          </w:tcPr>
          <w:p w:rsidR="00F0775C" w:rsidRPr="00F0775C" w:rsidRDefault="00F0775C" w:rsidP="00F0775C">
            <w:pPr>
              <w:spacing w:after="200" w:line="276" w:lineRule="auto"/>
              <w:rPr>
                <w:rFonts w:ascii="Arial" w:hAnsi="Arial" w:cs="Arial"/>
              </w:rPr>
            </w:pPr>
            <w:r w:rsidRPr="00F0775C">
              <w:rPr>
                <w:rFonts w:ascii="Arial" w:hAnsi="Arial" w:cs="Arial"/>
              </w:rPr>
              <w:lastRenderedPageBreak/>
              <w:t>The coordinator has developed a marketing plan, and it is recommended that the marketing plan be pursued as a way of attracting students to the program.</w:t>
            </w:r>
          </w:p>
          <w:p w:rsidR="00A201E2" w:rsidRPr="00654C15" w:rsidRDefault="00A201E2" w:rsidP="003E791C">
            <w:pPr>
              <w:pStyle w:val="ListParagraph"/>
              <w:ind w:left="0"/>
              <w:rPr>
                <w:rFonts w:ascii="Arial" w:hAnsi="Arial" w:cs="Arial"/>
                <w:color w:val="000000" w:themeColor="text1"/>
              </w:rPr>
            </w:pPr>
          </w:p>
        </w:tc>
        <w:tc>
          <w:tcPr>
            <w:tcW w:w="2700"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55212">
              <w:fldChar w:fldCharType="begin">
                <w:ffData>
                  <w:name w:val=""/>
                  <w:enabled/>
                  <w:calcOnExit w:val="0"/>
                  <w:checkBox>
                    <w:sizeAuto/>
                    <w:default w:val="1"/>
                  </w:checkBox>
                </w:ffData>
              </w:fldChar>
            </w:r>
            <w:r w:rsidR="00F55212">
              <w:instrText xml:space="preserve"> FORMCHECKBOX </w:instrText>
            </w:r>
            <w:r w:rsidR="00F55212">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40CAD">
              <w:fldChar w:fldCharType="begin">
                <w:ffData>
                  <w:name w:val="Check1"/>
                  <w:enabled/>
                  <w:calcOnExit w:val="0"/>
                  <w:checkBox>
                    <w:sizeAuto/>
                    <w:default w:val="0"/>
                  </w:checkBox>
                </w:ffData>
              </w:fldChar>
            </w:r>
            <w:r>
              <w:instrText xml:space="preserve"> FORMCHECKBOX </w:instrText>
            </w:r>
            <w:r w:rsidR="00E40CAD">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instrText xml:space="preserve"> FORMCHECKBOX </w:instrText>
            </w:r>
            <w:r w:rsidR="00E40CAD">
              <w:fldChar w:fldCharType="end"/>
            </w:r>
          </w:p>
        </w:tc>
        <w:tc>
          <w:tcPr>
            <w:tcW w:w="6480" w:type="dxa"/>
          </w:tcPr>
          <w:p w:rsidR="00A201E2" w:rsidRPr="0037786D" w:rsidRDefault="00F55212" w:rsidP="00637591">
            <w:pPr>
              <w:pStyle w:val="ListParagraph"/>
              <w:ind w:left="0"/>
              <w:rPr>
                <w:rFonts w:ascii="Arial" w:hAnsi="Arial" w:cs="Arial"/>
                <w:color w:val="000000" w:themeColor="text1"/>
              </w:rPr>
            </w:pPr>
            <w:r>
              <w:rPr>
                <w:rFonts w:ascii="Arial" w:hAnsi="Arial" w:cs="Arial"/>
                <w:color w:val="000000" w:themeColor="text1"/>
              </w:rPr>
              <w:t>Marketing materials available.  Working with marketing for a fall HS event.</w:t>
            </w:r>
          </w:p>
        </w:tc>
      </w:tr>
      <w:tr w:rsidR="00A201E2" w:rsidRPr="0037786D" w:rsidTr="00D07030">
        <w:tc>
          <w:tcPr>
            <w:tcW w:w="3708" w:type="dxa"/>
          </w:tcPr>
          <w:p w:rsidR="00F0775C" w:rsidRPr="00F0775C" w:rsidRDefault="00F0775C" w:rsidP="00F0775C">
            <w:pPr>
              <w:spacing w:after="200" w:line="276" w:lineRule="auto"/>
              <w:rPr>
                <w:rFonts w:ascii="Arial" w:hAnsi="Arial" w:cs="Arial"/>
              </w:rPr>
            </w:pPr>
            <w:r w:rsidRPr="00F0775C">
              <w:rPr>
                <w:rFonts w:ascii="Arial" w:hAnsi="Arial" w:cs="Arial"/>
              </w:rPr>
              <w:t>Strong relationships already exist with area universities, particularly with the University of Dayton.  It is recommended that the coordinator continue to maintain these relationships.</w:t>
            </w:r>
          </w:p>
          <w:p w:rsidR="00A201E2" w:rsidRPr="00654C15" w:rsidRDefault="00A201E2" w:rsidP="003E791C">
            <w:pPr>
              <w:pStyle w:val="ListParagraph"/>
              <w:ind w:left="0"/>
              <w:rPr>
                <w:rFonts w:ascii="Arial" w:hAnsi="Arial" w:cs="Arial"/>
                <w:color w:val="000000" w:themeColor="text1"/>
              </w:rPr>
            </w:pPr>
          </w:p>
        </w:tc>
        <w:tc>
          <w:tcPr>
            <w:tcW w:w="2700"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55212">
              <w:fldChar w:fldCharType="begin">
                <w:ffData>
                  <w:name w:val=""/>
                  <w:enabled/>
                  <w:calcOnExit w:val="0"/>
                  <w:checkBox>
                    <w:sizeAuto/>
                    <w:default w:val="1"/>
                  </w:checkBox>
                </w:ffData>
              </w:fldChar>
            </w:r>
            <w:r w:rsidR="00F55212">
              <w:instrText xml:space="preserve"> FORMCHECKBOX </w:instrText>
            </w:r>
            <w:r w:rsidR="00F55212">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40CAD">
              <w:fldChar w:fldCharType="begin">
                <w:ffData>
                  <w:name w:val="Check1"/>
                  <w:enabled/>
                  <w:calcOnExit w:val="0"/>
                  <w:checkBox>
                    <w:sizeAuto/>
                    <w:default w:val="0"/>
                  </w:checkBox>
                </w:ffData>
              </w:fldChar>
            </w:r>
            <w:r>
              <w:instrText xml:space="preserve"> FORMCHECKBOX </w:instrText>
            </w:r>
            <w:r w:rsidR="00E40CAD">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instrText xml:space="preserve"> FORMCHECKBOX </w:instrText>
            </w:r>
            <w:r w:rsidR="00E40CAD">
              <w:fldChar w:fldCharType="end"/>
            </w:r>
          </w:p>
        </w:tc>
        <w:tc>
          <w:tcPr>
            <w:tcW w:w="6480" w:type="dxa"/>
          </w:tcPr>
          <w:p w:rsidR="00A201E2" w:rsidRPr="0037786D" w:rsidRDefault="00F55212" w:rsidP="00637591">
            <w:pPr>
              <w:pStyle w:val="ListParagraph"/>
              <w:ind w:left="0"/>
              <w:rPr>
                <w:rFonts w:ascii="Arial" w:hAnsi="Arial" w:cs="Arial"/>
                <w:color w:val="000000" w:themeColor="text1"/>
              </w:rPr>
            </w:pPr>
            <w:r>
              <w:rPr>
                <w:rFonts w:ascii="Arial" w:hAnsi="Arial" w:cs="Arial"/>
                <w:color w:val="000000" w:themeColor="text1"/>
              </w:rPr>
              <w:t>Existing relationships continuing, working on developing articulation agreements with other schools where our students often transfer.</w:t>
            </w:r>
          </w:p>
        </w:tc>
      </w:tr>
      <w:tr w:rsidR="00A201E2" w:rsidRPr="0037786D" w:rsidTr="00D07030">
        <w:tc>
          <w:tcPr>
            <w:tcW w:w="3708" w:type="dxa"/>
          </w:tcPr>
          <w:p w:rsidR="00A201E2" w:rsidRPr="00654C15" w:rsidRDefault="00F0775C" w:rsidP="00FB2E03">
            <w:pPr>
              <w:spacing w:after="200" w:line="276" w:lineRule="auto"/>
              <w:rPr>
                <w:rFonts w:ascii="Arial" w:hAnsi="Arial" w:cs="Arial"/>
                <w:color w:val="000000" w:themeColor="text1"/>
              </w:rPr>
            </w:pPr>
            <w:r w:rsidRPr="00F0775C">
              <w:rPr>
                <w:rFonts w:ascii="Arial" w:hAnsi="Arial" w:cs="Arial"/>
              </w:rPr>
              <w:t xml:space="preserve">Much of the knowledge regarding this program is held by the coordinator and by a Senior Academic Advisor.  It is recommended that cross-training occur and documentation of policies and procedures be made, such that when other individuals transition into these positions there is continuity of policies and </w:t>
            </w:r>
            <w:r w:rsidRPr="00F0775C">
              <w:rPr>
                <w:rFonts w:ascii="Arial" w:hAnsi="Arial" w:cs="Arial"/>
              </w:rPr>
              <w:lastRenderedPageBreak/>
              <w:t>procedures.   There is a pressing need for clear documentation that will allow a variety of academic advisors to assist interested students.</w:t>
            </w:r>
          </w:p>
        </w:tc>
        <w:tc>
          <w:tcPr>
            <w:tcW w:w="2700"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55212">
              <w:fldChar w:fldCharType="begin">
                <w:ffData>
                  <w:name w:val=""/>
                  <w:enabled/>
                  <w:calcOnExit w:val="0"/>
                  <w:checkBox>
                    <w:sizeAuto/>
                    <w:default w:val="1"/>
                  </w:checkBox>
                </w:ffData>
              </w:fldChar>
            </w:r>
            <w:r w:rsidR="00F55212">
              <w:instrText xml:space="preserve"> FORMCHECKBOX </w:instrText>
            </w:r>
            <w:r w:rsidR="00F55212">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40CAD">
              <w:fldChar w:fldCharType="begin">
                <w:ffData>
                  <w:name w:val="Check1"/>
                  <w:enabled/>
                  <w:calcOnExit w:val="0"/>
                  <w:checkBox>
                    <w:sizeAuto/>
                    <w:default w:val="0"/>
                  </w:checkBox>
                </w:ffData>
              </w:fldChar>
            </w:r>
            <w:r>
              <w:instrText xml:space="preserve"> FORMCHECKBOX </w:instrText>
            </w:r>
            <w:r w:rsidR="00E40CAD">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instrText xml:space="preserve"> FORMCHECKBOX </w:instrText>
            </w:r>
            <w:r w:rsidR="00E40CAD">
              <w:fldChar w:fldCharType="end"/>
            </w:r>
          </w:p>
        </w:tc>
        <w:tc>
          <w:tcPr>
            <w:tcW w:w="6480" w:type="dxa"/>
          </w:tcPr>
          <w:p w:rsidR="00A201E2" w:rsidRDefault="00F55212" w:rsidP="00637591">
            <w:pPr>
              <w:pStyle w:val="ListParagraph"/>
              <w:ind w:left="0"/>
              <w:rPr>
                <w:rFonts w:ascii="Arial" w:hAnsi="Arial" w:cs="Arial"/>
                <w:color w:val="000000" w:themeColor="text1"/>
              </w:rPr>
            </w:pPr>
            <w:r>
              <w:rPr>
                <w:rFonts w:ascii="Arial" w:hAnsi="Arial" w:cs="Arial"/>
                <w:color w:val="000000" w:themeColor="text1"/>
              </w:rPr>
              <w:t>Working to develop additional materials about the programs at schools where students transfer.</w:t>
            </w:r>
          </w:p>
          <w:p w:rsidR="00F55212" w:rsidRDefault="00F55212" w:rsidP="00637591">
            <w:pPr>
              <w:pStyle w:val="ListParagraph"/>
              <w:ind w:left="0"/>
              <w:rPr>
                <w:rFonts w:ascii="Arial" w:hAnsi="Arial" w:cs="Arial"/>
                <w:color w:val="000000" w:themeColor="text1"/>
              </w:rPr>
            </w:pPr>
          </w:p>
          <w:p w:rsidR="00F55212" w:rsidRPr="0037786D" w:rsidRDefault="00F55212" w:rsidP="00637591">
            <w:pPr>
              <w:pStyle w:val="ListParagraph"/>
              <w:ind w:left="0"/>
              <w:rPr>
                <w:rFonts w:ascii="Arial" w:hAnsi="Arial" w:cs="Arial"/>
                <w:color w:val="000000" w:themeColor="text1"/>
              </w:rPr>
            </w:pPr>
            <w:r>
              <w:rPr>
                <w:rFonts w:ascii="Arial" w:hAnsi="Arial" w:cs="Arial"/>
                <w:color w:val="000000" w:themeColor="text1"/>
              </w:rPr>
              <w:t>All advisors have been provided with an information sheet on the differences between engineering and engineering technology.</w:t>
            </w:r>
          </w:p>
        </w:tc>
      </w:tr>
      <w:tr w:rsidR="00D07030" w:rsidRPr="0037786D" w:rsidTr="00D07030">
        <w:tc>
          <w:tcPr>
            <w:tcW w:w="3708" w:type="dxa"/>
          </w:tcPr>
          <w:p w:rsidR="00F0775C" w:rsidRPr="00F0775C" w:rsidRDefault="00F0775C" w:rsidP="00F0775C">
            <w:pPr>
              <w:spacing w:after="200" w:line="276" w:lineRule="auto"/>
              <w:rPr>
                <w:rFonts w:ascii="Arial" w:hAnsi="Arial" w:cs="Arial"/>
              </w:rPr>
            </w:pPr>
            <w:r w:rsidRPr="00F0775C">
              <w:rPr>
                <w:rFonts w:ascii="Arial" w:hAnsi="Arial" w:cs="Arial"/>
              </w:rPr>
              <w:lastRenderedPageBreak/>
              <w:t>The formation of the advisory committee was an important step for this program.  It is recommended that the coordinator work closely with the committee, such that the committee feels engaged in program maintenance and improvement.  The self-study mentions that a “definite plan will be developed in the advisory committee meeting in Spring 2010” to increase student retention, and it is recommended that this be pursued in that meeting.</w:t>
            </w:r>
          </w:p>
          <w:p w:rsidR="00D07030" w:rsidRPr="00654C15" w:rsidRDefault="00D07030" w:rsidP="00D07030">
            <w:pPr>
              <w:pStyle w:val="ListParagraph"/>
              <w:ind w:left="0"/>
              <w:rPr>
                <w:rFonts w:ascii="Arial" w:hAnsi="Arial" w:cs="Arial"/>
                <w:color w:val="000000" w:themeColor="text1"/>
              </w:rPr>
            </w:pPr>
          </w:p>
        </w:tc>
        <w:tc>
          <w:tcPr>
            <w:tcW w:w="2700" w:type="dxa"/>
          </w:tcPr>
          <w:p w:rsidR="00D07030" w:rsidRDefault="00D07030" w:rsidP="00D07030">
            <w:pPr>
              <w:pStyle w:val="ListParagraph"/>
              <w:ind w:left="0"/>
              <w:rPr>
                <w:rFonts w:ascii="Arial" w:hAnsi="Arial" w:cs="Arial"/>
                <w:color w:val="000000" w:themeColor="text1"/>
              </w:rPr>
            </w:pPr>
          </w:p>
          <w:p w:rsidR="00D07030" w:rsidRDefault="00D07030"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F55212">
              <w:fldChar w:fldCharType="begin">
                <w:ffData>
                  <w:name w:val=""/>
                  <w:enabled/>
                  <w:calcOnExit w:val="0"/>
                  <w:checkBox>
                    <w:sizeAuto/>
                    <w:default w:val="0"/>
                  </w:checkBox>
                </w:ffData>
              </w:fldChar>
            </w:r>
            <w:r w:rsidR="00F55212">
              <w:instrText xml:space="preserve"> FORMCHECKBOX </w:instrText>
            </w:r>
            <w:r w:rsidR="00F55212">
              <w:fldChar w:fldCharType="end"/>
            </w:r>
          </w:p>
          <w:p w:rsidR="00D07030" w:rsidRDefault="00D07030" w:rsidP="00D07030">
            <w:pPr>
              <w:pStyle w:val="ListParagraph"/>
              <w:ind w:left="0"/>
              <w:rPr>
                <w:rFonts w:ascii="Arial" w:hAnsi="Arial" w:cs="Arial"/>
                <w:color w:val="000000" w:themeColor="text1"/>
              </w:rPr>
            </w:pPr>
          </w:p>
          <w:p w:rsidR="00D07030" w:rsidRDefault="00D07030"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F55212">
              <w:fldChar w:fldCharType="begin">
                <w:ffData>
                  <w:name w:val=""/>
                  <w:enabled/>
                  <w:calcOnExit w:val="0"/>
                  <w:checkBox>
                    <w:sizeAuto/>
                    <w:default w:val="1"/>
                  </w:checkBox>
                </w:ffData>
              </w:fldChar>
            </w:r>
            <w:r w:rsidR="00F55212">
              <w:instrText xml:space="preserve"> FORMCHECKBOX </w:instrText>
            </w:r>
            <w:r w:rsidR="00F55212">
              <w:fldChar w:fldCharType="end"/>
            </w:r>
          </w:p>
          <w:p w:rsidR="00D07030" w:rsidRDefault="00D07030" w:rsidP="00D07030">
            <w:pPr>
              <w:pStyle w:val="ListParagraph"/>
              <w:ind w:left="0"/>
              <w:rPr>
                <w:rFonts w:ascii="Arial" w:hAnsi="Arial" w:cs="Arial"/>
                <w:color w:val="000000" w:themeColor="text1"/>
              </w:rPr>
            </w:pPr>
          </w:p>
          <w:p w:rsidR="00D07030" w:rsidRPr="0037786D" w:rsidRDefault="00D07030"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instrText xml:space="preserve"> FORMCHECKBOX </w:instrText>
            </w:r>
            <w:r w:rsidR="00E40CAD">
              <w:fldChar w:fldCharType="end"/>
            </w:r>
          </w:p>
        </w:tc>
        <w:tc>
          <w:tcPr>
            <w:tcW w:w="6480" w:type="dxa"/>
          </w:tcPr>
          <w:p w:rsidR="00D07030" w:rsidRPr="0037786D" w:rsidRDefault="00F55212" w:rsidP="00D07030">
            <w:pPr>
              <w:pStyle w:val="ListParagraph"/>
              <w:ind w:left="0"/>
              <w:rPr>
                <w:rFonts w:ascii="Arial" w:hAnsi="Arial" w:cs="Arial"/>
                <w:color w:val="000000" w:themeColor="text1"/>
              </w:rPr>
            </w:pPr>
            <w:r>
              <w:rPr>
                <w:rFonts w:ascii="Arial" w:hAnsi="Arial" w:cs="Arial"/>
                <w:color w:val="000000" w:themeColor="text1"/>
              </w:rPr>
              <w:t>Spring 2012 marketing initiatives were implemented.  Work with advisory is ongoing and additional actions will be taken in the future.</w:t>
            </w:r>
          </w:p>
        </w:tc>
      </w:tr>
      <w:tr w:rsidR="00D07030" w:rsidRPr="0037786D" w:rsidTr="00D07030">
        <w:tc>
          <w:tcPr>
            <w:tcW w:w="3708" w:type="dxa"/>
          </w:tcPr>
          <w:p w:rsidR="00D07030" w:rsidRPr="00654C15" w:rsidRDefault="00F0775C" w:rsidP="00FB2E03">
            <w:pPr>
              <w:spacing w:after="200" w:line="276" w:lineRule="auto"/>
              <w:rPr>
                <w:rFonts w:ascii="Arial" w:hAnsi="Arial" w:cs="Arial"/>
                <w:color w:val="000000" w:themeColor="text1"/>
              </w:rPr>
            </w:pPr>
            <w:r w:rsidRPr="00F0775C">
              <w:rPr>
                <w:rFonts w:ascii="Arial" w:hAnsi="Arial" w:cs="Arial"/>
              </w:rPr>
              <w:t>Work recently began on the web page for the program, and continued development of this is recommended.</w:t>
            </w:r>
          </w:p>
        </w:tc>
        <w:tc>
          <w:tcPr>
            <w:tcW w:w="2700" w:type="dxa"/>
          </w:tcPr>
          <w:p w:rsidR="00D07030" w:rsidRDefault="00D07030" w:rsidP="00D07030">
            <w:pPr>
              <w:pStyle w:val="ListParagraph"/>
              <w:ind w:left="0"/>
              <w:rPr>
                <w:rFonts w:ascii="Arial" w:hAnsi="Arial" w:cs="Arial"/>
                <w:color w:val="000000" w:themeColor="text1"/>
              </w:rPr>
            </w:pPr>
          </w:p>
          <w:p w:rsidR="00D07030" w:rsidRDefault="00D07030"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F55212">
              <w:fldChar w:fldCharType="begin">
                <w:ffData>
                  <w:name w:val=""/>
                  <w:enabled/>
                  <w:calcOnExit w:val="0"/>
                  <w:checkBox>
                    <w:sizeAuto/>
                    <w:default w:val="1"/>
                  </w:checkBox>
                </w:ffData>
              </w:fldChar>
            </w:r>
            <w:r w:rsidR="00F55212">
              <w:instrText xml:space="preserve"> FORMCHECKBOX </w:instrText>
            </w:r>
            <w:r w:rsidR="00F55212">
              <w:fldChar w:fldCharType="end"/>
            </w:r>
          </w:p>
          <w:p w:rsidR="00D07030" w:rsidRDefault="00D07030" w:rsidP="00D07030">
            <w:pPr>
              <w:pStyle w:val="ListParagraph"/>
              <w:ind w:left="0"/>
              <w:rPr>
                <w:rFonts w:ascii="Arial" w:hAnsi="Arial" w:cs="Arial"/>
                <w:color w:val="000000" w:themeColor="text1"/>
              </w:rPr>
            </w:pPr>
          </w:p>
          <w:p w:rsidR="00D07030" w:rsidRDefault="00D07030"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E40CAD">
              <w:fldChar w:fldCharType="begin">
                <w:ffData>
                  <w:name w:val="Check1"/>
                  <w:enabled/>
                  <w:calcOnExit w:val="0"/>
                  <w:checkBox>
                    <w:sizeAuto/>
                    <w:default w:val="0"/>
                  </w:checkBox>
                </w:ffData>
              </w:fldChar>
            </w:r>
            <w:r>
              <w:instrText xml:space="preserve"> FORMCHECKBOX </w:instrText>
            </w:r>
            <w:r w:rsidR="00E40CAD">
              <w:fldChar w:fldCharType="end"/>
            </w:r>
          </w:p>
          <w:p w:rsidR="00D07030" w:rsidRDefault="00D07030" w:rsidP="00D07030">
            <w:pPr>
              <w:pStyle w:val="ListParagraph"/>
              <w:ind w:left="0"/>
              <w:rPr>
                <w:rFonts w:ascii="Arial" w:hAnsi="Arial" w:cs="Arial"/>
                <w:color w:val="000000" w:themeColor="text1"/>
              </w:rPr>
            </w:pPr>
          </w:p>
          <w:p w:rsidR="00D07030" w:rsidRPr="0037786D" w:rsidRDefault="00D07030"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instrText xml:space="preserve"> FORMCHECKBOX </w:instrText>
            </w:r>
            <w:r w:rsidR="00E40CAD">
              <w:fldChar w:fldCharType="end"/>
            </w:r>
          </w:p>
        </w:tc>
        <w:tc>
          <w:tcPr>
            <w:tcW w:w="6480" w:type="dxa"/>
          </w:tcPr>
          <w:p w:rsidR="00A51345" w:rsidRDefault="00A51345" w:rsidP="00D07030">
            <w:pPr>
              <w:pStyle w:val="ListParagraph"/>
              <w:ind w:left="0"/>
              <w:rPr>
                <w:rFonts w:ascii="Arial" w:hAnsi="Arial" w:cs="Arial"/>
                <w:color w:val="000000" w:themeColor="text1"/>
              </w:rPr>
            </w:pPr>
          </w:p>
          <w:p w:rsidR="00D07030" w:rsidRPr="00A51345" w:rsidRDefault="00F55212" w:rsidP="00FB2E03">
            <w:pPr>
              <w:pStyle w:val="ListParagraph"/>
              <w:ind w:left="0"/>
            </w:pPr>
            <w:r w:rsidRPr="00FB2E03">
              <w:rPr>
                <w:rFonts w:ascii="Arial" w:hAnsi="Arial" w:cs="Arial"/>
                <w:color w:val="000000" w:themeColor="text1"/>
              </w:rPr>
              <w:t>Will work on as web page developer has time.</w:t>
            </w:r>
            <w:r w:rsidR="00A51345" w:rsidRPr="00FB2E03">
              <w:rPr>
                <w:rFonts w:ascii="Arial" w:hAnsi="Arial" w:cs="Arial"/>
                <w:color w:val="000000" w:themeColor="text1"/>
              </w:rPr>
              <w:tab/>
            </w:r>
          </w:p>
        </w:tc>
      </w:tr>
      <w:tr w:rsidR="00F0775C" w:rsidRPr="0037786D" w:rsidTr="00D07030">
        <w:tc>
          <w:tcPr>
            <w:tcW w:w="3708" w:type="dxa"/>
          </w:tcPr>
          <w:p w:rsidR="00F0775C" w:rsidRPr="00F0775C" w:rsidRDefault="00F0775C" w:rsidP="00F0775C">
            <w:pPr>
              <w:spacing w:after="200" w:line="276" w:lineRule="auto"/>
              <w:rPr>
                <w:rFonts w:ascii="Arial" w:hAnsi="Arial" w:cs="Arial"/>
              </w:rPr>
            </w:pPr>
            <w:r w:rsidRPr="00F0775C">
              <w:rPr>
                <w:rFonts w:ascii="Arial" w:hAnsi="Arial" w:cs="Arial"/>
              </w:rPr>
              <w:lastRenderedPageBreak/>
              <w:t>Continue efforts to better communicate with students in the program.</w:t>
            </w:r>
          </w:p>
          <w:p w:rsidR="00F0775C" w:rsidRPr="00654C15" w:rsidRDefault="00F0775C" w:rsidP="00D07030">
            <w:pPr>
              <w:pStyle w:val="ListParagraph"/>
              <w:ind w:left="0"/>
              <w:rPr>
                <w:rFonts w:ascii="Arial" w:hAnsi="Arial" w:cs="Arial"/>
                <w:color w:val="000000" w:themeColor="text1"/>
              </w:rPr>
            </w:pPr>
          </w:p>
        </w:tc>
        <w:tc>
          <w:tcPr>
            <w:tcW w:w="2700" w:type="dxa"/>
          </w:tcPr>
          <w:p w:rsidR="00F0775C" w:rsidRDefault="00F0775C" w:rsidP="00F0775C">
            <w:pPr>
              <w:pStyle w:val="ListParagraph"/>
              <w:ind w:left="0"/>
              <w:rPr>
                <w:rFonts w:ascii="Arial" w:hAnsi="Arial" w:cs="Arial"/>
                <w:color w:val="000000" w:themeColor="text1"/>
              </w:rPr>
            </w:pPr>
          </w:p>
          <w:p w:rsidR="00F0775C" w:rsidRDefault="00F0775C" w:rsidP="00F0775C">
            <w:pPr>
              <w:pStyle w:val="ListParagraph"/>
              <w:ind w:left="0"/>
              <w:rPr>
                <w:rFonts w:ascii="Arial" w:hAnsi="Arial" w:cs="Arial"/>
                <w:color w:val="000000" w:themeColor="text1"/>
              </w:rPr>
            </w:pPr>
            <w:r>
              <w:rPr>
                <w:rFonts w:ascii="Arial" w:hAnsi="Arial" w:cs="Arial"/>
                <w:color w:val="000000" w:themeColor="text1"/>
              </w:rPr>
              <w:t xml:space="preserve">In progress </w:t>
            </w:r>
            <w:r w:rsidR="00F55212">
              <w:fldChar w:fldCharType="begin">
                <w:ffData>
                  <w:name w:val=""/>
                  <w:enabled/>
                  <w:calcOnExit w:val="0"/>
                  <w:checkBox>
                    <w:sizeAuto/>
                    <w:default w:val="1"/>
                  </w:checkBox>
                </w:ffData>
              </w:fldChar>
            </w:r>
            <w:r w:rsidR="00F55212">
              <w:instrText xml:space="preserve"> FORMCHECKBOX </w:instrText>
            </w:r>
            <w:r w:rsidR="00F55212">
              <w:fldChar w:fldCharType="end"/>
            </w:r>
          </w:p>
          <w:p w:rsidR="00F0775C" w:rsidRDefault="00F0775C" w:rsidP="00F0775C">
            <w:pPr>
              <w:pStyle w:val="ListParagraph"/>
              <w:ind w:left="0"/>
              <w:rPr>
                <w:rFonts w:ascii="Arial" w:hAnsi="Arial" w:cs="Arial"/>
                <w:color w:val="000000" w:themeColor="text1"/>
              </w:rPr>
            </w:pPr>
          </w:p>
          <w:p w:rsidR="00F0775C" w:rsidRDefault="00F0775C" w:rsidP="00F0775C">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fldChar w:fldCharType="end"/>
            </w:r>
          </w:p>
          <w:p w:rsidR="00F0775C" w:rsidRDefault="00F0775C" w:rsidP="00F0775C">
            <w:pPr>
              <w:pStyle w:val="ListParagraph"/>
              <w:ind w:left="0"/>
              <w:rPr>
                <w:rFonts w:ascii="Arial" w:hAnsi="Arial" w:cs="Arial"/>
                <w:color w:val="000000" w:themeColor="text1"/>
              </w:rPr>
            </w:pPr>
          </w:p>
          <w:p w:rsidR="00F0775C" w:rsidRDefault="00F0775C" w:rsidP="00F0775C">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fldChar w:fldCharType="end"/>
            </w:r>
          </w:p>
        </w:tc>
        <w:tc>
          <w:tcPr>
            <w:tcW w:w="6480" w:type="dxa"/>
          </w:tcPr>
          <w:p w:rsidR="00F0775C" w:rsidRDefault="00F55212" w:rsidP="00D07030">
            <w:pPr>
              <w:pStyle w:val="ListParagraph"/>
              <w:ind w:left="0"/>
              <w:rPr>
                <w:rFonts w:ascii="Arial" w:hAnsi="Arial" w:cs="Arial"/>
                <w:color w:val="000000" w:themeColor="text1"/>
              </w:rPr>
            </w:pPr>
            <w:r>
              <w:rPr>
                <w:rFonts w:ascii="Arial" w:hAnsi="Arial" w:cs="Arial"/>
                <w:color w:val="000000" w:themeColor="text1"/>
              </w:rPr>
              <w:t>New Angel community</w:t>
            </w:r>
          </w:p>
          <w:p w:rsidR="00F55212" w:rsidRDefault="00F55212" w:rsidP="00D07030">
            <w:pPr>
              <w:pStyle w:val="ListParagraph"/>
              <w:ind w:left="0"/>
              <w:rPr>
                <w:rFonts w:ascii="Arial" w:hAnsi="Arial" w:cs="Arial"/>
                <w:color w:val="000000" w:themeColor="text1"/>
              </w:rPr>
            </w:pPr>
            <w:r>
              <w:rPr>
                <w:rFonts w:ascii="Arial" w:hAnsi="Arial" w:cs="Arial"/>
                <w:color w:val="000000" w:themeColor="text1"/>
              </w:rPr>
              <w:t>Additional outreach to current students with email and discussion board to existing students.</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footerReference w:type="default" r:id="rId12"/>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Look w:val="01E0" w:firstRow="1" w:lastRow="1" w:firstColumn="1" w:lastColumn="1" w:noHBand="0" w:noVBand="0"/>
      </w:tblPr>
      <w:tblGrid>
        <w:gridCol w:w="16"/>
        <w:gridCol w:w="3512"/>
        <w:gridCol w:w="1922"/>
        <w:gridCol w:w="1430"/>
        <w:gridCol w:w="2250"/>
        <w:gridCol w:w="4028"/>
      </w:tblGrid>
      <w:tr w:rsidR="00B34F9E" w:rsidRPr="004C52FC" w:rsidTr="00B62D15">
        <w:trPr>
          <w:gridBefore w:val="1"/>
          <w:wBefore w:w="16" w:type="dxa"/>
          <w:trHeight w:val="72"/>
        </w:trPr>
        <w:tc>
          <w:tcPr>
            <w:tcW w:w="351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92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B62D15">
        <w:trPr>
          <w:trHeight w:val="274"/>
        </w:trPr>
        <w:tc>
          <w:tcPr>
            <w:tcW w:w="352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B34F9E" w:rsidRPr="004C52FC" w:rsidRDefault="00B34F9E" w:rsidP="003E791C">
            <w:pPr>
              <w:rPr>
                <w:rFonts w:asciiTheme="minorHAnsi" w:hAnsiTheme="minorHAnsi"/>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B34F9E" w:rsidRPr="004C52FC" w:rsidRDefault="00B62D15" w:rsidP="001D736E">
            <w:pPr>
              <w:ind w:left="72"/>
              <w:rPr>
                <w:rFonts w:asciiTheme="minorHAnsi" w:hAnsiTheme="minorHAnsi" w:cs="Arial"/>
                <w:color w:val="000000" w:themeColor="text1"/>
              </w:rPr>
            </w:pPr>
            <w:r>
              <w:rPr>
                <w:rFonts w:asciiTheme="minorHAnsi" w:hAnsiTheme="minorHAnsi" w:cs="Arial"/>
                <w:color w:val="000000" w:themeColor="text1"/>
              </w:rPr>
              <w:t>None</w:t>
            </w:r>
          </w:p>
        </w:tc>
        <w:tc>
          <w:tcPr>
            <w:tcW w:w="4028" w:type="dxa"/>
          </w:tcPr>
          <w:p w:rsidR="00B34F9E" w:rsidRPr="004C52FC" w:rsidRDefault="00B62D15" w:rsidP="001D736E">
            <w:pPr>
              <w:ind w:left="72"/>
              <w:rPr>
                <w:rFonts w:asciiTheme="minorHAnsi" w:hAnsiTheme="minorHAnsi" w:cs="Arial"/>
                <w:color w:val="000000" w:themeColor="text1"/>
              </w:rPr>
            </w:pPr>
            <w:r>
              <w:rPr>
                <w:rFonts w:asciiTheme="minorHAnsi" w:hAnsiTheme="minorHAnsi" w:cs="Arial"/>
                <w:color w:val="000000" w:themeColor="text1"/>
              </w:rPr>
              <w:t>None</w:t>
            </w:r>
          </w:p>
        </w:tc>
      </w:tr>
      <w:tr w:rsidR="00B34F9E" w:rsidRPr="004C52FC" w:rsidTr="00B62D15">
        <w:trPr>
          <w:trHeight w:val="274"/>
        </w:trPr>
        <w:tc>
          <w:tcPr>
            <w:tcW w:w="352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B34F9E" w:rsidRPr="004C52FC" w:rsidRDefault="00B34F9E" w:rsidP="003E791C">
            <w:pPr>
              <w:rPr>
                <w:rFonts w:asciiTheme="minorHAnsi" w:hAnsiTheme="minorHAnsi"/>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B34F9E" w:rsidRPr="004C52FC" w:rsidRDefault="00B62D15" w:rsidP="001D736E">
            <w:pPr>
              <w:ind w:left="72"/>
              <w:rPr>
                <w:rFonts w:asciiTheme="minorHAnsi" w:hAnsiTheme="minorHAnsi" w:cs="Arial"/>
                <w:color w:val="000000" w:themeColor="text1"/>
              </w:rPr>
            </w:pPr>
            <w:r>
              <w:rPr>
                <w:rFonts w:asciiTheme="minorHAnsi" w:hAnsiTheme="minorHAnsi" w:cs="Arial"/>
                <w:color w:val="000000" w:themeColor="text1"/>
              </w:rPr>
              <w:t>Pre- and Post- assessment in Calculus 1</w:t>
            </w:r>
          </w:p>
        </w:tc>
        <w:tc>
          <w:tcPr>
            <w:tcW w:w="4028" w:type="dxa"/>
            <w:tcBorders>
              <w:bottom w:val="single" w:sz="4" w:space="0" w:color="000000" w:themeColor="text1"/>
            </w:tcBorders>
          </w:tcPr>
          <w:p w:rsidR="00EF6A00" w:rsidRDefault="00EF6A00" w:rsidP="001D736E">
            <w:pPr>
              <w:ind w:left="72"/>
              <w:rPr>
                <w:rFonts w:asciiTheme="minorHAnsi" w:hAnsiTheme="minorHAnsi" w:cs="Arial"/>
                <w:color w:val="000000" w:themeColor="text1"/>
              </w:rPr>
            </w:pPr>
            <w:r>
              <w:rPr>
                <w:rFonts w:asciiTheme="minorHAnsi" w:hAnsiTheme="minorHAnsi" w:cs="Arial"/>
                <w:color w:val="000000" w:themeColor="text1"/>
              </w:rPr>
              <w:t>67% wrote complete, coherent sentences.</w:t>
            </w:r>
          </w:p>
          <w:p w:rsidR="00B34F9E" w:rsidRPr="004C52FC" w:rsidRDefault="00EF6A00" w:rsidP="00EF6A00">
            <w:pPr>
              <w:ind w:left="72"/>
              <w:rPr>
                <w:rFonts w:asciiTheme="minorHAnsi" w:hAnsiTheme="minorHAnsi" w:cs="Arial"/>
                <w:color w:val="000000" w:themeColor="text1"/>
              </w:rPr>
            </w:pPr>
            <w:r>
              <w:rPr>
                <w:rFonts w:asciiTheme="minorHAnsi" w:hAnsiTheme="minorHAnsi" w:cs="Arial"/>
                <w:color w:val="000000" w:themeColor="text1"/>
              </w:rPr>
              <w:t>22% had grammatical errors.</w:t>
            </w:r>
          </w:p>
        </w:tc>
      </w:tr>
      <w:tr w:rsidR="00B34F9E" w:rsidRPr="004C52FC" w:rsidTr="00B62D15">
        <w:trPr>
          <w:trHeight w:val="274"/>
        </w:trPr>
        <w:tc>
          <w:tcPr>
            <w:tcW w:w="352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B62D15">
        <w:trPr>
          <w:trHeight w:val="274"/>
        </w:trPr>
        <w:tc>
          <w:tcPr>
            <w:tcW w:w="352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B62D15">
        <w:trPr>
          <w:trHeight w:val="274"/>
        </w:trPr>
        <w:tc>
          <w:tcPr>
            <w:tcW w:w="352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B62D15">
        <w:trPr>
          <w:trHeight w:val="274"/>
        </w:trPr>
        <w:tc>
          <w:tcPr>
            <w:tcW w:w="352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B62D15">
        <w:trPr>
          <w:trHeight w:val="274"/>
        </w:trPr>
        <w:tc>
          <w:tcPr>
            <w:tcW w:w="3528" w:type="dxa"/>
            <w:gridSpan w:val="2"/>
            <w:shd w:val="clear" w:color="auto" w:fill="FFFFFF"/>
            <w:vAlign w:val="center"/>
          </w:tcPr>
          <w:p w:rsidR="00B34F9E" w:rsidRPr="004C52FC" w:rsidRDefault="00B34F9E" w:rsidP="003D6D6E">
            <w:pPr>
              <w:rPr>
                <w:rFonts w:asciiTheme="minorHAnsi" w:hAnsiTheme="minorHAnsi"/>
              </w:rPr>
            </w:pPr>
          </w:p>
        </w:tc>
        <w:tc>
          <w:tcPr>
            <w:tcW w:w="192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B62D15">
        <w:trPr>
          <w:trHeight w:val="274"/>
        </w:trPr>
        <w:tc>
          <w:tcPr>
            <w:tcW w:w="352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92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F0775C" w:rsidRPr="004C52FC" w:rsidTr="00B62D15">
        <w:trPr>
          <w:trHeight w:val="274"/>
        </w:trPr>
        <w:tc>
          <w:tcPr>
            <w:tcW w:w="3528" w:type="dxa"/>
            <w:gridSpan w:val="2"/>
            <w:shd w:val="clear" w:color="auto" w:fill="FFFFFF"/>
            <w:vAlign w:val="center"/>
          </w:tcPr>
          <w:p w:rsidR="00F0775C" w:rsidRPr="00AA0D8B" w:rsidRDefault="00F0775C" w:rsidP="0033735F">
            <w:pPr>
              <w:shd w:val="clear" w:color="auto" w:fill="FFFFFF"/>
              <w:spacing w:after="112"/>
              <w:textAlignment w:val="top"/>
              <w:rPr>
                <w:rFonts w:ascii="Verdana" w:hAnsi="Verdana"/>
                <w:color w:val="333333"/>
                <w:sz w:val="20"/>
                <w:szCs w:val="20"/>
              </w:rPr>
            </w:pPr>
            <w:r w:rsidRPr="00E4193C">
              <w:rPr>
                <w:rFonts w:ascii="Verdana" w:hAnsi="Verdana"/>
                <w:color w:val="333333"/>
                <w:sz w:val="20"/>
                <w:szCs w:val="20"/>
              </w:rPr>
              <w:t>Develop skills in calculus, analytical geometry and differential equations to analyze and solve engineering problems.</w:t>
            </w:r>
          </w:p>
        </w:tc>
        <w:tc>
          <w:tcPr>
            <w:tcW w:w="1922" w:type="dxa"/>
            <w:vAlign w:val="center"/>
          </w:tcPr>
          <w:p w:rsidR="00F0775C" w:rsidRDefault="00F0775C" w:rsidP="0033735F">
            <w:pPr>
              <w:rPr>
                <w:rFonts w:ascii="Verdana" w:hAnsi="Verdana"/>
                <w:sz w:val="20"/>
                <w:szCs w:val="20"/>
              </w:rPr>
            </w:pPr>
            <w:r>
              <w:rPr>
                <w:rFonts w:ascii="Verdana" w:hAnsi="Verdana"/>
                <w:sz w:val="20"/>
                <w:szCs w:val="20"/>
              </w:rPr>
              <w:t>MAT 2270</w:t>
            </w:r>
          </w:p>
          <w:p w:rsidR="00F0775C" w:rsidRPr="00AA0D8B" w:rsidRDefault="00F0775C" w:rsidP="0033735F">
            <w:pPr>
              <w:rPr>
                <w:rFonts w:ascii="Verdana" w:hAnsi="Verdana"/>
                <w:sz w:val="20"/>
                <w:szCs w:val="20"/>
              </w:rPr>
            </w:pPr>
            <w:r>
              <w:rPr>
                <w:rFonts w:ascii="Verdana" w:hAnsi="Verdana"/>
                <w:sz w:val="20"/>
                <w:szCs w:val="20"/>
              </w:rPr>
              <w:t>MAT 2280</w:t>
            </w:r>
          </w:p>
        </w:tc>
        <w:tc>
          <w:tcPr>
            <w:tcW w:w="1430" w:type="dxa"/>
            <w:shd w:val="clear" w:color="auto" w:fill="auto"/>
          </w:tcPr>
          <w:p w:rsidR="00F0775C" w:rsidRPr="004C52FC" w:rsidRDefault="00FB2E03" w:rsidP="00817DDA">
            <w:pPr>
              <w:jc w:val="center"/>
              <w:rPr>
                <w:rFonts w:asciiTheme="minorHAnsi" w:hAnsiTheme="minorHAnsi" w:cs="Arial"/>
                <w:color w:val="000000" w:themeColor="text1"/>
              </w:rPr>
            </w:pPr>
            <w:r>
              <w:rPr>
                <w:rFonts w:asciiTheme="minorHAnsi" w:hAnsiTheme="minorHAnsi" w:cs="Arial"/>
                <w:color w:val="000000" w:themeColor="text1"/>
              </w:rPr>
              <w:t>2012-13</w:t>
            </w:r>
          </w:p>
        </w:tc>
        <w:tc>
          <w:tcPr>
            <w:tcW w:w="2250" w:type="dxa"/>
          </w:tcPr>
          <w:p w:rsidR="00F0775C" w:rsidRPr="004C52FC" w:rsidRDefault="00F0775C" w:rsidP="001D736E">
            <w:pPr>
              <w:ind w:left="72"/>
              <w:rPr>
                <w:rFonts w:asciiTheme="minorHAnsi" w:hAnsiTheme="minorHAnsi" w:cs="Arial"/>
                <w:color w:val="000000" w:themeColor="text1"/>
              </w:rPr>
            </w:pPr>
          </w:p>
        </w:tc>
        <w:tc>
          <w:tcPr>
            <w:tcW w:w="4028" w:type="dxa"/>
          </w:tcPr>
          <w:p w:rsidR="00F0775C" w:rsidRPr="004C52FC" w:rsidRDefault="00F0775C" w:rsidP="001D736E">
            <w:pPr>
              <w:ind w:left="72"/>
              <w:rPr>
                <w:rFonts w:asciiTheme="minorHAnsi" w:hAnsiTheme="minorHAnsi" w:cs="Arial"/>
                <w:color w:val="000000" w:themeColor="text1"/>
              </w:rPr>
            </w:pPr>
          </w:p>
        </w:tc>
      </w:tr>
      <w:tr w:rsidR="00F0775C" w:rsidRPr="004C52FC" w:rsidTr="00B62D15">
        <w:trPr>
          <w:trHeight w:val="72"/>
        </w:trPr>
        <w:tc>
          <w:tcPr>
            <w:tcW w:w="3528" w:type="dxa"/>
            <w:gridSpan w:val="2"/>
            <w:shd w:val="clear" w:color="auto" w:fill="FFFFFF"/>
            <w:vAlign w:val="center"/>
          </w:tcPr>
          <w:p w:rsidR="00F0775C" w:rsidRPr="00AA0D8B" w:rsidRDefault="00F0775C" w:rsidP="0033735F">
            <w:pPr>
              <w:rPr>
                <w:rFonts w:ascii="Verdana" w:hAnsi="Verdana"/>
                <w:sz w:val="20"/>
                <w:szCs w:val="20"/>
              </w:rPr>
            </w:pPr>
            <w:r w:rsidRPr="00E4193C">
              <w:rPr>
                <w:rFonts w:ascii="Verdana" w:hAnsi="Verdana"/>
                <w:color w:val="333333"/>
                <w:sz w:val="20"/>
                <w:szCs w:val="20"/>
              </w:rPr>
              <w:t>Demonstrate written and oral communication skills for effective presentations.</w:t>
            </w:r>
          </w:p>
        </w:tc>
        <w:tc>
          <w:tcPr>
            <w:tcW w:w="1922" w:type="dxa"/>
            <w:vAlign w:val="center"/>
          </w:tcPr>
          <w:p w:rsidR="00F0775C" w:rsidRDefault="00F0775C" w:rsidP="0033735F">
            <w:pPr>
              <w:rPr>
                <w:rFonts w:ascii="Verdana" w:hAnsi="Verdana"/>
                <w:sz w:val="20"/>
                <w:szCs w:val="20"/>
              </w:rPr>
            </w:pPr>
            <w:r>
              <w:rPr>
                <w:rFonts w:ascii="Verdana" w:hAnsi="Verdana"/>
                <w:sz w:val="20"/>
                <w:szCs w:val="20"/>
              </w:rPr>
              <w:t>ENG 1101</w:t>
            </w:r>
          </w:p>
          <w:p w:rsidR="00F0775C" w:rsidRDefault="00F0775C" w:rsidP="0033735F">
            <w:pPr>
              <w:rPr>
                <w:rFonts w:ascii="Verdana" w:hAnsi="Verdana"/>
                <w:sz w:val="20"/>
                <w:szCs w:val="20"/>
              </w:rPr>
            </w:pPr>
            <w:r>
              <w:rPr>
                <w:rFonts w:ascii="Verdana" w:hAnsi="Verdana"/>
                <w:sz w:val="20"/>
                <w:szCs w:val="20"/>
              </w:rPr>
              <w:t>ENG 1201</w:t>
            </w:r>
          </w:p>
          <w:p w:rsidR="00F0775C" w:rsidRDefault="00F0775C" w:rsidP="0033735F">
            <w:pPr>
              <w:rPr>
                <w:rFonts w:ascii="Verdana" w:hAnsi="Verdana"/>
                <w:sz w:val="20"/>
                <w:szCs w:val="20"/>
              </w:rPr>
            </w:pPr>
            <w:r>
              <w:rPr>
                <w:rFonts w:ascii="Verdana" w:hAnsi="Verdana"/>
                <w:sz w:val="20"/>
                <w:szCs w:val="20"/>
              </w:rPr>
              <w:t>COM 2211</w:t>
            </w:r>
          </w:p>
          <w:p w:rsidR="00F0775C" w:rsidRDefault="00F0775C" w:rsidP="0033735F">
            <w:pPr>
              <w:rPr>
                <w:rFonts w:ascii="Verdana" w:hAnsi="Verdana"/>
                <w:sz w:val="20"/>
                <w:szCs w:val="20"/>
              </w:rPr>
            </w:pPr>
            <w:r>
              <w:rPr>
                <w:rFonts w:ascii="Verdana" w:hAnsi="Verdana"/>
                <w:sz w:val="20"/>
                <w:szCs w:val="20"/>
              </w:rPr>
              <w:t>OTM Arts/Humanities Elective</w:t>
            </w:r>
          </w:p>
          <w:p w:rsidR="00F0775C" w:rsidRPr="00AA0D8B" w:rsidRDefault="00F0775C" w:rsidP="0033735F">
            <w:pPr>
              <w:rPr>
                <w:rFonts w:ascii="Verdana" w:hAnsi="Verdana"/>
                <w:sz w:val="20"/>
                <w:szCs w:val="20"/>
              </w:rPr>
            </w:pPr>
            <w:r>
              <w:rPr>
                <w:rFonts w:ascii="Verdana" w:hAnsi="Verdana"/>
                <w:sz w:val="20"/>
                <w:szCs w:val="20"/>
              </w:rPr>
              <w:t>OTM Social/ Behavioral Elective</w:t>
            </w:r>
          </w:p>
        </w:tc>
        <w:tc>
          <w:tcPr>
            <w:tcW w:w="1430" w:type="dxa"/>
            <w:shd w:val="clear" w:color="auto" w:fill="auto"/>
          </w:tcPr>
          <w:p w:rsidR="00F0775C" w:rsidRPr="004C52FC" w:rsidRDefault="00FB2E03" w:rsidP="00DF7501">
            <w:pPr>
              <w:jc w:val="center"/>
              <w:rPr>
                <w:rFonts w:asciiTheme="minorHAnsi" w:hAnsiTheme="minorHAnsi" w:cs="Arial"/>
                <w:color w:val="000000" w:themeColor="text1"/>
              </w:rPr>
            </w:pPr>
            <w:r>
              <w:rPr>
                <w:rFonts w:asciiTheme="minorHAnsi" w:hAnsiTheme="minorHAnsi" w:cs="Arial"/>
                <w:color w:val="000000" w:themeColor="text1"/>
              </w:rPr>
              <w:t>2013-14</w:t>
            </w:r>
          </w:p>
        </w:tc>
        <w:tc>
          <w:tcPr>
            <w:tcW w:w="2250" w:type="dxa"/>
          </w:tcPr>
          <w:p w:rsidR="00F0775C" w:rsidRPr="004C52FC" w:rsidRDefault="00F0775C" w:rsidP="001D736E">
            <w:pPr>
              <w:ind w:left="72"/>
              <w:rPr>
                <w:rFonts w:asciiTheme="minorHAnsi" w:hAnsiTheme="minorHAnsi" w:cs="Arial"/>
                <w:color w:val="000000" w:themeColor="text1"/>
              </w:rPr>
            </w:pPr>
          </w:p>
        </w:tc>
        <w:tc>
          <w:tcPr>
            <w:tcW w:w="4028" w:type="dxa"/>
          </w:tcPr>
          <w:p w:rsidR="00F0775C" w:rsidRPr="004C52FC" w:rsidRDefault="00F0775C" w:rsidP="001D736E">
            <w:pPr>
              <w:ind w:left="72"/>
              <w:rPr>
                <w:rFonts w:asciiTheme="minorHAnsi" w:hAnsiTheme="minorHAnsi" w:cs="Arial"/>
                <w:color w:val="000000" w:themeColor="text1"/>
              </w:rPr>
            </w:pPr>
          </w:p>
        </w:tc>
      </w:tr>
      <w:tr w:rsidR="00F0775C" w:rsidRPr="004C52FC" w:rsidTr="00B62D15">
        <w:trPr>
          <w:trHeight w:val="72"/>
        </w:trPr>
        <w:tc>
          <w:tcPr>
            <w:tcW w:w="3528" w:type="dxa"/>
            <w:gridSpan w:val="2"/>
            <w:shd w:val="clear" w:color="auto" w:fill="FFFFFF"/>
            <w:vAlign w:val="center"/>
          </w:tcPr>
          <w:p w:rsidR="00F0775C" w:rsidRPr="00AA0D8B" w:rsidRDefault="00F0775C" w:rsidP="0033735F">
            <w:pPr>
              <w:shd w:val="clear" w:color="auto" w:fill="FFFFFF"/>
              <w:spacing w:after="112"/>
              <w:textAlignment w:val="top"/>
              <w:rPr>
                <w:rFonts w:ascii="Verdana" w:hAnsi="Verdana"/>
                <w:color w:val="333333"/>
                <w:sz w:val="20"/>
                <w:szCs w:val="20"/>
              </w:rPr>
            </w:pPr>
            <w:r w:rsidRPr="00E4193C">
              <w:rPr>
                <w:rFonts w:ascii="Verdana" w:hAnsi="Verdana"/>
                <w:color w:val="333333"/>
                <w:sz w:val="20"/>
                <w:szCs w:val="20"/>
              </w:rPr>
              <w:lastRenderedPageBreak/>
              <w:t>Use mathematics and analytical tools for engineering and related problem solving.</w:t>
            </w:r>
          </w:p>
        </w:tc>
        <w:tc>
          <w:tcPr>
            <w:tcW w:w="1922" w:type="dxa"/>
            <w:vAlign w:val="center"/>
          </w:tcPr>
          <w:p w:rsidR="00F0775C" w:rsidRDefault="00F0775C" w:rsidP="0033735F">
            <w:pPr>
              <w:rPr>
                <w:rFonts w:ascii="Verdana" w:hAnsi="Verdana"/>
                <w:sz w:val="20"/>
                <w:szCs w:val="20"/>
              </w:rPr>
            </w:pPr>
            <w:r>
              <w:rPr>
                <w:rFonts w:ascii="Verdana" w:hAnsi="Verdana"/>
                <w:sz w:val="20"/>
                <w:szCs w:val="20"/>
              </w:rPr>
              <w:t>EGR Electives</w:t>
            </w:r>
          </w:p>
          <w:p w:rsidR="00F0775C" w:rsidRPr="00AA0D8B" w:rsidRDefault="00F0775C" w:rsidP="0033735F">
            <w:pPr>
              <w:rPr>
                <w:rFonts w:ascii="Verdana" w:hAnsi="Verdana"/>
                <w:sz w:val="20"/>
                <w:szCs w:val="20"/>
              </w:rPr>
            </w:pPr>
            <w:r>
              <w:rPr>
                <w:rFonts w:ascii="Verdana" w:hAnsi="Verdana"/>
                <w:sz w:val="20"/>
                <w:szCs w:val="20"/>
              </w:rPr>
              <w:t>SME 1101</w:t>
            </w:r>
          </w:p>
        </w:tc>
        <w:tc>
          <w:tcPr>
            <w:tcW w:w="1430" w:type="dxa"/>
            <w:shd w:val="clear" w:color="auto" w:fill="auto"/>
          </w:tcPr>
          <w:p w:rsidR="00502D3E" w:rsidRDefault="00502D3E" w:rsidP="00817DDA">
            <w:pPr>
              <w:jc w:val="center"/>
              <w:rPr>
                <w:rFonts w:asciiTheme="minorHAnsi" w:hAnsiTheme="minorHAnsi" w:cs="Arial"/>
                <w:color w:val="000000" w:themeColor="text1"/>
              </w:rPr>
            </w:pPr>
          </w:p>
          <w:p w:rsidR="00F0775C" w:rsidRPr="004C52FC" w:rsidRDefault="00502D3E" w:rsidP="00817DDA">
            <w:pPr>
              <w:jc w:val="center"/>
              <w:rPr>
                <w:rFonts w:asciiTheme="minorHAnsi" w:hAnsiTheme="minorHAnsi" w:cs="Arial"/>
                <w:color w:val="000000" w:themeColor="text1"/>
              </w:rPr>
            </w:pPr>
            <w:r>
              <w:rPr>
                <w:rFonts w:asciiTheme="minorHAnsi" w:hAnsiTheme="minorHAnsi" w:cs="Arial"/>
                <w:color w:val="000000" w:themeColor="text1"/>
              </w:rPr>
              <w:t>2011-12</w:t>
            </w:r>
          </w:p>
        </w:tc>
        <w:tc>
          <w:tcPr>
            <w:tcW w:w="2250" w:type="dxa"/>
          </w:tcPr>
          <w:p w:rsidR="00F0775C" w:rsidRPr="004C52FC" w:rsidRDefault="00FB2E03" w:rsidP="001D736E">
            <w:pPr>
              <w:ind w:left="72"/>
              <w:rPr>
                <w:rFonts w:asciiTheme="minorHAnsi" w:hAnsiTheme="minorHAnsi" w:cs="Arial"/>
                <w:color w:val="000000" w:themeColor="text1"/>
              </w:rPr>
            </w:pPr>
            <w:r>
              <w:rPr>
                <w:rFonts w:asciiTheme="minorHAnsi" w:hAnsiTheme="minorHAnsi" w:cs="Arial"/>
                <w:color w:val="000000" w:themeColor="text1"/>
              </w:rPr>
              <w:t>Exams</w:t>
            </w:r>
          </w:p>
        </w:tc>
        <w:tc>
          <w:tcPr>
            <w:tcW w:w="4028" w:type="dxa"/>
          </w:tcPr>
          <w:p w:rsidR="00F0775C" w:rsidRPr="004C52FC" w:rsidRDefault="00FB2E03" w:rsidP="001D736E">
            <w:pPr>
              <w:ind w:left="72"/>
              <w:rPr>
                <w:rFonts w:asciiTheme="minorHAnsi" w:hAnsiTheme="minorHAnsi" w:cs="Arial"/>
                <w:color w:val="000000" w:themeColor="text1"/>
              </w:rPr>
            </w:pPr>
            <w:r>
              <w:rPr>
                <w:rFonts w:asciiTheme="minorHAnsi" w:hAnsiTheme="minorHAnsi" w:cs="Arial"/>
                <w:color w:val="000000" w:themeColor="text1"/>
              </w:rPr>
              <w:t>Section averages consistently above 75%, consistently higher than WSU students on same exam in parallel course.</w:t>
            </w:r>
          </w:p>
        </w:tc>
      </w:tr>
      <w:tr w:rsidR="00F0775C" w:rsidRPr="004C52FC" w:rsidTr="00B62D15">
        <w:tblPrEx>
          <w:shd w:val="clear" w:color="auto" w:fill="auto"/>
          <w:tblLook w:val="04A0" w:firstRow="1" w:lastRow="0" w:firstColumn="1" w:lastColumn="0" w:noHBand="0" w:noVBand="1"/>
        </w:tblPrEx>
        <w:trPr>
          <w:trHeight w:val="72"/>
        </w:trPr>
        <w:tc>
          <w:tcPr>
            <w:tcW w:w="3528" w:type="dxa"/>
            <w:gridSpan w:val="2"/>
            <w:vAlign w:val="center"/>
          </w:tcPr>
          <w:p w:rsidR="00F0775C" w:rsidRPr="00AA0D8B" w:rsidRDefault="00F0775C" w:rsidP="0033735F">
            <w:pPr>
              <w:shd w:val="clear" w:color="auto" w:fill="FFFFFF"/>
              <w:textAlignment w:val="top"/>
              <w:rPr>
                <w:rFonts w:ascii="Verdana" w:hAnsi="Verdana"/>
                <w:color w:val="333333"/>
                <w:sz w:val="20"/>
                <w:szCs w:val="20"/>
              </w:rPr>
            </w:pPr>
            <w:r w:rsidRPr="00E4193C">
              <w:rPr>
                <w:rFonts w:ascii="Verdana" w:hAnsi="Verdana"/>
                <w:color w:val="333333"/>
                <w:sz w:val="20"/>
                <w:szCs w:val="20"/>
              </w:rPr>
              <w:t>Identify and apply the basic laws of physics and chemistry including mechanical, electrical</w:t>
            </w:r>
            <w:r>
              <w:rPr>
                <w:rFonts w:ascii="Verdana" w:hAnsi="Verdana"/>
                <w:color w:val="333333"/>
                <w:sz w:val="20"/>
                <w:szCs w:val="20"/>
              </w:rPr>
              <w:t>,</w:t>
            </w:r>
            <w:r w:rsidRPr="00E4193C">
              <w:rPr>
                <w:rFonts w:ascii="Verdana" w:hAnsi="Verdana"/>
                <w:color w:val="333333"/>
                <w:sz w:val="20"/>
                <w:szCs w:val="20"/>
              </w:rPr>
              <w:t xml:space="preserve"> heat, light, sound, and inorganic chemistry to enhance comprehension of engineering topics.</w:t>
            </w:r>
          </w:p>
        </w:tc>
        <w:tc>
          <w:tcPr>
            <w:tcW w:w="1922" w:type="dxa"/>
            <w:vAlign w:val="center"/>
          </w:tcPr>
          <w:p w:rsidR="00F0775C" w:rsidRDefault="00F0775C" w:rsidP="0033735F">
            <w:pPr>
              <w:rPr>
                <w:rFonts w:ascii="Verdana" w:hAnsi="Verdana"/>
                <w:sz w:val="20"/>
                <w:szCs w:val="20"/>
              </w:rPr>
            </w:pPr>
            <w:r>
              <w:rPr>
                <w:rFonts w:ascii="Verdana" w:hAnsi="Verdana"/>
                <w:sz w:val="20"/>
                <w:szCs w:val="20"/>
              </w:rPr>
              <w:t>CHE 1211</w:t>
            </w:r>
          </w:p>
          <w:p w:rsidR="00F0775C" w:rsidRDefault="00F0775C" w:rsidP="0033735F">
            <w:pPr>
              <w:rPr>
                <w:rFonts w:ascii="Verdana" w:hAnsi="Verdana"/>
                <w:sz w:val="20"/>
                <w:szCs w:val="20"/>
              </w:rPr>
            </w:pPr>
            <w:r>
              <w:rPr>
                <w:rFonts w:ascii="Verdana" w:hAnsi="Verdana"/>
                <w:sz w:val="20"/>
                <w:szCs w:val="20"/>
              </w:rPr>
              <w:t>PHY 2201</w:t>
            </w:r>
          </w:p>
          <w:p w:rsidR="00F0775C" w:rsidRPr="00AA0D8B" w:rsidRDefault="00F0775C" w:rsidP="0033735F">
            <w:pPr>
              <w:rPr>
                <w:rFonts w:ascii="Verdana" w:hAnsi="Verdana"/>
                <w:sz w:val="20"/>
                <w:szCs w:val="20"/>
              </w:rPr>
            </w:pPr>
            <w:r>
              <w:rPr>
                <w:rFonts w:ascii="Verdana" w:hAnsi="Verdana"/>
                <w:sz w:val="20"/>
                <w:szCs w:val="20"/>
              </w:rPr>
              <w:t>PHY 2202</w:t>
            </w:r>
          </w:p>
        </w:tc>
        <w:tc>
          <w:tcPr>
            <w:tcW w:w="1430" w:type="dxa"/>
          </w:tcPr>
          <w:p w:rsidR="00F0775C" w:rsidRPr="004C52FC" w:rsidRDefault="00FB2E03" w:rsidP="00181457">
            <w:pPr>
              <w:jc w:val="center"/>
              <w:rPr>
                <w:rFonts w:asciiTheme="minorHAnsi" w:hAnsiTheme="minorHAnsi" w:cs="Arial"/>
                <w:color w:val="000000" w:themeColor="text1"/>
              </w:rPr>
            </w:pPr>
            <w:r>
              <w:rPr>
                <w:rFonts w:asciiTheme="minorHAnsi" w:hAnsiTheme="minorHAnsi" w:cs="Arial"/>
                <w:color w:val="000000" w:themeColor="text1"/>
              </w:rPr>
              <w:t>2014-15</w:t>
            </w:r>
          </w:p>
        </w:tc>
        <w:tc>
          <w:tcPr>
            <w:tcW w:w="2250" w:type="dxa"/>
          </w:tcPr>
          <w:p w:rsidR="00F0775C" w:rsidRPr="004C52FC" w:rsidRDefault="00F0775C" w:rsidP="001D736E">
            <w:pPr>
              <w:ind w:left="72"/>
              <w:rPr>
                <w:rFonts w:asciiTheme="minorHAnsi" w:hAnsiTheme="minorHAnsi" w:cs="Arial"/>
                <w:color w:val="000000" w:themeColor="text1"/>
              </w:rPr>
            </w:pPr>
          </w:p>
        </w:tc>
        <w:tc>
          <w:tcPr>
            <w:tcW w:w="4028" w:type="dxa"/>
          </w:tcPr>
          <w:p w:rsidR="00F0775C" w:rsidRPr="004C52FC" w:rsidRDefault="00F0775C" w:rsidP="001D736E">
            <w:pPr>
              <w:ind w:left="72"/>
              <w:rPr>
                <w:rFonts w:asciiTheme="minorHAnsi" w:hAnsiTheme="minorHAnsi" w:cs="Arial"/>
                <w:color w:val="000000" w:themeColor="text1"/>
              </w:rPr>
            </w:pPr>
          </w:p>
        </w:tc>
      </w:tr>
    </w:tbl>
    <w:p w:rsidR="00BF3561" w:rsidRDefault="00BF3561" w:rsidP="001D736E">
      <w:pPr>
        <w:pStyle w:val="ListParagraph"/>
        <w:tabs>
          <w:tab w:val="left" w:pos="5040"/>
        </w:tabs>
        <w:ind w:left="360"/>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E791C" w:rsidRDefault="00D35C00" w:rsidP="00D35C00">
      <w:pPr>
        <w:pStyle w:val="ListParagraph"/>
        <w:tabs>
          <w:tab w:val="left" w:pos="5040"/>
        </w:tabs>
        <w:rPr>
          <w:rFonts w:ascii="Arial" w:hAnsi="Arial" w:cs="Arial"/>
          <w:color w:val="000000" w:themeColor="text1"/>
        </w:rPr>
      </w:pPr>
      <w:proofErr w:type="gramStart"/>
      <w:r>
        <w:rPr>
          <w:rFonts w:ascii="Arial" w:hAnsi="Arial" w:cs="Arial"/>
          <w:color w:val="000000" w:themeColor="text1"/>
        </w:rPr>
        <w:t>Will be working to identify additional courses that are in the EUT program for assessment of general education outcomes.</w:t>
      </w:r>
      <w:proofErr w:type="gramEnd"/>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E791C">
      <w:pPr>
        <w:pStyle w:val="ListParagraph"/>
        <w:tabs>
          <w:tab w:val="left" w:pos="5040"/>
        </w:tabs>
        <w:rPr>
          <w:rFonts w:ascii="Arial" w:hAnsi="Arial" w:cs="Arial"/>
          <w:color w:val="000000" w:themeColor="text1"/>
        </w:rPr>
      </w:pPr>
    </w:p>
    <w:p w:rsidR="00D35C00" w:rsidRDefault="00D35C00" w:rsidP="003E791C">
      <w:pPr>
        <w:pStyle w:val="ListParagraph"/>
        <w:tabs>
          <w:tab w:val="left" w:pos="5040"/>
        </w:tabs>
        <w:rPr>
          <w:rFonts w:ascii="Arial" w:hAnsi="Arial" w:cs="Arial"/>
          <w:color w:val="000000" w:themeColor="text1"/>
        </w:rPr>
      </w:pPr>
      <w:r>
        <w:rPr>
          <w:rFonts w:ascii="Arial" w:hAnsi="Arial" w:cs="Arial"/>
          <w:color w:val="000000" w:themeColor="text1"/>
        </w:rPr>
        <w:t>Once in place, will assess results.</w:t>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C45053" w:rsidRDefault="00FB2E03" w:rsidP="00FB2E03">
      <w:pPr>
        <w:pStyle w:val="ListParagraph"/>
        <w:tabs>
          <w:tab w:val="left" w:pos="720"/>
          <w:tab w:val="left" w:pos="5040"/>
        </w:tabs>
        <w:rPr>
          <w:rFonts w:ascii="Arial" w:hAnsi="Arial" w:cs="Arial"/>
          <w:color w:val="000000" w:themeColor="text1"/>
        </w:rPr>
      </w:pPr>
      <w:proofErr w:type="spellStart"/>
      <w:r>
        <w:rPr>
          <w:rFonts w:ascii="Arial" w:hAnsi="Arial" w:cs="Arial"/>
          <w:color w:val="000000" w:themeColor="text1"/>
        </w:rPr>
        <w:t>Matlab</w:t>
      </w:r>
      <w:proofErr w:type="spellEnd"/>
      <w:r>
        <w:rPr>
          <w:rFonts w:ascii="Arial" w:hAnsi="Arial" w:cs="Arial"/>
          <w:color w:val="000000" w:themeColor="text1"/>
        </w:rPr>
        <w:t xml:space="preserve"> is currently used in EGR 1101 but was not formally taught as a part of the class.  As a result of student feedback, a formal block on </w:t>
      </w:r>
      <w:proofErr w:type="spellStart"/>
      <w:r>
        <w:rPr>
          <w:rFonts w:ascii="Arial" w:hAnsi="Arial" w:cs="Arial"/>
          <w:color w:val="000000" w:themeColor="text1"/>
        </w:rPr>
        <w:t>Matlab</w:t>
      </w:r>
      <w:proofErr w:type="spellEnd"/>
      <w:r>
        <w:rPr>
          <w:rFonts w:ascii="Arial" w:hAnsi="Arial" w:cs="Arial"/>
          <w:color w:val="000000" w:themeColor="text1"/>
        </w:rPr>
        <w:t xml:space="preserve"> has been added along with a test over the use of the program.</w:t>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C6B80" w:rsidRDefault="00FB2E03">
      <w:pPr>
        <w:pStyle w:val="ListParagraph"/>
        <w:tabs>
          <w:tab w:val="left" w:pos="5040"/>
        </w:tabs>
        <w:rPr>
          <w:rFonts w:ascii="Arial" w:hAnsi="Arial" w:cs="Arial"/>
          <w:color w:val="000000" w:themeColor="text1"/>
        </w:rPr>
      </w:pPr>
      <w:proofErr w:type="gramStart"/>
      <w:r>
        <w:rPr>
          <w:rFonts w:ascii="Arial" w:hAnsi="Arial" w:cs="Arial"/>
          <w:color w:val="000000" w:themeColor="text1"/>
        </w:rPr>
        <w:t xml:space="preserve">Feedback from students on their confidence with the program, along with test scores on the </w:t>
      </w:r>
      <w:proofErr w:type="spellStart"/>
      <w:r>
        <w:rPr>
          <w:rFonts w:ascii="Arial" w:hAnsi="Arial" w:cs="Arial"/>
          <w:color w:val="000000" w:themeColor="text1"/>
        </w:rPr>
        <w:t>Matlab</w:t>
      </w:r>
      <w:proofErr w:type="spellEnd"/>
      <w:r>
        <w:rPr>
          <w:rFonts w:ascii="Arial" w:hAnsi="Arial" w:cs="Arial"/>
          <w:color w:val="000000" w:themeColor="text1"/>
        </w:rPr>
        <w:t xml:space="preserve"> test.</w:t>
      </w:r>
      <w:proofErr w:type="gramEnd"/>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FB2E03" w:rsidRDefault="00FB2E03" w:rsidP="004C52FC">
      <w:pPr>
        <w:pStyle w:val="ListParagraph"/>
        <w:tabs>
          <w:tab w:val="left" w:pos="5040"/>
        </w:tabs>
        <w:rPr>
          <w:rFonts w:ascii="Arial" w:hAnsi="Arial" w:cs="Arial"/>
          <w:color w:val="000000" w:themeColor="text1"/>
        </w:rPr>
      </w:pPr>
      <w:r>
        <w:rPr>
          <w:rFonts w:ascii="Arial" w:hAnsi="Arial" w:cs="Arial"/>
          <w:color w:val="000000" w:themeColor="text1"/>
        </w:rPr>
        <w:t>No annual updates have been submitted since the program review.  This is being corrected starting this year.</w:t>
      </w:r>
    </w:p>
    <w:p w:rsidR="004C52FC" w:rsidRDefault="004C52FC" w:rsidP="004C52FC">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D736E" w:rsidRDefault="00D35C00" w:rsidP="00D35C00">
      <w:pPr>
        <w:pStyle w:val="ListParagraph"/>
        <w:tabs>
          <w:tab w:val="left" w:pos="5040"/>
        </w:tabs>
        <w:rPr>
          <w:rFonts w:ascii="Arial" w:hAnsi="Arial" w:cs="Arial"/>
          <w:color w:val="000000" w:themeColor="text1"/>
        </w:rPr>
      </w:pPr>
      <w:r>
        <w:rPr>
          <w:rFonts w:ascii="Arial" w:hAnsi="Arial" w:cs="Arial"/>
          <w:color w:val="000000" w:themeColor="text1"/>
        </w:rPr>
        <w:t xml:space="preserve">Additional efforts are being made to bring the EUT students into a community of students with the EUT Community Angel shell.   </w:t>
      </w:r>
    </w:p>
    <w:p w:rsidR="00A201E2" w:rsidRPr="0001394F" w:rsidRDefault="0001394F" w:rsidP="0001394F">
      <w:pPr>
        <w:spacing w:after="200" w:line="276" w:lineRule="auto"/>
        <w:rPr>
          <w:rFonts w:ascii="Arial" w:hAnsi="Arial" w:cs="Arial"/>
          <w:b/>
          <w:color w:val="000000" w:themeColor="text1"/>
        </w:rPr>
      </w:pPr>
      <w:r>
        <w:rPr>
          <w:rFonts w:ascii="Arial" w:hAnsi="Arial" w:cs="Arial"/>
          <w:color w:val="000000" w:themeColor="text1"/>
        </w:rPr>
        <w:t xml:space="preserve"> </w:t>
      </w:r>
      <w:bookmarkStart w:id="1" w:name="_GoBack"/>
      <w:bookmarkEnd w:id="1"/>
    </w:p>
    <w:sectPr w:rsidR="00A201E2" w:rsidRPr="0001394F" w:rsidSect="00A201E2">
      <w:pgSz w:w="12240" w:h="15840"/>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B60" w:rsidRDefault="00F67B60" w:rsidP="0094204C">
      <w:r>
        <w:separator/>
      </w:r>
    </w:p>
  </w:endnote>
  <w:endnote w:type="continuationSeparator" w:id="0">
    <w:p w:rsidR="00F67B60" w:rsidRDefault="00F67B60"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C50A91" w:rsidRDefault="00654115">
        <w:pPr>
          <w:pStyle w:val="Footer"/>
          <w:jc w:val="right"/>
        </w:pPr>
        <w:r>
          <w:fldChar w:fldCharType="begin"/>
        </w:r>
        <w:r>
          <w:instrText xml:space="preserve"> PAGE   \* MERGEFORMAT </w:instrText>
        </w:r>
        <w:r>
          <w:fldChar w:fldCharType="separate"/>
        </w:r>
        <w:r w:rsidR="0001394F">
          <w:rPr>
            <w:noProof/>
          </w:rPr>
          <w:t>11</w:t>
        </w:r>
        <w:r>
          <w:rPr>
            <w:noProof/>
          </w:rPr>
          <w:fldChar w:fldCharType="end"/>
        </w:r>
      </w:p>
    </w:sdtContent>
  </w:sdt>
  <w:p w:rsidR="00C50A91" w:rsidRDefault="00C50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B60" w:rsidRDefault="00F67B60" w:rsidP="0094204C">
      <w:r>
        <w:separator/>
      </w:r>
    </w:p>
  </w:footnote>
  <w:footnote w:type="continuationSeparator" w:id="0">
    <w:p w:rsidR="00F67B60" w:rsidRDefault="00F67B60"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F0203"/>
    <w:multiLevelType w:val="hybridMultilevel"/>
    <w:tmpl w:val="D0086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2E3CC8"/>
    <w:multiLevelType w:val="hybridMultilevel"/>
    <w:tmpl w:val="05ECB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1"/>
  </w:num>
  <w:num w:numId="5">
    <w:abstractNumId w:val="3"/>
  </w:num>
  <w:num w:numId="6">
    <w:abstractNumId w:val="7"/>
  </w:num>
  <w:num w:numId="7">
    <w:abstractNumId w:val="14"/>
  </w:num>
  <w:num w:numId="8">
    <w:abstractNumId w:val="12"/>
  </w:num>
  <w:num w:numId="9">
    <w:abstractNumId w:val="1"/>
  </w:num>
  <w:num w:numId="10">
    <w:abstractNumId w:val="15"/>
  </w:num>
  <w:num w:numId="11">
    <w:abstractNumId w:val="0"/>
  </w:num>
  <w:num w:numId="12">
    <w:abstractNumId w:val="13"/>
  </w:num>
  <w:num w:numId="13">
    <w:abstractNumId w:val="9"/>
  </w:num>
  <w:num w:numId="14">
    <w:abstractNumId w:val="4"/>
  </w:num>
  <w:num w:numId="15">
    <w:abstractNumId w:val="2"/>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1394F"/>
    <w:rsid w:val="000279EB"/>
    <w:rsid w:val="000337E6"/>
    <w:rsid w:val="00034CE6"/>
    <w:rsid w:val="00036DF9"/>
    <w:rsid w:val="00054BFD"/>
    <w:rsid w:val="00056964"/>
    <w:rsid w:val="000616F3"/>
    <w:rsid w:val="00063778"/>
    <w:rsid w:val="00065129"/>
    <w:rsid w:val="000738FE"/>
    <w:rsid w:val="00074BD5"/>
    <w:rsid w:val="00077C3B"/>
    <w:rsid w:val="00080933"/>
    <w:rsid w:val="00097843"/>
    <w:rsid w:val="000A089D"/>
    <w:rsid w:val="000A2A44"/>
    <w:rsid w:val="000A4EE0"/>
    <w:rsid w:val="000B0D23"/>
    <w:rsid w:val="000B0D4D"/>
    <w:rsid w:val="000B261C"/>
    <w:rsid w:val="000D1111"/>
    <w:rsid w:val="000D3A39"/>
    <w:rsid w:val="000E4EFE"/>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2776"/>
    <w:rsid w:val="001532B7"/>
    <w:rsid w:val="001628B1"/>
    <w:rsid w:val="00174C4B"/>
    <w:rsid w:val="001803A0"/>
    <w:rsid w:val="00181457"/>
    <w:rsid w:val="00183806"/>
    <w:rsid w:val="00183A7F"/>
    <w:rsid w:val="00184AE5"/>
    <w:rsid w:val="0018798A"/>
    <w:rsid w:val="00190F5C"/>
    <w:rsid w:val="0019135D"/>
    <w:rsid w:val="00195B7B"/>
    <w:rsid w:val="001A1B67"/>
    <w:rsid w:val="001A7AF7"/>
    <w:rsid w:val="001B6007"/>
    <w:rsid w:val="001C202C"/>
    <w:rsid w:val="001C42D0"/>
    <w:rsid w:val="001C5DC3"/>
    <w:rsid w:val="001D3E1D"/>
    <w:rsid w:val="001D5757"/>
    <w:rsid w:val="001D7080"/>
    <w:rsid w:val="001D736E"/>
    <w:rsid w:val="001E0764"/>
    <w:rsid w:val="001E7137"/>
    <w:rsid w:val="001F4B9E"/>
    <w:rsid w:val="002105E7"/>
    <w:rsid w:val="00210FF3"/>
    <w:rsid w:val="002245AB"/>
    <w:rsid w:val="00225B53"/>
    <w:rsid w:val="0022692B"/>
    <w:rsid w:val="002315EE"/>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22CE"/>
    <w:rsid w:val="00293D8D"/>
    <w:rsid w:val="002A1D8C"/>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7A3A"/>
    <w:rsid w:val="003454F6"/>
    <w:rsid w:val="00350D53"/>
    <w:rsid w:val="003641BA"/>
    <w:rsid w:val="00367F52"/>
    <w:rsid w:val="00372B02"/>
    <w:rsid w:val="0037786D"/>
    <w:rsid w:val="00377D40"/>
    <w:rsid w:val="003A298D"/>
    <w:rsid w:val="003B2034"/>
    <w:rsid w:val="003B5176"/>
    <w:rsid w:val="003B5F45"/>
    <w:rsid w:val="003B6EA6"/>
    <w:rsid w:val="003C1C8E"/>
    <w:rsid w:val="003C2993"/>
    <w:rsid w:val="003D2587"/>
    <w:rsid w:val="003D6946"/>
    <w:rsid w:val="003D6D6E"/>
    <w:rsid w:val="003E791C"/>
    <w:rsid w:val="00404810"/>
    <w:rsid w:val="00414645"/>
    <w:rsid w:val="00424E5D"/>
    <w:rsid w:val="00425F46"/>
    <w:rsid w:val="00434F56"/>
    <w:rsid w:val="004359FC"/>
    <w:rsid w:val="004467C4"/>
    <w:rsid w:val="00455833"/>
    <w:rsid w:val="004604FB"/>
    <w:rsid w:val="00461386"/>
    <w:rsid w:val="00462D00"/>
    <w:rsid w:val="004712EB"/>
    <w:rsid w:val="00476425"/>
    <w:rsid w:val="0048088F"/>
    <w:rsid w:val="00480BB2"/>
    <w:rsid w:val="004818E1"/>
    <w:rsid w:val="00481A7E"/>
    <w:rsid w:val="0048427F"/>
    <w:rsid w:val="00495C9D"/>
    <w:rsid w:val="004B7492"/>
    <w:rsid w:val="004C2B30"/>
    <w:rsid w:val="004C52FC"/>
    <w:rsid w:val="004C7DB2"/>
    <w:rsid w:val="004D3BE1"/>
    <w:rsid w:val="004D3C8C"/>
    <w:rsid w:val="004D7C2F"/>
    <w:rsid w:val="004E47AA"/>
    <w:rsid w:val="004E4BD6"/>
    <w:rsid w:val="004F41D5"/>
    <w:rsid w:val="00502D3E"/>
    <w:rsid w:val="0051294F"/>
    <w:rsid w:val="00516463"/>
    <w:rsid w:val="00520FBE"/>
    <w:rsid w:val="0052152C"/>
    <w:rsid w:val="0054350A"/>
    <w:rsid w:val="005531E8"/>
    <w:rsid w:val="005674F9"/>
    <w:rsid w:val="00573ECD"/>
    <w:rsid w:val="00585766"/>
    <w:rsid w:val="005863ED"/>
    <w:rsid w:val="005864A4"/>
    <w:rsid w:val="005918B2"/>
    <w:rsid w:val="00597F85"/>
    <w:rsid w:val="005D19D9"/>
    <w:rsid w:val="005F5F7E"/>
    <w:rsid w:val="005F6B5B"/>
    <w:rsid w:val="005F7377"/>
    <w:rsid w:val="0061454F"/>
    <w:rsid w:val="0061712A"/>
    <w:rsid w:val="00624906"/>
    <w:rsid w:val="006368CC"/>
    <w:rsid w:val="00637591"/>
    <w:rsid w:val="00640611"/>
    <w:rsid w:val="00643904"/>
    <w:rsid w:val="00651CF2"/>
    <w:rsid w:val="006532D6"/>
    <w:rsid w:val="00654115"/>
    <w:rsid w:val="0065453B"/>
    <w:rsid w:val="00654C15"/>
    <w:rsid w:val="006551C4"/>
    <w:rsid w:val="00660080"/>
    <w:rsid w:val="0066285F"/>
    <w:rsid w:val="0066607A"/>
    <w:rsid w:val="00677703"/>
    <w:rsid w:val="006835C1"/>
    <w:rsid w:val="00690A3D"/>
    <w:rsid w:val="006A2AA3"/>
    <w:rsid w:val="006B5D02"/>
    <w:rsid w:val="006B6194"/>
    <w:rsid w:val="006C0C43"/>
    <w:rsid w:val="006C142B"/>
    <w:rsid w:val="006C28B1"/>
    <w:rsid w:val="006C4C0B"/>
    <w:rsid w:val="006C4F5E"/>
    <w:rsid w:val="006D67EB"/>
    <w:rsid w:val="006E3686"/>
    <w:rsid w:val="006F0183"/>
    <w:rsid w:val="00716A26"/>
    <w:rsid w:val="00740D35"/>
    <w:rsid w:val="00746675"/>
    <w:rsid w:val="00751FC5"/>
    <w:rsid w:val="00781DA4"/>
    <w:rsid w:val="007825CC"/>
    <w:rsid w:val="007856A2"/>
    <w:rsid w:val="0078669D"/>
    <w:rsid w:val="00786F00"/>
    <w:rsid w:val="00791FF2"/>
    <w:rsid w:val="0079281D"/>
    <w:rsid w:val="00794EA2"/>
    <w:rsid w:val="007A43CE"/>
    <w:rsid w:val="007C1FEF"/>
    <w:rsid w:val="007C46D3"/>
    <w:rsid w:val="007C74F5"/>
    <w:rsid w:val="007E36F4"/>
    <w:rsid w:val="007F45E6"/>
    <w:rsid w:val="007F66F9"/>
    <w:rsid w:val="0080292B"/>
    <w:rsid w:val="008034BE"/>
    <w:rsid w:val="008056C5"/>
    <w:rsid w:val="00805C23"/>
    <w:rsid w:val="00807113"/>
    <w:rsid w:val="00813ADA"/>
    <w:rsid w:val="00817DDA"/>
    <w:rsid w:val="00821011"/>
    <w:rsid w:val="008258DA"/>
    <w:rsid w:val="00827AE5"/>
    <w:rsid w:val="00847243"/>
    <w:rsid w:val="008642E1"/>
    <w:rsid w:val="00875A7C"/>
    <w:rsid w:val="00877383"/>
    <w:rsid w:val="00880686"/>
    <w:rsid w:val="008836F4"/>
    <w:rsid w:val="008860C1"/>
    <w:rsid w:val="008909D4"/>
    <w:rsid w:val="008942FA"/>
    <w:rsid w:val="00897A68"/>
    <w:rsid w:val="008B52A0"/>
    <w:rsid w:val="008D4D55"/>
    <w:rsid w:val="008E063A"/>
    <w:rsid w:val="008F3D47"/>
    <w:rsid w:val="008F41A6"/>
    <w:rsid w:val="009108ED"/>
    <w:rsid w:val="00915CDA"/>
    <w:rsid w:val="00925394"/>
    <w:rsid w:val="0092540D"/>
    <w:rsid w:val="00925758"/>
    <w:rsid w:val="009268A3"/>
    <w:rsid w:val="009304B9"/>
    <w:rsid w:val="0094204C"/>
    <w:rsid w:val="00952FA6"/>
    <w:rsid w:val="00963DD8"/>
    <w:rsid w:val="00981D62"/>
    <w:rsid w:val="009A2F4E"/>
    <w:rsid w:val="009A616E"/>
    <w:rsid w:val="009A69F0"/>
    <w:rsid w:val="009C1092"/>
    <w:rsid w:val="009D4970"/>
    <w:rsid w:val="009D7D4C"/>
    <w:rsid w:val="009E2519"/>
    <w:rsid w:val="009F2769"/>
    <w:rsid w:val="009F71F8"/>
    <w:rsid w:val="00A03C1A"/>
    <w:rsid w:val="00A11155"/>
    <w:rsid w:val="00A14B89"/>
    <w:rsid w:val="00A201E2"/>
    <w:rsid w:val="00A21E6E"/>
    <w:rsid w:val="00A279B7"/>
    <w:rsid w:val="00A316A8"/>
    <w:rsid w:val="00A341DF"/>
    <w:rsid w:val="00A36DEE"/>
    <w:rsid w:val="00A51345"/>
    <w:rsid w:val="00A54831"/>
    <w:rsid w:val="00A6078F"/>
    <w:rsid w:val="00A62968"/>
    <w:rsid w:val="00A63ACE"/>
    <w:rsid w:val="00A8476F"/>
    <w:rsid w:val="00AC0386"/>
    <w:rsid w:val="00AC62F8"/>
    <w:rsid w:val="00AD4FA7"/>
    <w:rsid w:val="00AE4AD2"/>
    <w:rsid w:val="00AE5F43"/>
    <w:rsid w:val="00AF1271"/>
    <w:rsid w:val="00AF6A23"/>
    <w:rsid w:val="00B11F28"/>
    <w:rsid w:val="00B27095"/>
    <w:rsid w:val="00B31728"/>
    <w:rsid w:val="00B34F9E"/>
    <w:rsid w:val="00B42C55"/>
    <w:rsid w:val="00B44B23"/>
    <w:rsid w:val="00B4625A"/>
    <w:rsid w:val="00B608D5"/>
    <w:rsid w:val="00B61D81"/>
    <w:rsid w:val="00B62D15"/>
    <w:rsid w:val="00B700A5"/>
    <w:rsid w:val="00B71307"/>
    <w:rsid w:val="00B75DD0"/>
    <w:rsid w:val="00B764F8"/>
    <w:rsid w:val="00B81607"/>
    <w:rsid w:val="00B8227E"/>
    <w:rsid w:val="00B90F20"/>
    <w:rsid w:val="00B91F1E"/>
    <w:rsid w:val="00BA3246"/>
    <w:rsid w:val="00BA411F"/>
    <w:rsid w:val="00BA527A"/>
    <w:rsid w:val="00BB272C"/>
    <w:rsid w:val="00BB28CF"/>
    <w:rsid w:val="00BB4ABC"/>
    <w:rsid w:val="00BB4C9F"/>
    <w:rsid w:val="00BB5574"/>
    <w:rsid w:val="00BC12BF"/>
    <w:rsid w:val="00BC5FF1"/>
    <w:rsid w:val="00BC6C11"/>
    <w:rsid w:val="00BD2C4F"/>
    <w:rsid w:val="00BD3EF3"/>
    <w:rsid w:val="00BE51FF"/>
    <w:rsid w:val="00BF3561"/>
    <w:rsid w:val="00BF556C"/>
    <w:rsid w:val="00C05015"/>
    <w:rsid w:val="00C05EFD"/>
    <w:rsid w:val="00C22083"/>
    <w:rsid w:val="00C32DEA"/>
    <w:rsid w:val="00C37B7B"/>
    <w:rsid w:val="00C45053"/>
    <w:rsid w:val="00C50A91"/>
    <w:rsid w:val="00C52D74"/>
    <w:rsid w:val="00C5365F"/>
    <w:rsid w:val="00C56C48"/>
    <w:rsid w:val="00C616FD"/>
    <w:rsid w:val="00C63B58"/>
    <w:rsid w:val="00C7001F"/>
    <w:rsid w:val="00C71F16"/>
    <w:rsid w:val="00C77723"/>
    <w:rsid w:val="00C800A9"/>
    <w:rsid w:val="00C80222"/>
    <w:rsid w:val="00C86826"/>
    <w:rsid w:val="00C86D2C"/>
    <w:rsid w:val="00C90C76"/>
    <w:rsid w:val="00CA10D7"/>
    <w:rsid w:val="00CB09E0"/>
    <w:rsid w:val="00CC0679"/>
    <w:rsid w:val="00CC66AD"/>
    <w:rsid w:val="00CC69E8"/>
    <w:rsid w:val="00CC6AF3"/>
    <w:rsid w:val="00CD2613"/>
    <w:rsid w:val="00CE06A2"/>
    <w:rsid w:val="00CE118B"/>
    <w:rsid w:val="00CF0112"/>
    <w:rsid w:val="00CF34BC"/>
    <w:rsid w:val="00D07030"/>
    <w:rsid w:val="00D23E74"/>
    <w:rsid w:val="00D31DDA"/>
    <w:rsid w:val="00D35C00"/>
    <w:rsid w:val="00D44D7D"/>
    <w:rsid w:val="00D50759"/>
    <w:rsid w:val="00D52978"/>
    <w:rsid w:val="00D57E53"/>
    <w:rsid w:val="00D60F74"/>
    <w:rsid w:val="00D632DC"/>
    <w:rsid w:val="00D708C3"/>
    <w:rsid w:val="00D72CCC"/>
    <w:rsid w:val="00D73E22"/>
    <w:rsid w:val="00D9642E"/>
    <w:rsid w:val="00DA5E37"/>
    <w:rsid w:val="00DA7FA2"/>
    <w:rsid w:val="00DB041B"/>
    <w:rsid w:val="00DB17B2"/>
    <w:rsid w:val="00DC0672"/>
    <w:rsid w:val="00DC5CEE"/>
    <w:rsid w:val="00DD42DB"/>
    <w:rsid w:val="00DF5973"/>
    <w:rsid w:val="00DF738A"/>
    <w:rsid w:val="00DF7501"/>
    <w:rsid w:val="00E12A67"/>
    <w:rsid w:val="00E12E4F"/>
    <w:rsid w:val="00E13C55"/>
    <w:rsid w:val="00E14C90"/>
    <w:rsid w:val="00E16205"/>
    <w:rsid w:val="00E254D9"/>
    <w:rsid w:val="00E25ACC"/>
    <w:rsid w:val="00E40CAD"/>
    <w:rsid w:val="00E47A53"/>
    <w:rsid w:val="00E501C6"/>
    <w:rsid w:val="00E55AD1"/>
    <w:rsid w:val="00E642B3"/>
    <w:rsid w:val="00E66EBA"/>
    <w:rsid w:val="00E7049B"/>
    <w:rsid w:val="00E727F2"/>
    <w:rsid w:val="00E73A43"/>
    <w:rsid w:val="00E749F1"/>
    <w:rsid w:val="00E87116"/>
    <w:rsid w:val="00E90F22"/>
    <w:rsid w:val="00E96021"/>
    <w:rsid w:val="00E97968"/>
    <w:rsid w:val="00EA7AFE"/>
    <w:rsid w:val="00EB3C20"/>
    <w:rsid w:val="00EC0B9E"/>
    <w:rsid w:val="00EC1EB5"/>
    <w:rsid w:val="00EC6B80"/>
    <w:rsid w:val="00EC765B"/>
    <w:rsid w:val="00ED0C45"/>
    <w:rsid w:val="00ED4142"/>
    <w:rsid w:val="00EF15CD"/>
    <w:rsid w:val="00EF6A00"/>
    <w:rsid w:val="00EF6E21"/>
    <w:rsid w:val="00F0239E"/>
    <w:rsid w:val="00F0775C"/>
    <w:rsid w:val="00F07EFD"/>
    <w:rsid w:val="00F1164D"/>
    <w:rsid w:val="00F1200D"/>
    <w:rsid w:val="00F1316B"/>
    <w:rsid w:val="00F154DF"/>
    <w:rsid w:val="00F17C08"/>
    <w:rsid w:val="00F27D5C"/>
    <w:rsid w:val="00F340B8"/>
    <w:rsid w:val="00F37373"/>
    <w:rsid w:val="00F43F29"/>
    <w:rsid w:val="00F509AE"/>
    <w:rsid w:val="00F55212"/>
    <w:rsid w:val="00F60941"/>
    <w:rsid w:val="00F60C52"/>
    <w:rsid w:val="00F60FAC"/>
    <w:rsid w:val="00F67B60"/>
    <w:rsid w:val="00F7110B"/>
    <w:rsid w:val="00F81080"/>
    <w:rsid w:val="00F8191D"/>
    <w:rsid w:val="00F86156"/>
    <w:rsid w:val="00F920EB"/>
    <w:rsid w:val="00F938A3"/>
    <w:rsid w:val="00F94D4D"/>
    <w:rsid w:val="00F95896"/>
    <w:rsid w:val="00FA24D1"/>
    <w:rsid w:val="00FA7DDB"/>
    <w:rsid w:val="00FB0E89"/>
    <w:rsid w:val="00FB231A"/>
    <w:rsid w:val="00FB2E03"/>
    <w:rsid w:val="00FB4AA9"/>
    <w:rsid w:val="00FC1435"/>
    <w:rsid w:val="00FC45CA"/>
    <w:rsid w:val="00FC49AB"/>
    <w:rsid w:val="00FC7F0C"/>
    <w:rsid w:val="00FD4866"/>
    <w:rsid w:val="00FE084D"/>
    <w:rsid w:val="00FF050B"/>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Overall Department Completions (Degrees)</a:t>
            </a:r>
          </a:p>
        </c:rich>
      </c:tx>
      <c:overlay val="0"/>
    </c:title>
    <c:autoTitleDeleted val="0"/>
    <c:plotArea>
      <c:layout/>
      <c:barChart>
        <c:barDir val="col"/>
        <c:grouping val="clustered"/>
        <c:varyColors val="0"/>
        <c:ser>
          <c:idx val="0"/>
          <c:order val="0"/>
          <c:tx>
            <c:strRef>
              <c:f>Sheet1!$A$20</c:f>
              <c:strCache>
                <c:ptCount val="1"/>
                <c:pt idx="0">
                  <c:v>0573 - ESUP.AS</c:v>
                </c:pt>
              </c:strCache>
            </c:strRef>
          </c:tx>
          <c:invertIfNegative val="0"/>
          <c:cat>
            <c:strRef>
              <c:f>Sheet1!$B$19:$F$19</c:f>
              <c:strCache>
                <c:ptCount val="5"/>
                <c:pt idx="0">
                  <c:v>FY 07-08</c:v>
                </c:pt>
                <c:pt idx="1">
                  <c:v>FY 08-09</c:v>
                </c:pt>
                <c:pt idx="2">
                  <c:v>FY 09-10</c:v>
                </c:pt>
                <c:pt idx="3">
                  <c:v>FY 10-11</c:v>
                </c:pt>
                <c:pt idx="4">
                  <c:v>FY 11-12</c:v>
                </c:pt>
              </c:strCache>
            </c:strRef>
          </c:cat>
          <c:val>
            <c:numRef>
              <c:f>Sheet1!$B$20:$F$20</c:f>
              <c:numCache>
                <c:formatCode>General</c:formatCode>
                <c:ptCount val="5"/>
                <c:pt idx="0">
                  <c:v>22</c:v>
                </c:pt>
                <c:pt idx="1">
                  <c:v>24</c:v>
                </c:pt>
                <c:pt idx="2">
                  <c:v>27</c:v>
                </c:pt>
                <c:pt idx="3">
                  <c:v>30</c:v>
                </c:pt>
                <c:pt idx="4">
                  <c:v>31</c:v>
                </c:pt>
              </c:numCache>
            </c:numRef>
          </c:val>
        </c:ser>
        <c:dLbls>
          <c:showLegendKey val="0"/>
          <c:showVal val="1"/>
          <c:showCatName val="0"/>
          <c:showSerName val="0"/>
          <c:showPercent val="0"/>
          <c:showBubbleSize val="0"/>
        </c:dLbls>
        <c:gapWidth val="150"/>
        <c:overlap val="-25"/>
        <c:axId val="135054848"/>
        <c:axId val="135056384"/>
      </c:barChart>
      <c:catAx>
        <c:axId val="135054848"/>
        <c:scaling>
          <c:orientation val="minMax"/>
        </c:scaling>
        <c:delete val="0"/>
        <c:axPos val="b"/>
        <c:majorTickMark val="none"/>
        <c:minorTickMark val="none"/>
        <c:tickLblPos val="nextTo"/>
        <c:crossAx val="135056384"/>
        <c:crosses val="autoZero"/>
        <c:auto val="1"/>
        <c:lblAlgn val="ctr"/>
        <c:lblOffset val="100"/>
        <c:noMultiLvlLbl val="0"/>
      </c:catAx>
      <c:valAx>
        <c:axId val="135056384"/>
        <c:scaling>
          <c:orientation val="minMax"/>
        </c:scaling>
        <c:delete val="0"/>
        <c:axPos val="l"/>
        <c:numFmt formatCode="General" sourceLinked="1"/>
        <c:majorTickMark val="out"/>
        <c:minorTickMark val="none"/>
        <c:tickLblPos val="nextTo"/>
        <c:crossAx val="1350548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Male/Female Enrollment</a:t>
            </a:r>
          </a:p>
        </c:rich>
      </c:tx>
      <c:overlay val="1"/>
    </c:title>
    <c:autoTitleDeleted val="0"/>
    <c:plotArea>
      <c:layout/>
      <c:barChart>
        <c:barDir val="col"/>
        <c:grouping val="stacked"/>
        <c:varyColors val="0"/>
        <c:ser>
          <c:idx val="0"/>
          <c:order val="0"/>
          <c:tx>
            <c:strRef>
              <c:f>Sheet1!$A$5</c:f>
              <c:strCache>
                <c:ptCount val="1"/>
                <c:pt idx="0">
                  <c:v>Male</c:v>
                </c:pt>
              </c:strCache>
            </c:strRef>
          </c:tx>
          <c:invertIfNegative val="0"/>
          <c:cat>
            <c:strRef>
              <c:f>Sheet1!$B$1:$F$1</c:f>
              <c:strCache>
                <c:ptCount val="5"/>
                <c:pt idx="0">
                  <c:v>08/FA</c:v>
                </c:pt>
                <c:pt idx="1">
                  <c:v>09/FA</c:v>
                </c:pt>
                <c:pt idx="2">
                  <c:v>10/FA</c:v>
                </c:pt>
                <c:pt idx="3">
                  <c:v>11/FA</c:v>
                </c:pt>
                <c:pt idx="4">
                  <c:v>12/FA</c:v>
                </c:pt>
              </c:strCache>
            </c:strRef>
          </c:cat>
          <c:val>
            <c:numRef>
              <c:f>Sheet1!$B$5:$F$5</c:f>
              <c:numCache>
                <c:formatCode>0%</c:formatCode>
                <c:ptCount val="5"/>
                <c:pt idx="0">
                  <c:v>0.882943143812709</c:v>
                </c:pt>
                <c:pt idx="1">
                  <c:v>0.86423841059602646</c:v>
                </c:pt>
                <c:pt idx="2">
                  <c:v>0.87464387464387461</c:v>
                </c:pt>
                <c:pt idx="3">
                  <c:v>0.82513661202185795</c:v>
                </c:pt>
                <c:pt idx="4">
                  <c:v>0.83743842364532017</c:v>
                </c:pt>
              </c:numCache>
            </c:numRef>
          </c:val>
        </c:ser>
        <c:ser>
          <c:idx val="1"/>
          <c:order val="1"/>
          <c:tx>
            <c:strRef>
              <c:f>Sheet1!$A$7</c:f>
              <c:strCache>
                <c:ptCount val="1"/>
                <c:pt idx="0">
                  <c:v>Female</c:v>
                </c:pt>
              </c:strCache>
            </c:strRef>
          </c:tx>
          <c:invertIfNegative val="0"/>
          <c:cat>
            <c:strRef>
              <c:f>Sheet1!$B$1:$F$1</c:f>
              <c:strCache>
                <c:ptCount val="5"/>
                <c:pt idx="0">
                  <c:v>08/FA</c:v>
                </c:pt>
                <c:pt idx="1">
                  <c:v>09/FA</c:v>
                </c:pt>
                <c:pt idx="2">
                  <c:v>10/FA</c:v>
                </c:pt>
                <c:pt idx="3">
                  <c:v>11/FA</c:v>
                </c:pt>
                <c:pt idx="4">
                  <c:v>12/FA</c:v>
                </c:pt>
              </c:strCache>
            </c:strRef>
          </c:cat>
          <c:val>
            <c:numRef>
              <c:f>Sheet1!$B$7:$F$7</c:f>
              <c:numCache>
                <c:formatCode>0%</c:formatCode>
                <c:ptCount val="5"/>
                <c:pt idx="0">
                  <c:v>0.11705685618729098</c:v>
                </c:pt>
                <c:pt idx="1">
                  <c:v>0.13576158940397351</c:v>
                </c:pt>
                <c:pt idx="2">
                  <c:v>0.12535612535612536</c:v>
                </c:pt>
                <c:pt idx="3">
                  <c:v>0.17486338797814208</c:v>
                </c:pt>
                <c:pt idx="4">
                  <c:v>0.1625615763546798</c:v>
                </c:pt>
              </c:numCache>
            </c:numRef>
          </c:val>
        </c:ser>
        <c:dLbls>
          <c:showLegendKey val="0"/>
          <c:showVal val="0"/>
          <c:showCatName val="0"/>
          <c:showSerName val="0"/>
          <c:showPercent val="0"/>
          <c:showBubbleSize val="0"/>
        </c:dLbls>
        <c:gapWidth val="150"/>
        <c:overlap val="100"/>
        <c:axId val="72806400"/>
        <c:axId val="72807936"/>
      </c:barChart>
      <c:catAx>
        <c:axId val="72806400"/>
        <c:scaling>
          <c:orientation val="minMax"/>
        </c:scaling>
        <c:delete val="0"/>
        <c:axPos val="b"/>
        <c:majorTickMark val="out"/>
        <c:minorTickMark val="none"/>
        <c:tickLblPos val="nextTo"/>
        <c:crossAx val="72807936"/>
        <c:crosses val="autoZero"/>
        <c:auto val="1"/>
        <c:lblAlgn val="ctr"/>
        <c:lblOffset val="100"/>
        <c:noMultiLvlLbl val="0"/>
      </c:catAx>
      <c:valAx>
        <c:axId val="72807936"/>
        <c:scaling>
          <c:orientation val="minMax"/>
        </c:scaling>
        <c:delete val="0"/>
        <c:axPos val="l"/>
        <c:majorGridlines/>
        <c:numFmt formatCode="0%" sourceLinked="1"/>
        <c:majorTickMark val="out"/>
        <c:minorTickMark val="none"/>
        <c:tickLblPos val="nextTo"/>
        <c:crossAx val="7280640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Program Demographic Trends</a:t>
            </a:r>
          </a:p>
        </c:rich>
      </c:tx>
      <c:overlay val="0"/>
    </c:title>
    <c:autoTitleDeleted val="0"/>
    <c:plotArea>
      <c:layout/>
      <c:lineChart>
        <c:grouping val="standard"/>
        <c:varyColors val="0"/>
        <c:ser>
          <c:idx val="0"/>
          <c:order val="0"/>
          <c:tx>
            <c:strRef>
              <c:f>Sheet1!$A$10</c:f>
              <c:strCache>
                <c:ptCount val="1"/>
                <c:pt idx="0">
                  <c:v>Black</c:v>
                </c:pt>
              </c:strCache>
            </c:strRef>
          </c:tx>
          <c:marker>
            <c:symbol val="none"/>
          </c:marker>
          <c:cat>
            <c:strRef>
              <c:f>Sheet1!$B$9:$F$9</c:f>
              <c:strCache>
                <c:ptCount val="5"/>
                <c:pt idx="0">
                  <c:v>FY 07-08</c:v>
                </c:pt>
                <c:pt idx="1">
                  <c:v>FY 08-09</c:v>
                </c:pt>
                <c:pt idx="2">
                  <c:v>FY 09-10</c:v>
                </c:pt>
                <c:pt idx="3">
                  <c:v>FY 10-11</c:v>
                </c:pt>
                <c:pt idx="4">
                  <c:v>FY 11-12</c:v>
                </c:pt>
              </c:strCache>
            </c:strRef>
          </c:cat>
          <c:val>
            <c:numRef>
              <c:f>Sheet1!$B$10:$F$10</c:f>
              <c:numCache>
                <c:formatCode>0%</c:formatCode>
                <c:ptCount val="5"/>
                <c:pt idx="0">
                  <c:v>0.12040133779264214</c:v>
                </c:pt>
                <c:pt idx="1">
                  <c:v>0.11920529801324503</c:v>
                </c:pt>
                <c:pt idx="2">
                  <c:v>7.9772079772079771E-2</c:v>
                </c:pt>
                <c:pt idx="3">
                  <c:v>0.12295081967213115</c:v>
                </c:pt>
                <c:pt idx="4">
                  <c:v>0.11330049261083744</c:v>
                </c:pt>
              </c:numCache>
            </c:numRef>
          </c:val>
          <c:smooth val="0"/>
        </c:ser>
        <c:ser>
          <c:idx val="1"/>
          <c:order val="1"/>
          <c:tx>
            <c:strRef>
              <c:f>Sheet1!$A$11</c:f>
              <c:strCache>
                <c:ptCount val="1"/>
                <c:pt idx="0">
                  <c:v>Am Ind</c:v>
                </c:pt>
              </c:strCache>
            </c:strRef>
          </c:tx>
          <c:marker>
            <c:symbol val="none"/>
          </c:marker>
          <c:cat>
            <c:strRef>
              <c:f>Sheet1!$B$9:$F$9</c:f>
              <c:strCache>
                <c:ptCount val="5"/>
                <c:pt idx="0">
                  <c:v>FY 07-08</c:v>
                </c:pt>
                <c:pt idx="1">
                  <c:v>FY 08-09</c:v>
                </c:pt>
                <c:pt idx="2">
                  <c:v>FY 09-10</c:v>
                </c:pt>
                <c:pt idx="3">
                  <c:v>FY 10-11</c:v>
                </c:pt>
                <c:pt idx="4">
                  <c:v>FY 11-12</c:v>
                </c:pt>
              </c:strCache>
            </c:strRef>
          </c:cat>
          <c:val>
            <c:numRef>
              <c:f>Sheet1!$B$11:$F$11</c:f>
              <c:numCache>
                <c:formatCode>0%</c:formatCode>
                <c:ptCount val="5"/>
                <c:pt idx="0">
                  <c:v>1.6722408026755852E-2</c:v>
                </c:pt>
                <c:pt idx="1">
                  <c:v>1.6556291390728478E-2</c:v>
                </c:pt>
                <c:pt idx="2">
                  <c:v>1.1396011396011397E-2</c:v>
                </c:pt>
                <c:pt idx="3">
                  <c:v>2.7322404371584699E-3</c:v>
                </c:pt>
                <c:pt idx="4">
                  <c:v>2.4630541871921183E-3</c:v>
                </c:pt>
              </c:numCache>
            </c:numRef>
          </c:val>
          <c:smooth val="0"/>
        </c:ser>
        <c:ser>
          <c:idx val="2"/>
          <c:order val="2"/>
          <c:tx>
            <c:strRef>
              <c:f>Sheet1!$A$12</c:f>
              <c:strCache>
                <c:ptCount val="1"/>
                <c:pt idx="0">
                  <c:v>Asian</c:v>
                </c:pt>
              </c:strCache>
            </c:strRef>
          </c:tx>
          <c:marker>
            <c:symbol val="none"/>
          </c:marker>
          <c:cat>
            <c:strRef>
              <c:f>Sheet1!$B$9:$F$9</c:f>
              <c:strCache>
                <c:ptCount val="5"/>
                <c:pt idx="0">
                  <c:v>FY 07-08</c:v>
                </c:pt>
                <c:pt idx="1">
                  <c:v>FY 08-09</c:v>
                </c:pt>
                <c:pt idx="2">
                  <c:v>FY 09-10</c:v>
                </c:pt>
                <c:pt idx="3">
                  <c:v>FY 10-11</c:v>
                </c:pt>
                <c:pt idx="4">
                  <c:v>FY 11-12</c:v>
                </c:pt>
              </c:strCache>
            </c:strRef>
          </c:cat>
          <c:val>
            <c:numRef>
              <c:f>Sheet1!$B$12:$F$12</c:f>
              <c:numCache>
                <c:formatCode>0%</c:formatCode>
                <c:ptCount val="5"/>
                <c:pt idx="0">
                  <c:v>5.016722408026756E-2</c:v>
                </c:pt>
                <c:pt idx="1">
                  <c:v>4.6357615894039736E-2</c:v>
                </c:pt>
                <c:pt idx="2">
                  <c:v>4.843304843304843E-2</c:v>
                </c:pt>
                <c:pt idx="3">
                  <c:v>3.825136612021858E-2</c:v>
                </c:pt>
                <c:pt idx="4">
                  <c:v>4.1871921182266007E-2</c:v>
                </c:pt>
              </c:numCache>
            </c:numRef>
          </c:val>
          <c:smooth val="0"/>
        </c:ser>
        <c:ser>
          <c:idx val="3"/>
          <c:order val="3"/>
          <c:tx>
            <c:strRef>
              <c:f>Sheet1!$A$13</c:f>
              <c:strCache>
                <c:ptCount val="1"/>
                <c:pt idx="0">
                  <c:v>Hispanic</c:v>
                </c:pt>
              </c:strCache>
            </c:strRef>
          </c:tx>
          <c:marker>
            <c:symbol val="none"/>
          </c:marker>
          <c:cat>
            <c:strRef>
              <c:f>Sheet1!$B$9:$F$9</c:f>
              <c:strCache>
                <c:ptCount val="5"/>
                <c:pt idx="0">
                  <c:v>FY 07-08</c:v>
                </c:pt>
                <c:pt idx="1">
                  <c:v>FY 08-09</c:v>
                </c:pt>
                <c:pt idx="2">
                  <c:v>FY 09-10</c:v>
                </c:pt>
                <c:pt idx="3">
                  <c:v>FY 10-11</c:v>
                </c:pt>
                <c:pt idx="4">
                  <c:v>FY 11-12</c:v>
                </c:pt>
              </c:strCache>
            </c:strRef>
          </c:cat>
          <c:val>
            <c:numRef>
              <c:f>Sheet1!$B$13:$F$13</c:f>
              <c:numCache>
                <c:formatCode>0%</c:formatCode>
                <c:ptCount val="5"/>
                <c:pt idx="0">
                  <c:v>2.0066889632107024E-2</c:v>
                </c:pt>
                <c:pt idx="1">
                  <c:v>2.6490066225165563E-2</c:v>
                </c:pt>
                <c:pt idx="2">
                  <c:v>3.4188034188034191E-2</c:v>
                </c:pt>
                <c:pt idx="3">
                  <c:v>3.2786885245901641E-2</c:v>
                </c:pt>
                <c:pt idx="4">
                  <c:v>1.7241379310344827E-2</c:v>
                </c:pt>
              </c:numCache>
            </c:numRef>
          </c:val>
          <c:smooth val="0"/>
        </c:ser>
        <c:dLbls>
          <c:showLegendKey val="0"/>
          <c:showVal val="0"/>
          <c:showCatName val="0"/>
          <c:showSerName val="0"/>
          <c:showPercent val="0"/>
          <c:showBubbleSize val="0"/>
        </c:dLbls>
        <c:marker val="1"/>
        <c:smooth val="0"/>
        <c:axId val="136310784"/>
        <c:axId val="136312320"/>
      </c:lineChart>
      <c:catAx>
        <c:axId val="136310784"/>
        <c:scaling>
          <c:orientation val="minMax"/>
        </c:scaling>
        <c:delete val="0"/>
        <c:axPos val="b"/>
        <c:majorTickMark val="out"/>
        <c:minorTickMark val="none"/>
        <c:tickLblPos val="nextTo"/>
        <c:crossAx val="136312320"/>
        <c:crosses val="autoZero"/>
        <c:auto val="1"/>
        <c:lblAlgn val="ctr"/>
        <c:lblOffset val="100"/>
        <c:noMultiLvlLbl val="0"/>
      </c:catAx>
      <c:valAx>
        <c:axId val="136312320"/>
        <c:scaling>
          <c:orientation val="minMax"/>
        </c:scaling>
        <c:delete val="0"/>
        <c:axPos val="l"/>
        <c:majorGridlines/>
        <c:numFmt formatCode="0%" sourceLinked="1"/>
        <c:majorTickMark val="out"/>
        <c:minorTickMark val="none"/>
        <c:tickLblPos val="nextTo"/>
        <c:crossAx val="1363107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3C8A4-766A-4FC1-BB10-98865626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Virtualization Clean PC</cp:lastModifiedBy>
  <cp:revision>2</cp:revision>
  <cp:lastPrinted>2012-09-18T13:09:00Z</cp:lastPrinted>
  <dcterms:created xsi:type="dcterms:W3CDTF">2012-10-01T15:24:00Z</dcterms:created>
  <dcterms:modified xsi:type="dcterms:W3CDTF">2012-10-01T15:24:00Z</dcterms:modified>
</cp:coreProperties>
</file>