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D90669">
                        <w:rPr>
                          <w:rFonts w:ascii="Arial" w:hAnsi="Arial" w:cs="Arial"/>
                          <w:b/>
                          <w:sz w:val="20"/>
                          <w:szCs w:val="20"/>
                        </w:rPr>
                        <w:t xml:space="preserve">SME – </w:t>
                      </w:r>
                      <w:r w:rsidR="00D40B9B">
                        <w:rPr>
                          <w:rFonts w:ascii="Arial" w:hAnsi="Arial" w:cs="Arial"/>
                          <w:b/>
                          <w:sz w:val="20"/>
                          <w:szCs w:val="20"/>
                        </w:rPr>
                        <w:t xml:space="preserve">0554 Energy Management </w:t>
                      </w:r>
                      <w:r w:rsidR="0075014F" w:rsidRPr="0075014F">
                        <w:rPr>
                          <w:rFonts w:ascii="Arial" w:hAnsi="Arial" w:cs="Arial"/>
                          <w:b/>
                          <w:sz w:val="20"/>
                          <w:szCs w:val="20"/>
                        </w:rPr>
                        <w:t>Technology</w:t>
                      </w:r>
                      <w:r w:rsidR="00D90669">
                        <w:rPr>
                          <w:rFonts w:ascii="Arial" w:hAnsi="Arial" w:cs="Arial"/>
                          <w:b/>
                          <w:sz w:val="20"/>
                          <w:szCs w:val="20"/>
                        </w:rPr>
                        <w:br/>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AA366C">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B636CF">
        <w:rPr>
          <w:rFonts w:ascii="Arial" w:hAnsi="Arial" w:cs="Arial"/>
          <w:color w:val="000000" w:themeColor="text1"/>
        </w:rPr>
        <w:t>2019-2020</w:t>
      </w:r>
    </w:p>
    <w:p w:rsidR="00827AE5" w:rsidRPr="00CD2613" w:rsidRDefault="00827AE5" w:rsidP="00F0239E">
      <w:pPr>
        <w:jc w:val="center"/>
        <w:rPr>
          <w:rFonts w:ascii="Arial" w:hAnsi="Arial" w:cs="Arial"/>
          <w:b/>
          <w:color w:val="000000" w:themeColor="text1"/>
        </w:rPr>
      </w:pPr>
    </w:p>
    <w:p w:rsidR="00F0239E" w:rsidRDefault="007334E1"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7C2A6E" w:rsidRDefault="007C2A6E"/>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7C2A6E" w:rsidTr="001F6669">
        <w:trPr>
          <w:trHeight w:val="466"/>
        </w:trPr>
        <w:tc>
          <w:tcPr>
            <w:tcW w:w="3951" w:type="dxa"/>
          </w:tcPr>
          <w:p w:rsidR="007C2A6E" w:rsidRPr="0037786D" w:rsidRDefault="007C2A6E" w:rsidP="001F6669">
            <w:pPr>
              <w:spacing w:before="120"/>
              <w:jc w:val="center"/>
              <w:rPr>
                <w:rFonts w:ascii="Arial" w:hAnsi="Arial" w:cs="Arial"/>
                <w:b/>
              </w:rPr>
            </w:pPr>
            <w:r w:rsidRPr="0037786D">
              <w:rPr>
                <w:rFonts w:ascii="Arial" w:hAnsi="Arial" w:cs="Arial"/>
                <w:b/>
              </w:rPr>
              <w:t>GOALS</w:t>
            </w:r>
          </w:p>
        </w:tc>
        <w:tc>
          <w:tcPr>
            <w:tcW w:w="2647" w:type="dxa"/>
          </w:tcPr>
          <w:p w:rsidR="007C2A6E" w:rsidRPr="0037786D" w:rsidRDefault="007C2A6E" w:rsidP="001F6669">
            <w:pPr>
              <w:spacing w:before="120"/>
              <w:jc w:val="center"/>
              <w:rPr>
                <w:rFonts w:ascii="Arial" w:hAnsi="Arial" w:cs="Arial"/>
                <w:b/>
              </w:rPr>
            </w:pPr>
            <w:r>
              <w:rPr>
                <w:rFonts w:ascii="Arial" w:hAnsi="Arial" w:cs="Arial"/>
                <w:b/>
              </w:rPr>
              <w:t>Status</w:t>
            </w:r>
          </w:p>
        </w:tc>
        <w:tc>
          <w:tcPr>
            <w:tcW w:w="6632" w:type="dxa"/>
          </w:tcPr>
          <w:p w:rsidR="007C2A6E" w:rsidRPr="0037786D" w:rsidRDefault="007C2A6E" w:rsidP="001F6669">
            <w:pPr>
              <w:spacing w:before="120"/>
              <w:jc w:val="center"/>
              <w:rPr>
                <w:rFonts w:ascii="Arial" w:hAnsi="Arial" w:cs="Arial"/>
                <w:b/>
              </w:rPr>
            </w:pPr>
            <w:r>
              <w:rPr>
                <w:rFonts w:ascii="Arial" w:hAnsi="Arial" w:cs="Arial"/>
                <w:b/>
              </w:rPr>
              <w:t>Progress or Rationale for No Longer Applicable</w:t>
            </w:r>
          </w:p>
        </w:tc>
      </w:tr>
    </w:tbl>
    <w:p w:rsidR="00B11028" w:rsidRDefault="00B11028"/>
    <w:p w:rsidR="00D40B9B" w:rsidRDefault="00D40B9B"/>
    <w:p w:rsidR="00D40B9B" w:rsidRDefault="00D40B9B">
      <w:pPr>
        <w:spacing w:after="200" w:line="276" w:lineRule="auto"/>
        <w:rPr>
          <w:rFonts w:ascii="Arial" w:hAnsi="Arial" w:cs="Arial"/>
          <w:color w:val="000000" w:themeColor="text1"/>
        </w:rPr>
      </w:pPr>
      <w:r>
        <w:rPr>
          <w:rFonts w:ascii="Arial" w:hAnsi="Arial" w:cs="Arial"/>
          <w:color w:val="000000" w:themeColor="text1"/>
        </w:rP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7C2A6E" w:rsidRPr="0037786D" w:rsidTr="001F6669">
        <w:tc>
          <w:tcPr>
            <w:tcW w:w="3708" w:type="dxa"/>
          </w:tcPr>
          <w:p w:rsidR="007C2A6E" w:rsidRPr="0037786D" w:rsidRDefault="007C2A6E" w:rsidP="001F6669">
            <w:pPr>
              <w:spacing w:before="120"/>
              <w:jc w:val="center"/>
              <w:rPr>
                <w:rFonts w:ascii="Arial" w:hAnsi="Arial" w:cs="Arial"/>
                <w:b/>
              </w:rPr>
            </w:pPr>
            <w:r>
              <w:rPr>
                <w:rFonts w:ascii="Arial" w:hAnsi="Arial" w:cs="Arial"/>
                <w:b/>
              </w:rPr>
              <w:t>RECOMMENDATIONS</w:t>
            </w:r>
          </w:p>
        </w:tc>
        <w:tc>
          <w:tcPr>
            <w:tcW w:w="2700" w:type="dxa"/>
          </w:tcPr>
          <w:p w:rsidR="007C2A6E" w:rsidRPr="0037786D" w:rsidRDefault="007C2A6E" w:rsidP="001F6669">
            <w:pPr>
              <w:spacing w:before="120"/>
              <w:jc w:val="center"/>
              <w:rPr>
                <w:rFonts w:ascii="Arial" w:hAnsi="Arial" w:cs="Arial"/>
                <w:b/>
              </w:rPr>
            </w:pPr>
            <w:r>
              <w:rPr>
                <w:rFonts w:ascii="Arial" w:hAnsi="Arial" w:cs="Arial"/>
                <w:b/>
              </w:rPr>
              <w:t>Status</w:t>
            </w:r>
          </w:p>
        </w:tc>
        <w:tc>
          <w:tcPr>
            <w:tcW w:w="6480" w:type="dxa"/>
          </w:tcPr>
          <w:p w:rsidR="007C2A6E" w:rsidRPr="0037786D" w:rsidRDefault="007C2A6E" w:rsidP="001F6669">
            <w:pPr>
              <w:spacing w:before="120"/>
              <w:jc w:val="center"/>
              <w:rPr>
                <w:rFonts w:ascii="Arial" w:hAnsi="Arial" w:cs="Arial"/>
                <w:b/>
              </w:rPr>
            </w:pPr>
            <w:r>
              <w:rPr>
                <w:rFonts w:ascii="Arial" w:hAnsi="Arial" w:cs="Arial"/>
                <w:b/>
              </w:rPr>
              <w:t>Progress or Rationale for No Longer Applicable</w:t>
            </w:r>
          </w:p>
        </w:tc>
      </w:tr>
      <w:tr w:rsidR="007C2A6E" w:rsidRPr="0037786D" w:rsidTr="001F6669">
        <w:tc>
          <w:tcPr>
            <w:tcW w:w="3708" w:type="dxa"/>
          </w:tcPr>
          <w:p w:rsidR="007C2A6E" w:rsidRDefault="007C2A6E" w:rsidP="001F6669">
            <w:pPr>
              <w:pStyle w:val="ListParagraph"/>
              <w:ind w:left="0"/>
              <w:rPr>
                <w:rFonts w:ascii="Arial" w:hAnsi="Arial" w:cs="Arial"/>
                <w:color w:val="000000"/>
                <w:sz w:val="22"/>
                <w:szCs w:val="22"/>
              </w:rPr>
            </w:pPr>
            <w:r w:rsidRPr="00A973BA">
              <w:rPr>
                <w:rFonts w:ascii="Arial" w:hAnsi="Arial" w:cs="Arial"/>
                <w:color w:val="000000"/>
                <w:sz w:val="22"/>
                <w:szCs w:val="22"/>
              </w:rPr>
              <w:t>According to the self-study, “students entering the program are generally ill-prepared in math”.  The department is encouraged to consider adding MAT prerequisites to some of its courses early in the program – and perhaps later in the program for higher level MAT courses - based on careful deliberation and data regarding how well students who have not had the proposed prerequisite compare in terms of course completions with those who have had the proposed perquisite.</w:t>
            </w:r>
          </w:p>
          <w:p w:rsidR="008753AC" w:rsidRPr="00A973BA" w:rsidRDefault="008753AC" w:rsidP="001F6669">
            <w:pPr>
              <w:pStyle w:val="ListParagraph"/>
              <w:ind w:left="0"/>
              <w:rPr>
                <w:rFonts w:ascii="Arial" w:hAnsi="Arial" w:cs="Arial"/>
                <w:color w:val="000000" w:themeColor="text1"/>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7C2A6E" w:rsidRPr="00A973BA" w:rsidRDefault="007C2A6E" w:rsidP="001F6669">
            <w:pPr>
              <w:rPr>
                <w:rFonts w:ascii="Arial" w:hAnsi="Arial" w:cs="Arial"/>
                <w:sz w:val="22"/>
                <w:szCs w:val="22"/>
              </w:rPr>
            </w:pPr>
            <w:r w:rsidRPr="00A973BA">
              <w:rPr>
                <w:rFonts w:ascii="Arial" w:hAnsi="Arial" w:cs="Arial"/>
                <w:sz w:val="22"/>
                <w:szCs w:val="22"/>
              </w:rPr>
              <w:t xml:space="preserve">The department has taken care not to include many prerequisites in introductory courses for fear of turning students off initially.   However, the tech math courses once required for the degrees have been changed to MAT1580 </w:t>
            </w:r>
            <w:proofErr w:type="spellStart"/>
            <w:r w:rsidRPr="00A973BA">
              <w:rPr>
                <w:rFonts w:ascii="Arial" w:hAnsi="Arial" w:cs="Arial"/>
                <w:sz w:val="22"/>
                <w:szCs w:val="22"/>
              </w:rPr>
              <w:t>Precalculus</w:t>
            </w:r>
            <w:proofErr w:type="spellEnd"/>
            <w:r w:rsidRPr="00A973BA">
              <w:rPr>
                <w:rFonts w:ascii="Arial" w:hAnsi="Arial" w:cs="Arial"/>
                <w:sz w:val="22"/>
                <w:szCs w:val="22"/>
              </w:rPr>
              <w:t>.  This will be beneficial for students as they go on to university and will help them be better prepared for industry.</w:t>
            </w:r>
          </w:p>
        </w:tc>
      </w:tr>
      <w:tr w:rsidR="007C2A6E" w:rsidRPr="0037786D" w:rsidTr="001F6669">
        <w:tc>
          <w:tcPr>
            <w:tcW w:w="3708" w:type="dxa"/>
          </w:tcPr>
          <w:p w:rsidR="007C2A6E" w:rsidRDefault="007C2A6E" w:rsidP="001F6669">
            <w:pPr>
              <w:autoSpaceDE w:val="0"/>
              <w:autoSpaceDN w:val="0"/>
              <w:adjustRightInd w:val="0"/>
              <w:rPr>
                <w:rFonts w:ascii="Arial" w:hAnsi="Arial" w:cs="Arial"/>
                <w:color w:val="000000"/>
                <w:sz w:val="22"/>
                <w:szCs w:val="22"/>
              </w:rPr>
            </w:pPr>
            <w:r w:rsidRPr="00A973BA">
              <w:rPr>
                <w:rFonts w:ascii="Arial" w:hAnsi="Arial" w:cs="Arial"/>
                <w:color w:val="000000"/>
                <w:sz w:val="22"/>
                <w:szCs w:val="22"/>
              </w:rPr>
              <w:t xml:space="preserve">It is clear that the department is collecting assessment data.  The standardization of coursework puts the department at a distinct advantage in this regard relative to many other departments at the college.  The department is encouraged to better document this assessment work by formally collecting and analyzing student assignment and exam scores that relate to general education and program outcomes.  The self-study provided evidence that assessment data was being collected, but in the next self-study it should be made </w:t>
            </w:r>
            <w:r w:rsidR="00D40B9B" w:rsidRPr="00A973BA">
              <w:rPr>
                <w:rFonts w:ascii="Arial" w:hAnsi="Arial" w:cs="Arial"/>
                <w:color w:val="000000"/>
                <w:sz w:val="22"/>
                <w:szCs w:val="22"/>
              </w:rPr>
              <w:t>clearer</w:t>
            </w:r>
            <w:r w:rsidRPr="00A973BA">
              <w:rPr>
                <w:rFonts w:ascii="Arial" w:hAnsi="Arial" w:cs="Arial"/>
                <w:color w:val="000000"/>
                <w:sz w:val="22"/>
                <w:szCs w:val="22"/>
              </w:rPr>
              <w:t xml:space="preserve"> that this data is being combined, analyzed, reported, and used for improving student learning.   The department is strongly </w:t>
            </w:r>
            <w:r w:rsidRPr="00A973BA">
              <w:rPr>
                <w:rFonts w:ascii="Arial" w:hAnsi="Arial" w:cs="Arial"/>
                <w:color w:val="000000"/>
                <w:sz w:val="22"/>
                <w:szCs w:val="22"/>
              </w:rPr>
              <w:lastRenderedPageBreak/>
              <w:t>encouraged to work with its Divisional Assessment Coordinator / Learning Liaison to explore ways of combining data across sections and analyzing it in relation to general education and program outcomes.</w:t>
            </w:r>
          </w:p>
          <w:p w:rsidR="008753AC" w:rsidRPr="00A973BA" w:rsidRDefault="008753AC" w:rsidP="001F6669">
            <w:pPr>
              <w:autoSpaceDE w:val="0"/>
              <w:autoSpaceDN w:val="0"/>
              <w:adjustRightInd w:val="0"/>
              <w:rPr>
                <w:rFonts w:ascii="Arial" w:hAnsi="Arial" w:cs="Arial"/>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7C2A6E" w:rsidRDefault="007C2A6E" w:rsidP="00B050BF">
            <w:pPr>
              <w:rPr>
                <w:rFonts w:ascii="Arial" w:hAnsi="Arial" w:cs="Arial"/>
                <w:sz w:val="22"/>
                <w:szCs w:val="22"/>
              </w:rPr>
            </w:pPr>
            <w:r w:rsidRPr="00A973BA">
              <w:rPr>
                <w:rFonts w:ascii="Arial" w:hAnsi="Arial" w:cs="Arial"/>
                <w:sz w:val="22"/>
                <w:szCs w:val="22"/>
              </w:rPr>
              <w:t xml:space="preserve">Data continues to be collected and analyzed.  Often, recommendations from our industry led advisory board are tested, analyzed and considered before that change is made permanently.  </w:t>
            </w:r>
          </w:p>
          <w:p w:rsidR="00C40918" w:rsidRDefault="00C40918" w:rsidP="00B050BF">
            <w:pPr>
              <w:rPr>
                <w:rFonts w:ascii="Arial" w:hAnsi="Arial" w:cs="Arial"/>
                <w:sz w:val="22"/>
                <w:szCs w:val="22"/>
              </w:rPr>
            </w:pPr>
          </w:p>
          <w:p w:rsidR="00C40918" w:rsidRDefault="00C40918" w:rsidP="00B050BF">
            <w:pPr>
              <w:rPr>
                <w:rFonts w:ascii="Arial" w:hAnsi="Arial" w:cs="Arial"/>
                <w:sz w:val="22"/>
                <w:szCs w:val="22"/>
              </w:rPr>
            </w:pPr>
            <w:r>
              <w:rPr>
                <w:rFonts w:ascii="Arial" w:hAnsi="Arial" w:cs="Arial"/>
                <w:sz w:val="22"/>
                <w:szCs w:val="22"/>
              </w:rPr>
              <w:t>Best data collection tends to be the Engineering Technology Capstone Dinner and Expo survey results from advisory board members and guests.</w:t>
            </w:r>
          </w:p>
          <w:p w:rsidR="00B050BF" w:rsidRDefault="00B050BF" w:rsidP="00B050BF">
            <w:pPr>
              <w:rPr>
                <w:rFonts w:ascii="Arial" w:hAnsi="Arial" w:cs="Arial"/>
                <w:sz w:val="22"/>
                <w:szCs w:val="22"/>
              </w:rPr>
            </w:pPr>
          </w:p>
          <w:p w:rsidR="00B050BF" w:rsidRPr="00A973BA" w:rsidRDefault="00B050BF" w:rsidP="00B050BF">
            <w:pPr>
              <w:rPr>
                <w:rFonts w:ascii="Arial" w:hAnsi="Arial" w:cs="Arial"/>
                <w:sz w:val="22"/>
                <w:szCs w:val="22"/>
              </w:rPr>
            </w:pPr>
          </w:p>
        </w:tc>
      </w:tr>
      <w:tr w:rsidR="007C2A6E" w:rsidRPr="0037786D" w:rsidTr="001F6669">
        <w:tc>
          <w:tcPr>
            <w:tcW w:w="3708" w:type="dxa"/>
          </w:tcPr>
          <w:p w:rsidR="007C2A6E" w:rsidRDefault="007C2A6E" w:rsidP="001F6669">
            <w:pPr>
              <w:autoSpaceDE w:val="0"/>
              <w:autoSpaceDN w:val="0"/>
              <w:adjustRightInd w:val="0"/>
              <w:rPr>
                <w:rFonts w:ascii="Arial" w:hAnsi="Arial" w:cs="Arial"/>
                <w:color w:val="000000"/>
                <w:sz w:val="22"/>
                <w:szCs w:val="22"/>
              </w:rPr>
            </w:pPr>
            <w:r w:rsidRPr="00A973BA">
              <w:rPr>
                <w:rFonts w:ascii="Arial" w:hAnsi="Arial" w:cs="Arial"/>
                <w:color w:val="000000"/>
                <w:sz w:val="22"/>
                <w:szCs w:val="22"/>
              </w:rPr>
              <w:lastRenderedPageBreak/>
              <w:t>Social media, such as LinkedIn, provide new avenues for maintaining connections with graduates and gathering data from students who have moved on to the next phase of their careers.  The department is encouraged to consider exploring social media for this reason, and consider whether faculty should be assigned to oversee this.</w:t>
            </w:r>
          </w:p>
          <w:p w:rsidR="008753AC" w:rsidRPr="00A973BA" w:rsidRDefault="008753AC" w:rsidP="001F6669">
            <w:pPr>
              <w:autoSpaceDE w:val="0"/>
              <w:autoSpaceDN w:val="0"/>
              <w:adjustRightInd w:val="0"/>
              <w:rPr>
                <w:rFonts w:ascii="Arial" w:hAnsi="Arial" w:cs="Arial"/>
                <w:color w:val="000000" w:themeColor="text1"/>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00B050BF">
              <w:rPr>
                <w:rFonts w:ascii="Arial" w:hAnsi="Arial" w:cs="Arial"/>
                <w:sz w:val="22"/>
                <w:szCs w:val="22"/>
              </w:rPr>
              <w:fldChar w:fldCharType="begin">
                <w:ffData>
                  <w:name w:val=""/>
                  <w:enabled/>
                  <w:calcOnExit w:val="0"/>
                  <w:checkBox>
                    <w:sizeAuto/>
                    <w:default w:val="0"/>
                  </w:checkBox>
                </w:ffData>
              </w:fldChar>
            </w:r>
            <w:r w:rsidR="00B050BF">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00B050BF">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00B050BF">
              <w:rPr>
                <w:rFonts w:ascii="Arial" w:hAnsi="Arial" w:cs="Arial"/>
                <w:sz w:val="22"/>
                <w:szCs w:val="22"/>
              </w:rPr>
              <w:fldChar w:fldCharType="begin">
                <w:ffData>
                  <w:name w:val="Check1"/>
                  <w:enabled/>
                  <w:calcOnExit w:val="0"/>
                  <w:checkBox>
                    <w:sizeAuto/>
                    <w:default w:val="0"/>
                  </w:checkBox>
                </w:ffData>
              </w:fldChar>
            </w:r>
            <w:bookmarkStart w:id="0" w:name="Check1"/>
            <w:r w:rsidR="00B050BF">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00B050BF">
              <w:rPr>
                <w:rFonts w:ascii="Arial" w:hAnsi="Arial" w:cs="Arial"/>
                <w:sz w:val="22"/>
                <w:szCs w:val="22"/>
              </w:rPr>
              <w:fldChar w:fldCharType="end"/>
            </w:r>
            <w:bookmarkEnd w:id="0"/>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B050BF">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00B050BF">
              <w:rPr>
                <w:rFonts w:ascii="Arial" w:hAnsi="Arial" w:cs="Arial"/>
                <w:sz w:val="22"/>
                <w:szCs w:val="22"/>
              </w:rPr>
              <w:fldChar w:fldCharType="begin">
                <w:ffData>
                  <w:name w:val=""/>
                  <w:enabled/>
                  <w:calcOnExit w:val="0"/>
                  <w:checkBox>
                    <w:sizeAuto/>
                    <w:default w:val="1"/>
                  </w:checkBox>
                </w:ffData>
              </w:fldChar>
            </w:r>
            <w:r w:rsidR="00B050BF">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00B050BF">
              <w:rPr>
                <w:rFonts w:ascii="Arial" w:hAnsi="Arial" w:cs="Arial"/>
                <w:sz w:val="22"/>
                <w:szCs w:val="22"/>
              </w:rPr>
              <w:fldChar w:fldCharType="end"/>
            </w:r>
          </w:p>
        </w:tc>
        <w:tc>
          <w:tcPr>
            <w:tcW w:w="6480" w:type="dxa"/>
          </w:tcPr>
          <w:p w:rsidR="007C2A6E" w:rsidRPr="00A973BA" w:rsidRDefault="00B050BF" w:rsidP="001F6669">
            <w:pPr>
              <w:rPr>
                <w:rFonts w:ascii="Arial" w:hAnsi="Arial" w:cs="Arial"/>
                <w:sz w:val="22"/>
                <w:szCs w:val="22"/>
              </w:rPr>
            </w:pPr>
            <w:r>
              <w:rPr>
                <w:rFonts w:ascii="Arial" w:hAnsi="Arial" w:cs="Arial"/>
                <w:sz w:val="22"/>
                <w:szCs w:val="22"/>
              </w:rPr>
              <w:t>After the department set up both Facebook and Twitter accounts, marketing asked us to take them both down.  The department complied with the request.</w:t>
            </w:r>
          </w:p>
        </w:tc>
      </w:tr>
      <w:tr w:rsidR="007C2A6E" w:rsidRPr="0037786D" w:rsidTr="001F6669">
        <w:tc>
          <w:tcPr>
            <w:tcW w:w="3708" w:type="dxa"/>
          </w:tcPr>
          <w:p w:rsidR="007C2A6E" w:rsidRDefault="007C2A6E" w:rsidP="001F6669">
            <w:pPr>
              <w:autoSpaceDE w:val="0"/>
              <w:autoSpaceDN w:val="0"/>
              <w:adjustRightInd w:val="0"/>
              <w:rPr>
                <w:rFonts w:ascii="Arial" w:hAnsi="Arial" w:cs="Arial"/>
                <w:color w:val="000000"/>
                <w:sz w:val="22"/>
                <w:szCs w:val="22"/>
              </w:rPr>
            </w:pPr>
            <w:r w:rsidRPr="00A973BA">
              <w:rPr>
                <w:rFonts w:ascii="Arial" w:hAnsi="Arial" w:cs="Arial"/>
                <w:color w:val="000000"/>
                <w:sz w:val="22"/>
                <w:szCs w:val="22"/>
              </w:rPr>
              <w:t>Related to the above recommendation, the department is encouraged to explore other ways of tracking graduates, and also for tracking co-op experiences.  There are currently efforts underway to better document students in all internship and co-op experiences at the college, and hopefully in the next self-study the department will be positioned to describe the number and scope of co-op experiences its students participate in.</w:t>
            </w:r>
          </w:p>
          <w:p w:rsidR="008753AC" w:rsidRPr="00A973BA" w:rsidRDefault="008753AC" w:rsidP="001F6669">
            <w:pPr>
              <w:autoSpaceDE w:val="0"/>
              <w:autoSpaceDN w:val="0"/>
              <w:adjustRightInd w:val="0"/>
              <w:rPr>
                <w:rFonts w:ascii="Arial" w:hAnsi="Arial" w:cs="Arial"/>
                <w:color w:val="000000" w:themeColor="text1"/>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7C2A6E" w:rsidRPr="00A973BA" w:rsidRDefault="007C2A6E" w:rsidP="001F6669">
            <w:pPr>
              <w:rPr>
                <w:rFonts w:ascii="Arial" w:hAnsi="Arial" w:cs="Arial"/>
                <w:sz w:val="22"/>
                <w:szCs w:val="22"/>
              </w:rPr>
            </w:pPr>
            <w:r w:rsidRPr="00A973BA">
              <w:rPr>
                <w:rFonts w:ascii="Arial" w:hAnsi="Arial" w:cs="Arial"/>
                <w:sz w:val="22"/>
                <w:szCs w:val="22"/>
              </w:rPr>
              <w:t>The division now has a full time internship coordinator</w:t>
            </w:r>
            <w:r w:rsidR="00DB0717">
              <w:rPr>
                <w:rFonts w:ascii="Arial" w:hAnsi="Arial" w:cs="Arial"/>
                <w:sz w:val="22"/>
                <w:szCs w:val="22"/>
              </w:rPr>
              <w:t>, Chad Bridgman</w:t>
            </w:r>
            <w:r w:rsidRPr="00A973BA">
              <w:rPr>
                <w:rFonts w:ascii="Arial" w:hAnsi="Arial" w:cs="Arial"/>
                <w:sz w:val="22"/>
                <w:szCs w:val="22"/>
              </w:rPr>
              <w:t xml:space="preserve"> that tracks internship opportunities and students within the program.</w:t>
            </w:r>
            <w:r>
              <w:rPr>
                <w:rFonts w:ascii="Arial" w:hAnsi="Arial" w:cs="Arial"/>
                <w:sz w:val="22"/>
                <w:szCs w:val="22"/>
              </w:rPr>
              <w:t xml:space="preserve">  The coordinator is now tracking data electronically so that it can better be evaluated.</w:t>
            </w:r>
          </w:p>
        </w:tc>
      </w:tr>
      <w:tr w:rsidR="007C2A6E" w:rsidRPr="0037786D" w:rsidTr="001F6669">
        <w:tc>
          <w:tcPr>
            <w:tcW w:w="3708" w:type="dxa"/>
          </w:tcPr>
          <w:p w:rsidR="007C2A6E" w:rsidRPr="00A973BA" w:rsidRDefault="007C2A6E" w:rsidP="001F6669">
            <w:pPr>
              <w:autoSpaceDE w:val="0"/>
              <w:autoSpaceDN w:val="0"/>
              <w:adjustRightInd w:val="0"/>
              <w:rPr>
                <w:rFonts w:ascii="Arial" w:hAnsi="Arial" w:cs="Arial"/>
                <w:color w:val="000000" w:themeColor="text1"/>
                <w:sz w:val="22"/>
                <w:szCs w:val="22"/>
              </w:rPr>
            </w:pPr>
            <w:r w:rsidRPr="00A973BA">
              <w:rPr>
                <w:rFonts w:ascii="Arial" w:hAnsi="Arial" w:cs="Arial"/>
                <w:color w:val="000000"/>
                <w:sz w:val="22"/>
                <w:szCs w:val="22"/>
              </w:rPr>
              <w:t xml:space="preserve">The department is strongly encouraged to update articulation agreements for semesters and explore whether articulations with new institutions might be appropriate.  The Assistant Dean in </w:t>
            </w:r>
            <w:r w:rsidRPr="00A973BA">
              <w:rPr>
                <w:rFonts w:ascii="Arial" w:hAnsi="Arial" w:cs="Arial"/>
                <w:color w:val="000000"/>
                <w:sz w:val="22"/>
                <w:szCs w:val="22"/>
              </w:rPr>
              <w:lastRenderedPageBreak/>
              <w:t>the division can be a valuable resource in this regard.</w:t>
            </w:r>
          </w:p>
        </w:tc>
        <w:tc>
          <w:tcPr>
            <w:tcW w:w="2700" w:type="dxa"/>
          </w:tcPr>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lastRenderedPageBreak/>
              <w:t xml:space="preserve">In progress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7C2A6E" w:rsidRPr="00A973BA" w:rsidRDefault="008753AC" w:rsidP="001F6669">
            <w:pPr>
              <w:rPr>
                <w:rFonts w:ascii="Arial" w:hAnsi="Arial" w:cs="Arial"/>
                <w:sz w:val="22"/>
                <w:szCs w:val="22"/>
              </w:rPr>
            </w:pPr>
            <w:r>
              <w:rPr>
                <w:rFonts w:ascii="Arial" w:hAnsi="Arial" w:cs="Arial"/>
                <w:sz w:val="22"/>
                <w:szCs w:val="22"/>
              </w:rPr>
              <w:t xml:space="preserve">The department met with Franklin University to work on articulation agreements for Architectural Technology, Civil Engineering Technology, Construction Management Technology, Energy Management Technology, Environmental Engineering Technology, HVAC-R Engineering Technology and Mechanical Engineering Technology.  These degrees would </w:t>
            </w:r>
            <w:r>
              <w:rPr>
                <w:rFonts w:ascii="Arial" w:hAnsi="Arial" w:cs="Arial"/>
                <w:sz w:val="22"/>
                <w:szCs w:val="22"/>
              </w:rPr>
              <w:lastRenderedPageBreak/>
              <w:t>transfer into a Bachelor of Science in Applied Management.  Details are still being finalized.</w:t>
            </w:r>
          </w:p>
          <w:p w:rsidR="007C2A6E" w:rsidRPr="00A973BA" w:rsidRDefault="007C2A6E" w:rsidP="001F6669">
            <w:pPr>
              <w:rPr>
                <w:rFonts w:ascii="Arial" w:hAnsi="Arial" w:cs="Arial"/>
                <w:sz w:val="22"/>
                <w:szCs w:val="22"/>
              </w:rPr>
            </w:pPr>
          </w:p>
        </w:tc>
      </w:tr>
      <w:tr w:rsidR="007C2A6E" w:rsidRPr="0037786D" w:rsidTr="001F6669">
        <w:tc>
          <w:tcPr>
            <w:tcW w:w="3708" w:type="dxa"/>
          </w:tcPr>
          <w:p w:rsidR="007C2A6E" w:rsidRDefault="007C2A6E" w:rsidP="001F6669">
            <w:pPr>
              <w:pStyle w:val="ListParagraph"/>
              <w:ind w:left="0"/>
              <w:rPr>
                <w:rFonts w:ascii="Arial" w:hAnsi="Arial" w:cs="Arial"/>
                <w:color w:val="000000"/>
                <w:sz w:val="22"/>
                <w:szCs w:val="22"/>
              </w:rPr>
            </w:pPr>
            <w:r w:rsidRPr="00A973BA">
              <w:rPr>
                <w:rFonts w:ascii="Arial" w:hAnsi="Arial" w:cs="Arial"/>
                <w:color w:val="000000"/>
                <w:sz w:val="22"/>
                <w:szCs w:val="22"/>
              </w:rPr>
              <w:lastRenderedPageBreak/>
              <w:t>There appears to be some confusion in the minds of some students regarding which programs are transfer programs and which are designed to result in a terminal degree.  The department is encouraged to explore new ways of making students aware of these distinctions – much work has already been done, but it seems that additional efforts are needed.</w:t>
            </w:r>
          </w:p>
          <w:p w:rsidR="008753AC" w:rsidRPr="00A973BA" w:rsidRDefault="008753AC" w:rsidP="001F6669">
            <w:pPr>
              <w:pStyle w:val="ListParagraph"/>
              <w:ind w:left="0"/>
              <w:rPr>
                <w:rFonts w:ascii="Arial" w:hAnsi="Arial" w:cs="Arial"/>
                <w:color w:val="000000" w:themeColor="text1"/>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7C2A6E" w:rsidRPr="00A973BA" w:rsidRDefault="00285331" w:rsidP="001F6669">
            <w:pPr>
              <w:rPr>
                <w:rFonts w:ascii="Arial" w:hAnsi="Arial" w:cs="Arial"/>
                <w:sz w:val="22"/>
                <w:szCs w:val="22"/>
              </w:rPr>
            </w:pPr>
            <w:r>
              <w:rPr>
                <w:rFonts w:ascii="Arial" w:hAnsi="Arial" w:cs="Arial"/>
                <w:sz w:val="22"/>
                <w:szCs w:val="22"/>
              </w:rPr>
              <w:t>The department is working to educate students about career and educational pursuits after completing a technology degree.  Work has been done to update the Sinclair website department and program pages as well as hosting an open house that outlines those possibilities.</w:t>
            </w:r>
          </w:p>
        </w:tc>
      </w:tr>
      <w:tr w:rsidR="007C2A6E" w:rsidRPr="0037786D" w:rsidTr="001F6669">
        <w:tc>
          <w:tcPr>
            <w:tcW w:w="3708" w:type="dxa"/>
          </w:tcPr>
          <w:p w:rsidR="007C2A6E" w:rsidRDefault="007C2A6E" w:rsidP="001F6669">
            <w:pPr>
              <w:autoSpaceDE w:val="0"/>
              <w:autoSpaceDN w:val="0"/>
              <w:adjustRightInd w:val="0"/>
              <w:rPr>
                <w:rFonts w:ascii="Arial" w:hAnsi="Arial" w:cs="Arial"/>
                <w:color w:val="000000"/>
                <w:sz w:val="22"/>
                <w:szCs w:val="22"/>
              </w:rPr>
            </w:pPr>
            <w:r w:rsidRPr="00A973BA">
              <w:rPr>
                <w:rFonts w:ascii="Arial" w:hAnsi="Arial" w:cs="Arial"/>
                <w:color w:val="000000"/>
                <w:sz w:val="22"/>
                <w:szCs w:val="22"/>
              </w:rPr>
              <w:t>Moving all of the programs in the department under a single budget number appears to make sense – the department is encouraged to explore this possibility, although care should be taken to identify and address any potential unintended consequences by conferring with the Budget Office.</w:t>
            </w:r>
          </w:p>
          <w:p w:rsidR="008753AC" w:rsidRPr="00A973BA" w:rsidRDefault="008753AC" w:rsidP="001F6669">
            <w:pPr>
              <w:autoSpaceDE w:val="0"/>
              <w:autoSpaceDN w:val="0"/>
              <w:adjustRightInd w:val="0"/>
              <w:rPr>
                <w:rFonts w:ascii="Arial" w:hAnsi="Arial" w:cs="Arial"/>
                <w:color w:val="000000" w:themeColor="text1"/>
                <w:sz w:val="22"/>
                <w:szCs w:val="22"/>
              </w:rPr>
            </w:pPr>
          </w:p>
        </w:tc>
        <w:tc>
          <w:tcPr>
            <w:tcW w:w="2700" w:type="dxa"/>
          </w:tcPr>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00285331">
              <w:rPr>
                <w:rFonts w:ascii="Arial" w:hAnsi="Arial" w:cs="Arial"/>
                <w:sz w:val="22"/>
                <w:szCs w:val="22"/>
              </w:rPr>
              <w:fldChar w:fldCharType="begin">
                <w:ffData>
                  <w:name w:val=""/>
                  <w:enabled/>
                  <w:calcOnExit w:val="0"/>
                  <w:checkBox>
                    <w:sizeAuto/>
                    <w:default w:val="1"/>
                  </w:checkBox>
                </w:ffData>
              </w:fldChar>
            </w:r>
            <w:r w:rsidR="00285331">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00285331">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285331">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00285331">
              <w:rPr>
                <w:rFonts w:ascii="Arial" w:hAnsi="Arial" w:cs="Arial"/>
                <w:sz w:val="22"/>
                <w:szCs w:val="22"/>
              </w:rPr>
              <w:fldChar w:fldCharType="begin">
                <w:ffData>
                  <w:name w:val=""/>
                  <w:enabled/>
                  <w:calcOnExit w:val="0"/>
                  <w:checkBox>
                    <w:sizeAuto/>
                    <w:default w:val="0"/>
                  </w:checkBox>
                </w:ffData>
              </w:fldChar>
            </w:r>
            <w:r w:rsidR="00285331">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00285331">
              <w:rPr>
                <w:rFonts w:ascii="Arial" w:hAnsi="Arial" w:cs="Arial"/>
                <w:sz w:val="22"/>
                <w:szCs w:val="22"/>
              </w:rPr>
              <w:fldChar w:fldCharType="end"/>
            </w:r>
          </w:p>
        </w:tc>
        <w:tc>
          <w:tcPr>
            <w:tcW w:w="6480" w:type="dxa"/>
          </w:tcPr>
          <w:p w:rsidR="007C2A6E" w:rsidRPr="00A973BA" w:rsidRDefault="00285331" w:rsidP="001F6669">
            <w:pPr>
              <w:rPr>
                <w:rFonts w:ascii="Arial" w:hAnsi="Arial" w:cs="Arial"/>
                <w:sz w:val="22"/>
                <w:szCs w:val="22"/>
              </w:rPr>
            </w:pPr>
            <w:r>
              <w:rPr>
                <w:rFonts w:ascii="Arial" w:hAnsi="Arial" w:cs="Arial"/>
                <w:sz w:val="22"/>
                <w:szCs w:val="22"/>
              </w:rPr>
              <w:t xml:space="preserve">After years of attempting to separate the department’s seven programs by GL code, as of July 1, 2015 the department now has a GL code for all programs.  Tracking, data analysis </w:t>
            </w:r>
            <w:r w:rsidR="00D81E74">
              <w:rPr>
                <w:rFonts w:ascii="Arial" w:hAnsi="Arial" w:cs="Arial"/>
                <w:sz w:val="22"/>
                <w:szCs w:val="22"/>
              </w:rPr>
              <w:t>and budgeting</w:t>
            </w:r>
            <w:r>
              <w:rPr>
                <w:rFonts w:ascii="Arial" w:hAnsi="Arial" w:cs="Arial"/>
                <w:sz w:val="22"/>
                <w:szCs w:val="22"/>
              </w:rPr>
              <w:t xml:space="preserve"> should be much easier as a result.</w:t>
            </w:r>
          </w:p>
        </w:tc>
      </w:tr>
      <w:tr w:rsidR="007C2A6E" w:rsidRPr="0037786D" w:rsidTr="001F6669">
        <w:tc>
          <w:tcPr>
            <w:tcW w:w="3708" w:type="dxa"/>
          </w:tcPr>
          <w:p w:rsidR="007C2A6E" w:rsidRPr="00A973BA" w:rsidRDefault="007C2A6E" w:rsidP="001F6669">
            <w:pPr>
              <w:autoSpaceDE w:val="0"/>
              <w:autoSpaceDN w:val="0"/>
              <w:adjustRightInd w:val="0"/>
              <w:rPr>
                <w:rFonts w:ascii="Arial" w:hAnsi="Arial" w:cs="Arial"/>
                <w:color w:val="000000" w:themeColor="text1"/>
                <w:sz w:val="22"/>
                <w:szCs w:val="22"/>
              </w:rPr>
            </w:pPr>
            <w:r w:rsidRPr="00A973BA">
              <w:rPr>
                <w:rFonts w:ascii="Arial" w:hAnsi="Arial" w:cs="Arial"/>
                <w:color w:val="000000"/>
                <w:sz w:val="22"/>
                <w:szCs w:val="22"/>
              </w:rPr>
              <w:t xml:space="preserve">The Energy Management Technology EGMT.S.ATS program has existed for a couple of years now – the time has come to decide whether this should be an actual .AS or .AAS program, or whether it should be dropped from the curriculum.  If the decision is made to make this a full-fledged degree program, the department should work closely with the Provost’s Office to prepare the required Letter of Intent and Degree Approval submissions to the Ohio Board of Regents.  </w:t>
            </w:r>
          </w:p>
        </w:tc>
        <w:tc>
          <w:tcPr>
            <w:tcW w:w="2700" w:type="dxa"/>
          </w:tcPr>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In progress </w:t>
            </w:r>
            <w:r w:rsidRPr="00A973BA">
              <w:rPr>
                <w:rFonts w:ascii="Arial" w:hAnsi="Arial" w:cs="Arial"/>
                <w:sz w:val="22"/>
                <w:szCs w:val="22"/>
              </w:rPr>
              <w:fldChar w:fldCharType="begin">
                <w:ffData>
                  <w:name w:val=""/>
                  <w:enabled/>
                  <w:calcOnExit w:val="0"/>
                  <w:checkBox>
                    <w:sizeAuto/>
                    <w:default w:val="1"/>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Completed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p w:rsidR="007C2A6E" w:rsidRPr="00A973BA" w:rsidRDefault="007C2A6E" w:rsidP="001F6669">
            <w:pPr>
              <w:pStyle w:val="ListParagraph"/>
              <w:ind w:left="0"/>
              <w:rPr>
                <w:rFonts w:ascii="Arial" w:hAnsi="Arial" w:cs="Arial"/>
                <w:color w:val="000000" w:themeColor="text1"/>
                <w:sz w:val="22"/>
                <w:szCs w:val="22"/>
              </w:rPr>
            </w:pPr>
          </w:p>
          <w:p w:rsidR="007C2A6E" w:rsidRPr="00A973BA" w:rsidRDefault="007C2A6E" w:rsidP="001F6669">
            <w:pPr>
              <w:pStyle w:val="ListParagraph"/>
              <w:ind w:left="0"/>
              <w:rPr>
                <w:rFonts w:ascii="Arial" w:hAnsi="Arial" w:cs="Arial"/>
                <w:color w:val="000000" w:themeColor="text1"/>
                <w:sz w:val="22"/>
                <w:szCs w:val="22"/>
              </w:rPr>
            </w:pPr>
            <w:r w:rsidRPr="00A973BA">
              <w:rPr>
                <w:rFonts w:ascii="Arial" w:hAnsi="Arial" w:cs="Arial"/>
                <w:color w:val="000000" w:themeColor="text1"/>
                <w:sz w:val="22"/>
                <w:szCs w:val="22"/>
              </w:rPr>
              <w:t xml:space="preserve">No longer applicable </w:t>
            </w:r>
            <w:r w:rsidRPr="00A973BA">
              <w:rPr>
                <w:rFonts w:ascii="Arial" w:hAnsi="Arial" w:cs="Arial"/>
                <w:sz w:val="22"/>
                <w:szCs w:val="22"/>
              </w:rPr>
              <w:fldChar w:fldCharType="begin">
                <w:ffData>
                  <w:name w:val="Check1"/>
                  <w:enabled/>
                  <w:calcOnExit w:val="0"/>
                  <w:checkBox>
                    <w:sizeAuto/>
                    <w:default w:val="0"/>
                  </w:checkBox>
                </w:ffData>
              </w:fldChar>
            </w:r>
            <w:r w:rsidRPr="00A973BA">
              <w:rPr>
                <w:rFonts w:ascii="Arial" w:hAnsi="Arial" w:cs="Arial"/>
                <w:sz w:val="22"/>
                <w:szCs w:val="22"/>
              </w:rPr>
              <w:instrText xml:space="preserve"> FORMCHECKBOX </w:instrText>
            </w:r>
            <w:r w:rsidR="009378DE">
              <w:rPr>
                <w:rFonts w:ascii="Arial" w:hAnsi="Arial" w:cs="Arial"/>
                <w:sz w:val="22"/>
                <w:szCs w:val="22"/>
              </w:rPr>
            </w:r>
            <w:r w:rsidR="009378DE">
              <w:rPr>
                <w:rFonts w:ascii="Arial" w:hAnsi="Arial" w:cs="Arial"/>
                <w:sz w:val="22"/>
                <w:szCs w:val="22"/>
              </w:rPr>
              <w:fldChar w:fldCharType="separate"/>
            </w:r>
            <w:r w:rsidRPr="00A973BA">
              <w:rPr>
                <w:rFonts w:ascii="Arial" w:hAnsi="Arial" w:cs="Arial"/>
                <w:sz w:val="22"/>
                <w:szCs w:val="22"/>
              </w:rPr>
              <w:fldChar w:fldCharType="end"/>
            </w:r>
          </w:p>
        </w:tc>
        <w:tc>
          <w:tcPr>
            <w:tcW w:w="6480" w:type="dxa"/>
          </w:tcPr>
          <w:p w:rsidR="00D81E74" w:rsidRDefault="00E12B2F" w:rsidP="001F6669">
            <w:pPr>
              <w:rPr>
                <w:rFonts w:ascii="Arial" w:hAnsi="Arial" w:cs="Arial"/>
                <w:sz w:val="22"/>
                <w:szCs w:val="22"/>
              </w:rPr>
            </w:pPr>
            <w:r>
              <w:rPr>
                <w:rFonts w:ascii="Arial" w:hAnsi="Arial" w:cs="Arial"/>
                <w:sz w:val="22"/>
                <w:szCs w:val="22"/>
              </w:rPr>
              <w:t>The department is working to educate potential students regarding the Energy Management program.  The department has hosted two open house events (one fall, one spring) that introduce potential students to energy management, the course content, job opportunities and continuing education.</w:t>
            </w:r>
          </w:p>
          <w:p w:rsidR="00E12B2F" w:rsidRDefault="00E12B2F" w:rsidP="001F6669">
            <w:pPr>
              <w:rPr>
                <w:rFonts w:ascii="Arial" w:hAnsi="Arial" w:cs="Arial"/>
                <w:sz w:val="22"/>
                <w:szCs w:val="22"/>
              </w:rPr>
            </w:pPr>
          </w:p>
          <w:p w:rsidR="007C2A6E" w:rsidRPr="00A973BA" w:rsidRDefault="007C2A6E" w:rsidP="001F6669">
            <w:pPr>
              <w:rPr>
                <w:rFonts w:ascii="Arial" w:hAnsi="Arial" w:cs="Arial"/>
                <w:sz w:val="22"/>
                <w:szCs w:val="22"/>
              </w:rPr>
            </w:pPr>
          </w:p>
        </w:tc>
      </w:tr>
    </w:tbl>
    <w:p w:rsidR="00D40B9B" w:rsidRDefault="00D40B9B" w:rsidP="003C59D8">
      <w:pPr>
        <w:rPr>
          <w:rFonts w:ascii="Arial" w:hAnsi="Arial" w:cs="Arial"/>
          <w:b/>
          <w:sz w:val="20"/>
          <w:szCs w:val="20"/>
          <w:u w:val="single"/>
        </w:rPr>
      </w:pPr>
    </w:p>
    <w:p w:rsidR="00D40B9B" w:rsidRDefault="00D40B9B">
      <w:pPr>
        <w:spacing w:after="200" w:line="276" w:lineRule="auto"/>
        <w:rPr>
          <w:rFonts w:ascii="Arial" w:hAnsi="Arial" w:cs="Arial"/>
          <w:b/>
          <w:sz w:val="20"/>
          <w:szCs w:val="20"/>
          <w:u w:val="single"/>
        </w:rPr>
      </w:pPr>
      <w:r>
        <w:rPr>
          <w:rFonts w:ascii="Arial" w:hAnsi="Arial" w:cs="Arial"/>
          <w:b/>
          <w:sz w:val="20"/>
          <w:szCs w:val="20"/>
          <w:u w:val="single"/>
        </w:rP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9378DE"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Arial Unicode MS"/>
            <w14:uncheckedState w14:val="2610" w14:font="Arial Unicode MS"/>
          </w14:checkbox>
        </w:sdtPr>
        <w:sdtEndPr/>
        <w:sdtContent>
          <w:r w:rsidR="00786C06">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786C06">
            <w:rPr>
              <w:rFonts w:ascii="Arial" w:hAnsi="Arial" w:cs="Arial"/>
              <w:b/>
              <w:sz w:val="20"/>
              <w:szCs w:val="20"/>
            </w:rPr>
            <w:t>MET2711 Ethics for Engineering Technology Professionals.</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9378DE"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9378DE"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Arial Unicode MS"/>
            <w14:uncheckedState w14:val="2610" w14:font="Arial Unicode MS"/>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9378DE"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7C2A6E" w:rsidRDefault="007C2A6E" w:rsidP="007C2A6E">
      <w:pPr>
        <w:rPr>
          <w:rFonts w:ascii="Arial" w:hAnsi="Arial" w:cs="Arial"/>
          <w:b/>
          <w:color w:val="000000"/>
          <w:u w:val="single"/>
        </w:rPr>
        <w:sectPr w:rsidR="007C2A6E">
          <w:pgSz w:w="15840" w:h="12240" w:orient="landscape"/>
          <w:pgMar w:top="1440" w:right="1152" w:bottom="1440" w:left="1152" w:header="720" w:footer="288" w:gutter="0"/>
          <w:cols w:space="720"/>
        </w:sectPr>
      </w:pPr>
    </w:p>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7C2A6E" w:rsidRDefault="007C2A6E" w:rsidP="007C2A6E">
      <w:pPr>
        <w:pStyle w:val="ListParagraph"/>
        <w:tabs>
          <w:tab w:val="left" w:pos="5040"/>
        </w:tabs>
        <w:ind w:left="360"/>
        <w:rPr>
          <w:rFonts w:ascii="Arial" w:hAnsi="Arial" w:cs="Arial"/>
          <w:color w:val="000000" w:themeColor="text1"/>
          <w:sz w:val="22"/>
          <w:szCs w:val="22"/>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7C2A6E" w:rsidRPr="00A973BA" w:rsidTr="001F6669">
        <w:trPr>
          <w:trHeight w:val="274"/>
        </w:trPr>
        <w:tc>
          <w:tcPr>
            <w:tcW w:w="3708" w:type="dxa"/>
            <w:shd w:val="clear" w:color="auto" w:fill="FFFFFF"/>
            <w:vAlign w:val="center"/>
          </w:tcPr>
          <w:p w:rsidR="007C2A6E" w:rsidRPr="00A973BA" w:rsidRDefault="00D40B9B" w:rsidP="00937F66">
            <w:pPr>
              <w:jc w:val="center"/>
              <w:rPr>
                <w:rFonts w:ascii="Arial" w:hAnsi="Arial" w:cs="Arial"/>
                <w:b/>
                <w:sz w:val="22"/>
                <w:szCs w:val="22"/>
              </w:rPr>
            </w:pPr>
            <w:r>
              <w:rPr>
                <w:rFonts w:ascii="Arial" w:hAnsi="Arial" w:cs="Arial"/>
                <w:b/>
                <w:sz w:val="22"/>
                <w:szCs w:val="22"/>
              </w:rPr>
              <w:t>Energy</w:t>
            </w:r>
            <w:r w:rsidR="007C2A6E">
              <w:rPr>
                <w:rFonts w:ascii="Arial" w:hAnsi="Arial" w:cs="Arial"/>
                <w:b/>
                <w:sz w:val="22"/>
                <w:szCs w:val="22"/>
              </w:rPr>
              <w:t xml:space="preserve"> Management Technology </w:t>
            </w:r>
            <w:r w:rsidR="007C2A6E" w:rsidRPr="00A973BA">
              <w:rPr>
                <w:rFonts w:ascii="Arial" w:hAnsi="Arial" w:cs="Arial"/>
                <w:b/>
                <w:sz w:val="22"/>
                <w:szCs w:val="22"/>
              </w:rPr>
              <w:t>Program Outcomes</w:t>
            </w:r>
          </w:p>
        </w:tc>
        <w:tc>
          <w:tcPr>
            <w:tcW w:w="1742" w:type="dxa"/>
          </w:tcPr>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To which course(s) is this program outcome related?</w:t>
            </w:r>
          </w:p>
        </w:tc>
        <w:tc>
          <w:tcPr>
            <w:tcW w:w="1430" w:type="dxa"/>
            <w:shd w:val="clear" w:color="auto" w:fill="auto"/>
          </w:tcPr>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Year assessed or to be assessed.</w:t>
            </w:r>
          </w:p>
        </w:tc>
        <w:tc>
          <w:tcPr>
            <w:tcW w:w="2250" w:type="dxa"/>
          </w:tcPr>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Assessment Methods</w:t>
            </w:r>
          </w:p>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Used</w:t>
            </w:r>
          </w:p>
          <w:p w:rsidR="007C2A6E" w:rsidRPr="00A973BA" w:rsidRDefault="007C2A6E" w:rsidP="001F6669">
            <w:pPr>
              <w:jc w:val="center"/>
              <w:rPr>
                <w:rFonts w:ascii="Arial" w:hAnsi="Arial" w:cs="Arial"/>
                <w:color w:val="000000" w:themeColor="text1"/>
                <w:sz w:val="22"/>
                <w:szCs w:val="22"/>
              </w:rPr>
            </w:pPr>
          </w:p>
        </w:tc>
        <w:tc>
          <w:tcPr>
            <w:tcW w:w="4028" w:type="dxa"/>
          </w:tcPr>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What were the assessment results?</w:t>
            </w:r>
          </w:p>
          <w:p w:rsidR="007C2A6E" w:rsidRPr="00A973BA" w:rsidRDefault="007C2A6E" w:rsidP="001F6669">
            <w:pPr>
              <w:jc w:val="center"/>
              <w:rPr>
                <w:rFonts w:ascii="Arial" w:hAnsi="Arial" w:cs="Arial"/>
                <w:color w:val="000000" w:themeColor="text1"/>
                <w:sz w:val="22"/>
                <w:szCs w:val="22"/>
              </w:rPr>
            </w:pPr>
            <w:r w:rsidRPr="00A973BA">
              <w:rPr>
                <w:rFonts w:ascii="Arial" w:hAnsi="Arial" w:cs="Arial"/>
                <w:color w:val="000000" w:themeColor="text1"/>
                <w:sz w:val="22"/>
                <w:szCs w:val="22"/>
              </w:rPr>
              <w:t xml:space="preserve"> (Please provide </w:t>
            </w:r>
            <w:r w:rsidRPr="00A973BA">
              <w:rPr>
                <w:rFonts w:ascii="Arial" w:hAnsi="Arial" w:cs="Arial"/>
                <w:color w:val="000000" w:themeColor="text1"/>
                <w:sz w:val="22"/>
                <w:szCs w:val="22"/>
                <w:u w:val="single"/>
              </w:rPr>
              <w:t>brief</w:t>
            </w:r>
            <w:r w:rsidRPr="00A973BA">
              <w:rPr>
                <w:rFonts w:ascii="Arial" w:hAnsi="Arial" w:cs="Arial"/>
                <w:color w:val="000000" w:themeColor="text1"/>
                <w:sz w:val="22"/>
                <w:szCs w:val="22"/>
              </w:rPr>
              <w:t xml:space="preserve"> summary data)</w:t>
            </w:r>
          </w:p>
        </w:tc>
      </w:tr>
      <w:tr w:rsidR="007C2A6E" w:rsidRPr="00A973BA" w:rsidTr="001F6669">
        <w:trPr>
          <w:trHeight w:val="274"/>
        </w:trPr>
        <w:tc>
          <w:tcPr>
            <w:tcW w:w="3708" w:type="dxa"/>
            <w:shd w:val="clear" w:color="auto" w:fill="FFFFFF"/>
            <w:vAlign w:val="center"/>
          </w:tcPr>
          <w:p w:rsidR="00D81E74" w:rsidRPr="00D81E74" w:rsidRDefault="00D81E74" w:rsidP="00D81E74">
            <w:r w:rsidRPr="00D81E74">
              <w:t>Apply fundamental technical principles to evaluation of energy systems.</w:t>
            </w:r>
          </w:p>
          <w:p w:rsidR="007C2A6E" w:rsidRPr="00A973BA" w:rsidRDefault="007C2A6E" w:rsidP="001F6669">
            <w:pPr>
              <w:rPr>
                <w:rFonts w:ascii="Arial" w:hAnsi="Arial" w:cs="Arial"/>
                <w:sz w:val="22"/>
                <w:szCs w:val="22"/>
              </w:rPr>
            </w:pPr>
          </w:p>
        </w:tc>
        <w:tc>
          <w:tcPr>
            <w:tcW w:w="1742" w:type="dxa"/>
            <w:vAlign w:val="center"/>
          </w:tcPr>
          <w:p w:rsidR="007C2A6E" w:rsidRPr="00A973BA" w:rsidRDefault="00F32533" w:rsidP="00F32533">
            <w:pPr>
              <w:rPr>
                <w:rFonts w:ascii="Arial" w:hAnsi="Arial" w:cs="Arial"/>
                <w:sz w:val="22"/>
                <w:szCs w:val="22"/>
              </w:rPr>
            </w:pPr>
            <w:r>
              <w:t>HVA 1261 - HVA 1201 - HVA 1221 - MAT 1280 - MAT 1290 - EGV 1301 - EGV 2780 - PHY 1131 -</w:t>
            </w:r>
          </w:p>
        </w:tc>
        <w:tc>
          <w:tcPr>
            <w:tcW w:w="1430" w:type="dxa"/>
            <w:shd w:val="clear" w:color="auto" w:fill="auto"/>
          </w:tcPr>
          <w:p w:rsidR="007C2A6E" w:rsidRPr="00A973BA" w:rsidRDefault="00C1618F" w:rsidP="001F6669">
            <w:pPr>
              <w:rPr>
                <w:rFonts w:ascii="Arial" w:hAnsi="Arial" w:cs="Arial"/>
                <w:color w:val="000000" w:themeColor="text1"/>
                <w:sz w:val="22"/>
                <w:szCs w:val="22"/>
              </w:rPr>
            </w:pPr>
            <w:r>
              <w:rPr>
                <w:rFonts w:ascii="Arial" w:hAnsi="Arial" w:cs="Arial"/>
                <w:color w:val="000000" w:themeColor="text1"/>
                <w:sz w:val="22"/>
                <w:szCs w:val="22"/>
              </w:rPr>
              <w:t>2017</w:t>
            </w:r>
          </w:p>
        </w:tc>
        <w:tc>
          <w:tcPr>
            <w:tcW w:w="2250" w:type="dxa"/>
          </w:tcPr>
          <w:p w:rsidR="007C2A6E" w:rsidRPr="00C1618F" w:rsidRDefault="007C2A6E" w:rsidP="001F6669">
            <w:pPr>
              <w:rPr>
                <w:rFonts w:ascii="Arial" w:hAnsi="Arial" w:cs="Arial"/>
                <w:sz w:val="22"/>
                <w:szCs w:val="22"/>
              </w:rPr>
            </w:pPr>
          </w:p>
        </w:tc>
        <w:tc>
          <w:tcPr>
            <w:tcW w:w="4028" w:type="dxa"/>
          </w:tcPr>
          <w:p w:rsidR="007C2A6E" w:rsidRPr="00C1618F" w:rsidRDefault="007C2A6E" w:rsidP="001F6669">
            <w:pPr>
              <w:rPr>
                <w:rFonts w:ascii="Arial" w:hAnsi="Arial" w:cs="Arial"/>
                <w:sz w:val="22"/>
                <w:szCs w:val="22"/>
              </w:rPr>
            </w:pPr>
          </w:p>
        </w:tc>
      </w:tr>
      <w:tr w:rsidR="007C2A6E" w:rsidRPr="00A973BA" w:rsidTr="001F6669">
        <w:trPr>
          <w:trHeight w:val="72"/>
        </w:trPr>
        <w:tc>
          <w:tcPr>
            <w:tcW w:w="3708" w:type="dxa"/>
            <w:shd w:val="clear" w:color="auto" w:fill="FFFFFF"/>
            <w:vAlign w:val="center"/>
          </w:tcPr>
          <w:p w:rsidR="00D81E74" w:rsidRPr="00D81E74" w:rsidRDefault="00D81E74" w:rsidP="00D81E74">
            <w:r w:rsidRPr="00D81E74">
              <w:t>With knowledge of building envelope, building mechanical &amp; building electrical systems, perform an energy audit &amp; prepare a complete report with recommendations for savings opportunities.</w:t>
            </w:r>
          </w:p>
          <w:p w:rsidR="007C2A6E" w:rsidRPr="00F32533" w:rsidRDefault="007C2A6E" w:rsidP="00F32533"/>
        </w:tc>
        <w:tc>
          <w:tcPr>
            <w:tcW w:w="1742" w:type="dxa"/>
            <w:vAlign w:val="center"/>
          </w:tcPr>
          <w:p w:rsidR="007C2A6E" w:rsidRPr="00A973BA" w:rsidRDefault="00F32533" w:rsidP="00F32533">
            <w:pPr>
              <w:rPr>
                <w:rFonts w:ascii="Arial" w:hAnsi="Arial" w:cs="Arial"/>
                <w:sz w:val="22"/>
                <w:szCs w:val="22"/>
              </w:rPr>
            </w:pPr>
            <w:r>
              <w:t xml:space="preserve">HVA 1201 - HVA 1221 - HVA 1351 - CAT 1111 - EET 1120 - EGV 1201 - EGV 1301 - EGV 1351 - EGV 2201 - EGV 2251 - EGV 2301 - HVA 1261 - </w:t>
            </w:r>
          </w:p>
        </w:tc>
        <w:tc>
          <w:tcPr>
            <w:tcW w:w="1430" w:type="dxa"/>
            <w:shd w:val="clear" w:color="auto" w:fill="auto"/>
          </w:tcPr>
          <w:p w:rsidR="007C2A6E" w:rsidRPr="00A973BA" w:rsidRDefault="00C1618F" w:rsidP="00C1618F">
            <w:pPr>
              <w:rPr>
                <w:rFonts w:ascii="Arial" w:hAnsi="Arial" w:cs="Arial"/>
                <w:color w:val="000000" w:themeColor="text1"/>
                <w:sz w:val="22"/>
                <w:szCs w:val="22"/>
              </w:rPr>
            </w:pPr>
            <w:r>
              <w:rPr>
                <w:rFonts w:ascii="Arial" w:hAnsi="Arial" w:cs="Arial"/>
                <w:color w:val="000000" w:themeColor="text1"/>
                <w:sz w:val="22"/>
                <w:szCs w:val="22"/>
              </w:rPr>
              <w:t>201</w:t>
            </w:r>
            <w:r w:rsidR="00C04679">
              <w:rPr>
                <w:rFonts w:ascii="Arial" w:hAnsi="Arial" w:cs="Arial"/>
                <w:color w:val="000000" w:themeColor="text1"/>
                <w:sz w:val="22"/>
                <w:szCs w:val="22"/>
              </w:rPr>
              <w:t>6</w:t>
            </w:r>
          </w:p>
        </w:tc>
        <w:tc>
          <w:tcPr>
            <w:tcW w:w="2250" w:type="dxa"/>
          </w:tcPr>
          <w:p w:rsidR="007C2A6E" w:rsidRPr="00C1618F" w:rsidRDefault="00C04679" w:rsidP="001F6669">
            <w:pPr>
              <w:rPr>
                <w:rFonts w:ascii="Arial" w:hAnsi="Arial" w:cs="Arial"/>
                <w:sz w:val="22"/>
                <w:szCs w:val="22"/>
              </w:rPr>
            </w:pPr>
            <w:r>
              <w:rPr>
                <w:rFonts w:ascii="Arial" w:hAnsi="Arial" w:cs="Arial"/>
                <w:sz w:val="22"/>
                <w:szCs w:val="22"/>
              </w:rPr>
              <w:t>Capstone final project.</w:t>
            </w:r>
          </w:p>
        </w:tc>
        <w:tc>
          <w:tcPr>
            <w:tcW w:w="4028" w:type="dxa"/>
          </w:tcPr>
          <w:p w:rsidR="007C2A6E" w:rsidRDefault="00AA735E" w:rsidP="001F6669">
            <w:pPr>
              <w:rPr>
                <w:rFonts w:ascii="Arial" w:hAnsi="Arial" w:cs="Arial"/>
                <w:sz w:val="22"/>
                <w:szCs w:val="22"/>
              </w:rPr>
            </w:pPr>
            <w:r>
              <w:rPr>
                <w:rFonts w:ascii="Arial" w:hAnsi="Arial" w:cs="Arial"/>
                <w:sz w:val="22"/>
                <w:szCs w:val="22"/>
              </w:rPr>
              <w:t>Student success rates equaled 100%.</w:t>
            </w:r>
            <w:r w:rsidR="009378DE">
              <w:rPr>
                <w:rFonts w:ascii="Arial" w:hAnsi="Arial" w:cs="Arial"/>
                <w:sz w:val="22"/>
                <w:szCs w:val="22"/>
              </w:rPr>
              <w:t xml:space="preserve">  Client success rates also equaled 100%.</w:t>
            </w:r>
          </w:p>
          <w:p w:rsidR="00AA735E" w:rsidRDefault="00AA735E" w:rsidP="001F6669">
            <w:pPr>
              <w:rPr>
                <w:rFonts w:ascii="Arial" w:hAnsi="Arial" w:cs="Arial"/>
                <w:sz w:val="22"/>
                <w:szCs w:val="22"/>
              </w:rPr>
            </w:pPr>
          </w:p>
          <w:p w:rsidR="00AA735E" w:rsidRDefault="00AA735E" w:rsidP="001F6669">
            <w:pPr>
              <w:rPr>
                <w:rFonts w:ascii="Arial" w:hAnsi="Arial" w:cs="Arial"/>
                <w:sz w:val="22"/>
                <w:szCs w:val="22"/>
              </w:rPr>
            </w:pPr>
            <w:r>
              <w:rPr>
                <w:rFonts w:ascii="Arial" w:hAnsi="Arial" w:cs="Arial"/>
                <w:sz w:val="22"/>
                <w:szCs w:val="22"/>
              </w:rPr>
              <w:t>Students wrote 10 reports.</w:t>
            </w:r>
          </w:p>
          <w:p w:rsidR="00AA735E" w:rsidRDefault="00AA735E" w:rsidP="001F6669">
            <w:pPr>
              <w:rPr>
                <w:rFonts w:ascii="Arial" w:hAnsi="Arial" w:cs="Arial"/>
                <w:sz w:val="22"/>
                <w:szCs w:val="22"/>
              </w:rPr>
            </w:pPr>
          </w:p>
          <w:p w:rsidR="00AA735E" w:rsidRDefault="00AA735E" w:rsidP="001F6669">
            <w:pPr>
              <w:rPr>
                <w:rFonts w:ascii="Arial" w:hAnsi="Arial" w:cs="Arial"/>
                <w:sz w:val="22"/>
                <w:szCs w:val="22"/>
              </w:rPr>
            </w:pPr>
            <w:r>
              <w:rPr>
                <w:rFonts w:ascii="Arial" w:hAnsi="Arial" w:cs="Arial"/>
                <w:sz w:val="22"/>
                <w:szCs w:val="22"/>
              </w:rPr>
              <w:t>Clients included Montgomery County, Sinclair Community College and a few local school district buildings.</w:t>
            </w:r>
          </w:p>
          <w:p w:rsidR="00AA735E" w:rsidRDefault="00AA735E" w:rsidP="001F6669">
            <w:pPr>
              <w:rPr>
                <w:rFonts w:ascii="Arial" w:hAnsi="Arial" w:cs="Arial"/>
                <w:sz w:val="22"/>
                <w:szCs w:val="22"/>
              </w:rPr>
            </w:pPr>
          </w:p>
          <w:p w:rsidR="00AA735E" w:rsidRDefault="00AA735E" w:rsidP="001F6669">
            <w:pPr>
              <w:rPr>
                <w:rFonts w:ascii="Arial" w:hAnsi="Arial" w:cs="Arial"/>
                <w:sz w:val="22"/>
                <w:szCs w:val="22"/>
              </w:rPr>
            </w:pPr>
            <w:r>
              <w:rPr>
                <w:rFonts w:ascii="Arial" w:hAnsi="Arial" w:cs="Arial"/>
                <w:sz w:val="22"/>
                <w:szCs w:val="22"/>
              </w:rPr>
              <w:t>Overall, students recommended practices that would save these clients over $200,000 yearly in energy consumption.  This represents a 16% savings on their current energy usage.</w:t>
            </w:r>
          </w:p>
          <w:p w:rsidR="00AA735E" w:rsidRDefault="00AA735E" w:rsidP="001F6669">
            <w:pPr>
              <w:rPr>
                <w:rFonts w:ascii="Arial" w:hAnsi="Arial" w:cs="Arial"/>
                <w:sz w:val="22"/>
                <w:szCs w:val="22"/>
              </w:rPr>
            </w:pPr>
          </w:p>
          <w:p w:rsidR="00AA735E" w:rsidRDefault="00AA735E" w:rsidP="00AA735E">
            <w:pPr>
              <w:rPr>
                <w:rFonts w:ascii="Arial" w:hAnsi="Arial" w:cs="Arial"/>
                <w:sz w:val="22"/>
                <w:szCs w:val="22"/>
              </w:rPr>
            </w:pPr>
            <w:r>
              <w:rPr>
                <w:rFonts w:ascii="Arial" w:hAnsi="Arial" w:cs="Arial"/>
                <w:sz w:val="22"/>
                <w:szCs w:val="22"/>
              </w:rPr>
              <w:t>The clients were happy with their work and commented that the reports were both professional tin display and readable.</w:t>
            </w:r>
            <w:bookmarkStart w:id="1" w:name="_GoBack"/>
            <w:bookmarkEnd w:id="1"/>
          </w:p>
          <w:p w:rsidR="00AA735E" w:rsidRPr="00C1618F" w:rsidRDefault="00AA735E" w:rsidP="00AA735E">
            <w:pPr>
              <w:rPr>
                <w:rFonts w:ascii="Arial" w:hAnsi="Arial" w:cs="Arial"/>
                <w:sz w:val="22"/>
                <w:szCs w:val="22"/>
              </w:rPr>
            </w:pPr>
            <w:r>
              <w:rPr>
                <w:rFonts w:ascii="Arial" w:hAnsi="Arial" w:cs="Arial"/>
                <w:sz w:val="22"/>
                <w:szCs w:val="22"/>
              </w:rPr>
              <w:t xml:space="preserve"> </w:t>
            </w:r>
          </w:p>
        </w:tc>
      </w:tr>
      <w:tr w:rsidR="008A71F5" w:rsidRPr="00A973BA" w:rsidTr="001F6669">
        <w:trPr>
          <w:trHeight w:val="72"/>
        </w:trPr>
        <w:tc>
          <w:tcPr>
            <w:tcW w:w="3708" w:type="dxa"/>
            <w:shd w:val="clear" w:color="auto" w:fill="FFFFFF"/>
            <w:vAlign w:val="center"/>
          </w:tcPr>
          <w:p w:rsidR="008A71F5" w:rsidRPr="00A973BA" w:rsidRDefault="00D81E74" w:rsidP="008A71F5">
            <w:pPr>
              <w:rPr>
                <w:rFonts w:ascii="Arial" w:hAnsi="Arial" w:cs="Arial"/>
                <w:sz w:val="22"/>
                <w:szCs w:val="22"/>
              </w:rPr>
            </w:pPr>
            <w:r w:rsidRPr="00D81E74">
              <w:t>Demonstrate professionalism through ethical behavior, demonstrating sensitivity to individuals of other cultures, &amp; conveying a global perspective on energy issues.</w:t>
            </w:r>
          </w:p>
        </w:tc>
        <w:tc>
          <w:tcPr>
            <w:tcW w:w="1742" w:type="dxa"/>
            <w:vAlign w:val="center"/>
          </w:tcPr>
          <w:p w:rsidR="008A71F5" w:rsidRPr="00A973BA" w:rsidRDefault="00F32533" w:rsidP="00F32533">
            <w:pPr>
              <w:rPr>
                <w:rFonts w:ascii="Arial" w:hAnsi="Arial" w:cs="Arial"/>
                <w:sz w:val="22"/>
                <w:szCs w:val="22"/>
              </w:rPr>
            </w:pPr>
            <w:r>
              <w:t>OTM: Arts &amp; Humanities Elective</w:t>
            </w:r>
            <w:r>
              <w:br/>
              <w:t>OTM:  Social &amp; Behavioral Sciences Elective</w:t>
            </w:r>
            <w:r>
              <w:br/>
              <w:t>MET 2711</w:t>
            </w:r>
          </w:p>
        </w:tc>
        <w:tc>
          <w:tcPr>
            <w:tcW w:w="1430" w:type="dxa"/>
            <w:shd w:val="clear" w:color="auto" w:fill="auto"/>
          </w:tcPr>
          <w:p w:rsidR="008A71F5" w:rsidRPr="00A973BA" w:rsidRDefault="00744E04" w:rsidP="008A71F5">
            <w:pPr>
              <w:rPr>
                <w:rFonts w:ascii="Arial" w:hAnsi="Arial" w:cs="Arial"/>
                <w:color w:val="000000" w:themeColor="text1"/>
                <w:sz w:val="22"/>
                <w:szCs w:val="22"/>
              </w:rPr>
            </w:pPr>
            <w:r>
              <w:rPr>
                <w:rFonts w:ascii="Arial" w:hAnsi="Arial" w:cs="Arial"/>
                <w:color w:val="000000" w:themeColor="text1"/>
                <w:sz w:val="22"/>
                <w:szCs w:val="22"/>
              </w:rPr>
              <w:t>2015</w:t>
            </w:r>
          </w:p>
        </w:tc>
        <w:tc>
          <w:tcPr>
            <w:tcW w:w="2250" w:type="dxa"/>
          </w:tcPr>
          <w:p w:rsidR="00744E04" w:rsidRPr="00C1618F" w:rsidRDefault="00744E04" w:rsidP="00744E04">
            <w:pPr>
              <w:ind w:left="72"/>
              <w:rPr>
                <w:rFonts w:ascii="Arial" w:hAnsi="Arial" w:cs="Arial"/>
                <w:color w:val="000000" w:themeColor="text1"/>
                <w:sz w:val="22"/>
                <w:szCs w:val="22"/>
              </w:rPr>
            </w:pPr>
            <w:r w:rsidRPr="00C1618F">
              <w:rPr>
                <w:rFonts w:ascii="Arial" w:hAnsi="Arial" w:cs="Arial"/>
                <w:color w:val="000000" w:themeColor="text1"/>
                <w:sz w:val="22"/>
                <w:szCs w:val="22"/>
              </w:rPr>
              <w:t>Challenger case and KC Skywalk case w/ written rubrics for Professionalism</w:t>
            </w:r>
          </w:p>
          <w:p w:rsidR="00744E04" w:rsidRPr="00C1618F" w:rsidRDefault="00744E04" w:rsidP="00744E04">
            <w:pPr>
              <w:ind w:left="72"/>
              <w:rPr>
                <w:rFonts w:ascii="Arial" w:hAnsi="Arial" w:cs="Arial"/>
                <w:color w:val="000000" w:themeColor="text1"/>
                <w:sz w:val="22"/>
                <w:szCs w:val="22"/>
              </w:rPr>
            </w:pPr>
          </w:p>
          <w:p w:rsidR="00744E04" w:rsidRPr="00C1618F" w:rsidRDefault="00744E04" w:rsidP="00744E04">
            <w:pPr>
              <w:ind w:left="72"/>
              <w:rPr>
                <w:rFonts w:ascii="Arial" w:hAnsi="Arial" w:cs="Arial"/>
                <w:color w:val="000000" w:themeColor="text1"/>
                <w:sz w:val="22"/>
                <w:szCs w:val="22"/>
              </w:rPr>
            </w:pPr>
            <w:r w:rsidRPr="00C1618F">
              <w:rPr>
                <w:rFonts w:ascii="Arial" w:hAnsi="Arial" w:cs="Arial"/>
                <w:color w:val="000000" w:themeColor="text1"/>
                <w:sz w:val="22"/>
                <w:szCs w:val="22"/>
              </w:rPr>
              <w:t>NSPE Ethics quiz for ethical responsibilities</w:t>
            </w:r>
          </w:p>
          <w:p w:rsidR="00744E04" w:rsidRPr="00C1618F" w:rsidRDefault="00744E04" w:rsidP="00744E04">
            <w:pPr>
              <w:ind w:left="72"/>
              <w:rPr>
                <w:rFonts w:ascii="Arial" w:hAnsi="Arial" w:cs="Arial"/>
                <w:color w:val="000000" w:themeColor="text1"/>
                <w:sz w:val="22"/>
                <w:szCs w:val="22"/>
              </w:rPr>
            </w:pPr>
          </w:p>
          <w:p w:rsidR="008A71F5" w:rsidRPr="00C1618F" w:rsidRDefault="00744E04" w:rsidP="00744E04">
            <w:pPr>
              <w:rPr>
                <w:rFonts w:ascii="Arial" w:hAnsi="Arial" w:cs="Arial"/>
                <w:sz w:val="22"/>
                <w:szCs w:val="22"/>
              </w:rPr>
            </w:pPr>
            <w:r w:rsidRPr="00C1618F">
              <w:rPr>
                <w:rFonts w:ascii="Arial" w:hAnsi="Arial" w:cs="Arial"/>
                <w:color w:val="000000" w:themeColor="text1"/>
                <w:sz w:val="22"/>
                <w:szCs w:val="22"/>
              </w:rPr>
              <w:lastRenderedPageBreak/>
              <w:t>Diversity, Risky Tank case w/written rubric</w:t>
            </w:r>
          </w:p>
        </w:tc>
        <w:tc>
          <w:tcPr>
            <w:tcW w:w="4028" w:type="dxa"/>
          </w:tcPr>
          <w:p w:rsidR="00744E04" w:rsidRPr="00C1618F" w:rsidRDefault="00744E04" w:rsidP="00744E04">
            <w:pPr>
              <w:spacing w:before="60" w:after="100"/>
              <w:rPr>
                <w:rFonts w:ascii="Arial" w:hAnsi="Arial" w:cs="Arial"/>
                <w:bCs/>
                <w:sz w:val="22"/>
                <w:szCs w:val="22"/>
                <w:u w:val="single"/>
              </w:rPr>
            </w:pPr>
            <w:r w:rsidRPr="00C1618F">
              <w:rPr>
                <w:rFonts w:ascii="Arial" w:hAnsi="Arial" w:cs="Arial"/>
                <w:bCs/>
                <w:sz w:val="22"/>
                <w:szCs w:val="22"/>
                <w:u w:val="single"/>
              </w:rPr>
              <w:lastRenderedPageBreak/>
              <w:t>Challenger Case:</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Average score: 91.1% (spring)  100%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Students achieving 70% threshold: </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90% (spring)  100% (fall)</w:t>
            </w:r>
          </w:p>
          <w:p w:rsidR="00744E04" w:rsidRPr="00C1618F" w:rsidRDefault="00744E04" w:rsidP="00744E04">
            <w:pPr>
              <w:spacing w:before="60" w:after="100"/>
              <w:rPr>
                <w:rFonts w:ascii="Arial" w:hAnsi="Arial" w:cs="Arial"/>
                <w:bCs/>
                <w:sz w:val="22"/>
                <w:szCs w:val="22"/>
                <w:u w:val="single"/>
              </w:rPr>
            </w:pPr>
            <w:r w:rsidRPr="00C1618F">
              <w:rPr>
                <w:rFonts w:ascii="Arial" w:hAnsi="Arial" w:cs="Arial"/>
                <w:bCs/>
                <w:sz w:val="22"/>
                <w:szCs w:val="22"/>
                <w:u w:val="single"/>
              </w:rPr>
              <w:t>KC Skywalk Case:</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Average score: 81.3% (spring)  82%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Students achieving 70% threshold: </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90% (spring)  100% (fall)</w:t>
            </w:r>
          </w:p>
          <w:p w:rsidR="00744E04" w:rsidRPr="00C1618F" w:rsidRDefault="00744E04" w:rsidP="00744E04">
            <w:pPr>
              <w:spacing w:before="60" w:after="100"/>
              <w:rPr>
                <w:rFonts w:ascii="Arial" w:hAnsi="Arial" w:cs="Arial"/>
                <w:bCs/>
                <w:sz w:val="22"/>
                <w:szCs w:val="22"/>
                <w:u w:val="single"/>
              </w:rPr>
            </w:pPr>
            <w:r w:rsidRPr="00C1618F">
              <w:rPr>
                <w:rFonts w:ascii="Arial" w:hAnsi="Arial" w:cs="Arial"/>
                <w:bCs/>
                <w:sz w:val="22"/>
                <w:szCs w:val="22"/>
                <w:u w:val="single"/>
              </w:rPr>
              <w:t>NSPE Ethics Quiz</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lastRenderedPageBreak/>
              <w:t>Average score: 82.6% (spring)  84%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Students achieving 70% threshold: </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91% (spring)  100% (fall)</w:t>
            </w:r>
          </w:p>
          <w:p w:rsidR="00744E04" w:rsidRPr="00C1618F" w:rsidRDefault="00744E04" w:rsidP="00744E04">
            <w:pPr>
              <w:spacing w:before="60" w:after="100"/>
              <w:rPr>
                <w:rFonts w:ascii="Arial" w:hAnsi="Arial" w:cs="Arial"/>
                <w:bCs/>
                <w:sz w:val="22"/>
                <w:szCs w:val="22"/>
                <w:u w:val="single"/>
              </w:rPr>
            </w:pPr>
            <w:r w:rsidRPr="00C1618F">
              <w:rPr>
                <w:rFonts w:ascii="Arial" w:hAnsi="Arial" w:cs="Arial"/>
                <w:bCs/>
                <w:sz w:val="22"/>
                <w:szCs w:val="22"/>
                <w:u w:val="single"/>
              </w:rPr>
              <w:t xml:space="preserve">Risky Tank (Diversity: </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Average score: 72.4% (spring)  91.2%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Students achieving 70% threshold:</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 64% (spring)  100% (fall)</w:t>
            </w:r>
          </w:p>
          <w:p w:rsidR="008A71F5" w:rsidRPr="00C1618F" w:rsidRDefault="008A71F5" w:rsidP="00F232D9">
            <w:pPr>
              <w:rPr>
                <w:rFonts w:ascii="Arial" w:hAnsi="Arial" w:cs="Arial"/>
                <w:sz w:val="22"/>
                <w:szCs w:val="22"/>
              </w:rPr>
            </w:pPr>
          </w:p>
        </w:tc>
      </w:tr>
      <w:tr w:rsidR="008A71F5" w:rsidRPr="00A973BA" w:rsidTr="001F6669">
        <w:tblPrEx>
          <w:shd w:val="clear" w:color="auto" w:fill="auto"/>
          <w:tblLook w:val="04A0" w:firstRow="1" w:lastRow="0" w:firstColumn="1" w:lastColumn="0" w:noHBand="0" w:noVBand="1"/>
        </w:tblPrEx>
        <w:trPr>
          <w:trHeight w:val="72"/>
        </w:trPr>
        <w:tc>
          <w:tcPr>
            <w:tcW w:w="3708" w:type="dxa"/>
            <w:vAlign w:val="center"/>
          </w:tcPr>
          <w:p w:rsidR="008A71F5" w:rsidRPr="00A973BA" w:rsidRDefault="00D81E74" w:rsidP="008A71F5">
            <w:pPr>
              <w:rPr>
                <w:rFonts w:ascii="Arial" w:hAnsi="Arial" w:cs="Arial"/>
                <w:sz w:val="22"/>
                <w:szCs w:val="22"/>
              </w:rPr>
            </w:pPr>
            <w:r w:rsidRPr="00D81E74">
              <w:lastRenderedPageBreak/>
              <w:t>Develop an energy management plan.</w:t>
            </w:r>
          </w:p>
        </w:tc>
        <w:tc>
          <w:tcPr>
            <w:tcW w:w="1742" w:type="dxa"/>
            <w:vAlign w:val="center"/>
          </w:tcPr>
          <w:p w:rsidR="008A71F5" w:rsidRPr="00A973BA" w:rsidRDefault="00F32533" w:rsidP="00F32533">
            <w:pPr>
              <w:rPr>
                <w:rFonts w:ascii="Arial" w:hAnsi="Arial" w:cs="Arial"/>
                <w:sz w:val="22"/>
                <w:szCs w:val="22"/>
              </w:rPr>
            </w:pPr>
            <w:r>
              <w:t>EGV 1251 - EGV 1301 - EGV 2780 -</w:t>
            </w:r>
          </w:p>
        </w:tc>
        <w:tc>
          <w:tcPr>
            <w:tcW w:w="1430" w:type="dxa"/>
          </w:tcPr>
          <w:p w:rsidR="008A71F5" w:rsidRPr="00A973BA" w:rsidRDefault="00C04679" w:rsidP="008A71F5">
            <w:pPr>
              <w:rPr>
                <w:rFonts w:ascii="Arial" w:hAnsi="Arial" w:cs="Arial"/>
                <w:color w:val="000000" w:themeColor="text1"/>
                <w:sz w:val="22"/>
                <w:szCs w:val="22"/>
              </w:rPr>
            </w:pPr>
            <w:r>
              <w:rPr>
                <w:rFonts w:ascii="Arial" w:hAnsi="Arial" w:cs="Arial"/>
                <w:color w:val="000000" w:themeColor="text1"/>
                <w:sz w:val="22"/>
                <w:szCs w:val="22"/>
              </w:rPr>
              <w:t>2017</w:t>
            </w:r>
          </w:p>
        </w:tc>
        <w:tc>
          <w:tcPr>
            <w:tcW w:w="2250" w:type="dxa"/>
          </w:tcPr>
          <w:p w:rsidR="008A71F5" w:rsidRPr="00C1618F" w:rsidRDefault="008A71F5" w:rsidP="008A71F5">
            <w:pPr>
              <w:rPr>
                <w:rFonts w:ascii="Arial" w:hAnsi="Arial" w:cs="Arial"/>
                <w:sz w:val="22"/>
                <w:szCs w:val="22"/>
              </w:rPr>
            </w:pPr>
          </w:p>
        </w:tc>
        <w:tc>
          <w:tcPr>
            <w:tcW w:w="4028" w:type="dxa"/>
          </w:tcPr>
          <w:p w:rsidR="008A71F5" w:rsidRPr="00C1618F" w:rsidRDefault="008A71F5" w:rsidP="00F232D9">
            <w:pPr>
              <w:rPr>
                <w:rFonts w:ascii="Arial" w:hAnsi="Arial" w:cs="Arial"/>
                <w:sz w:val="22"/>
                <w:szCs w:val="22"/>
              </w:rPr>
            </w:pPr>
          </w:p>
        </w:tc>
      </w:tr>
      <w:tr w:rsidR="008A71F5" w:rsidRPr="00A973BA" w:rsidTr="001F6669">
        <w:tblPrEx>
          <w:shd w:val="clear" w:color="auto" w:fill="auto"/>
          <w:tblLook w:val="04A0" w:firstRow="1" w:lastRow="0" w:firstColumn="1" w:lastColumn="0" w:noHBand="0" w:noVBand="1"/>
        </w:tblPrEx>
        <w:trPr>
          <w:trHeight w:val="72"/>
        </w:trPr>
        <w:tc>
          <w:tcPr>
            <w:tcW w:w="3708" w:type="dxa"/>
            <w:vAlign w:val="center"/>
          </w:tcPr>
          <w:p w:rsidR="008A71F5" w:rsidRPr="00A973BA" w:rsidRDefault="00D81E74" w:rsidP="008A71F5">
            <w:pPr>
              <w:rPr>
                <w:rFonts w:ascii="Arial" w:hAnsi="Arial" w:cs="Arial"/>
                <w:sz w:val="22"/>
                <w:szCs w:val="22"/>
              </w:rPr>
            </w:pPr>
            <w:r w:rsidRPr="00D81E74">
              <w:t>Assess a site for the use of renewable energy technologies &amp; prepare a proposal for installation, taking into account applicable codes, &amp; standards, utility rate structures, economics &amp; safety.</w:t>
            </w:r>
          </w:p>
        </w:tc>
        <w:tc>
          <w:tcPr>
            <w:tcW w:w="1742" w:type="dxa"/>
            <w:vAlign w:val="center"/>
          </w:tcPr>
          <w:p w:rsidR="008A71F5" w:rsidRPr="00A973BA" w:rsidRDefault="00F32533" w:rsidP="00F32533">
            <w:pPr>
              <w:rPr>
                <w:rFonts w:ascii="Arial" w:hAnsi="Arial" w:cs="Arial"/>
                <w:sz w:val="22"/>
                <w:szCs w:val="22"/>
              </w:rPr>
            </w:pPr>
            <w:r>
              <w:t xml:space="preserve">EGV 1101 - EGV 1251 - EGV 1301 - EGV 2101 - </w:t>
            </w:r>
            <w:r>
              <w:br/>
              <w:t>EGV 2151 - EGV 2780 -</w:t>
            </w:r>
          </w:p>
        </w:tc>
        <w:tc>
          <w:tcPr>
            <w:tcW w:w="1430" w:type="dxa"/>
          </w:tcPr>
          <w:p w:rsidR="008A71F5" w:rsidRPr="00A973BA" w:rsidRDefault="00C04679" w:rsidP="008A71F5">
            <w:pPr>
              <w:rPr>
                <w:rFonts w:ascii="Arial" w:hAnsi="Arial" w:cs="Arial"/>
                <w:color w:val="000000" w:themeColor="text1"/>
                <w:sz w:val="22"/>
                <w:szCs w:val="22"/>
              </w:rPr>
            </w:pPr>
            <w:r>
              <w:rPr>
                <w:rFonts w:ascii="Arial" w:hAnsi="Arial" w:cs="Arial"/>
                <w:color w:val="000000" w:themeColor="text1"/>
                <w:sz w:val="22"/>
                <w:szCs w:val="22"/>
              </w:rPr>
              <w:t>2018</w:t>
            </w:r>
          </w:p>
        </w:tc>
        <w:tc>
          <w:tcPr>
            <w:tcW w:w="2250" w:type="dxa"/>
          </w:tcPr>
          <w:p w:rsidR="008A71F5" w:rsidRPr="00C1618F" w:rsidRDefault="008A71F5" w:rsidP="008A71F5">
            <w:pPr>
              <w:rPr>
                <w:rFonts w:ascii="Arial" w:hAnsi="Arial" w:cs="Arial"/>
                <w:sz w:val="22"/>
                <w:szCs w:val="22"/>
              </w:rPr>
            </w:pPr>
          </w:p>
        </w:tc>
        <w:tc>
          <w:tcPr>
            <w:tcW w:w="4028" w:type="dxa"/>
          </w:tcPr>
          <w:p w:rsidR="008A71F5" w:rsidRPr="00C1618F" w:rsidRDefault="008A71F5" w:rsidP="008A71F5">
            <w:pPr>
              <w:rPr>
                <w:rFonts w:ascii="Arial" w:hAnsi="Arial" w:cs="Arial"/>
                <w:sz w:val="22"/>
                <w:szCs w:val="22"/>
              </w:rPr>
            </w:pPr>
          </w:p>
        </w:tc>
      </w:tr>
      <w:tr w:rsidR="00744E04" w:rsidRPr="00A973BA" w:rsidTr="001F6669">
        <w:tblPrEx>
          <w:shd w:val="clear" w:color="auto" w:fill="auto"/>
          <w:tblLook w:val="04A0" w:firstRow="1" w:lastRow="0" w:firstColumn="1" w:lastColumn="0" w:noHBand="0" w:noVBand="1"/>
        </w:tblPrEx>
        <w:trPr>
          <w:trHeight w:val="72"/>
        </w:trPr>
        <w:tc>
          <w:tcPr>
            <w:tcW w:w="3708" w:type="dxa"/>
            <w:vAlign w:val="center"/>
          </w:tcPr>
          <w:p w:rsidR="00744E04" w:rsidRPr="00A973BA" w:rsidRDefault="00744E04" w:rsidP="00744E04">
            <w:pPr>
              <w:rPr>
                <w:rFonts w:ascii="Arial" w:hAnsi="Arial" w:cs="Arial"/>
                <w:sz w:val="22"/>
                <w:szCs w:val="22"/>
              </w:rPr>
            </w:pPr>
            <w:r>
              <w:t>Effectively communicate technical information.</w:t>
            </w:r>
          </w:p>
        </w:tc>
        <w:tc>
          <w:tcPr>
            <w:tcW w:w="1742" w:type="dxa"/>
            <w:vAlign w:val="center"/>
          </w:tcPr>
          <w:p w:rsidR="00744E04" w:rsidRPr="00A973BA" w:rsidRDefault="00744E04" w:rsidP="00744E04">
            <w:pPr>
              <w:rPr>
                <w:rFonts w:ascii="Arial" w:hAnsi="Arial" w:cs="Arial"/>
                <w:sz w:val="22"/>
                <w:szCs w:val="22"/>
              </w:rPr>
            </w:pPr>
            <w:r>
              <w:t>COM 2211 - MET 1131 - ENG 1101</w:t>
            </w:r>
          </w:p>
        </w:tc>
        <w:tc>
          <w:tcPr>
            <w:tcW w:w="1430" w:type="dxa"/>
          </w:tcPr>
          <w:p w:rsidR="00744E04" w:rsidRPr="00A973BA" w:rsidRDefault="00744E04" w:rsidP="00744E04">
            <w:pPr>
              <w:rPr>
                <w:rFonts w:ascii="Arial" w:hAnsi="Arial" w:cs="Arial"/>
                <w:color w:val="000000" w:themeColor="text1"/>
                <w:sz w:val="22"/>
                <w:szCs w:val="22"/>
              </w:rPr>
            </w:pPr>
            <w:r>
              <w:rPr>
                <w:rFonts w:ascii="Arial" w:hAnsi="Arial" w:cs="Arial"/>
                <w:color w:val="000000" w:themeColor="text1"/>
                <w:sz w:val="22"/>
                <w:szCs w:val="22"/>
              </w:rPr>
              <w:t>2015</w:t>
            </w:r>
          </w:p>
        </w:tc>
        <w:tc>
          <w:tcPr>
            <w:tcW w:w="2250" w:type="dxa"/>
          </w:tcPr>
          <w:p w:rsidR="00744E04" w:rsidRPr="00C1618F" w:rsidRDefault="00744E04" w:rsidP="00744E04">
            <w:pPr>
              <w:ind w:left="72"/>
              <w:rPr>
                <w:rFonts w:ascii="Arial" w:hAnsi="Arial" w:cs="Arial"/>
                <w:color w:val="000000" w:themeColor="text1"/>
                <w:sz w:val="22"/>
                <w:szCs w:val="22"/>
              </w:rPr>
            </w:pPr>
            <w:r w:rsidRPr="00C1618F">
              <w:rPr>
                <w:rFonts w:ascii="Arial" w:hAnsi="Arial" w:cs="Arial"/>
                <w:color w:val="000000" w:themeColor="text1"/>
                <w:sz w:val="22"/>
                <w:szCs w:val="22"/>
              </w:rPr>
              <w:t>Oral communication: real-world ethics case presentation graded by rubric</w:t>
            </w:r>
          </w:p>
          <w:p w:rsidR="00744E04" w:rsidRPr="00C1618F" w:rsidRDefault="00744E04" w:rsidP="00744E04">
            <w:pPr>
              <w:ind w:left="72"/>
              <w:rPr>
                <w:rFonts w:ascii="Arial" w:hAnsi="Arial" w:cs="Arial"/>
                <w:color w:val="000000" w:themeColor="text1"/>
                <w:sz w:val="22"/>
                <w:szCs w:val="22"/>
              </w:rPr>
            </w:pPr>
          </w:p>
          <w:p w:rsidR="00744E04" w:rsidRPr="00C1618F" w:rsidRDefault="00744E04" w:rsidP="00744E04">
            <w:pPr>
              <w:ind w:left="72"/>
              <w:rPr>
                <w:rFonts w:ascii="Arial" w:hAnsi="Arial" w:cs="Arial"/>
                <w:color w:val="000000" w:themeColor="text1"/>
                <w:sz w:val="22"/>
                <w:szCs w:val="22"/>
              </w:rPr>
            </w:pPr>
            <w:r w:rsidRPr="00C1618F">
              <w:rPr>
                <w:rFonts w:ascii="Arial" w:hAnsi="Arial" w:cs="Arial"/>
                <w:color w:val="000000" w:themeColor="text1"/>
                <w:sz w:val="22"/>
                <w:szCs w:val="22"/>
              </w:rPr>
              <w:t>Written communication, final case graded by rubric</w:t>
            </w:r>
          </w:p>
        </w:tc>
        <w:tc>
          <w:tcPr>
            <w:tcW w:w="4028" w:type="dxa"/>
          </w:tcPr>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Real-world ethics case oral presentation: Average score: 87.6% (spring)  95.3%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Students achieving 70% threshold: </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91% (spring)  100% (fall)</w:t>
            </w:r>
          </w:p>
          <w:p w:rsidR="00744E04" w:rsidRPr="00C1618F" w:rsidRDefault="00744E04" w:rsidP="00744E04">
            <w:pPr>
              <w:spacing w:before="60" w:after="100"/>
              <w:rPr>
                <w:rFonts w:ascii="Arial" w:hAnsi="Arial" w:cs="Arial"/>
                <w:bCs/>
                <w:sz w:val="22"/>
                <w:szCs w:val="22"/>
              </w:rPr>
            </w:pPr>
            <w:r w:rsidRPr="00C1618F">
              <w:rPr>
                <w:rFonts w:ascii="Arial" w:hAnsi="Arial" w:cs="Arial"/>
                <w:color w:val="000000" w:themeColor="text1"/>
                <w:sz w:val="22"/>
                <w:szCs w:val="22"/>
              </w:rPr>
              <w:t xml:space="preserve">Final ethics case: </w:t>
            </w:r>
            <w:r w:rsidRPr="00C1618F">
              <w:rPr>
                <w:rFonts w:ascii="Arial" w:hAnsi="Arial" w:cs="Arial"/>
                <w:bCs/>
                <w:sz w:val="22"/>
                <w:szCs w:val="22"/>
              </w:rPr>
              <w:t>Average score: 84% (spring)  88.2% (fall)</w:t>
            </w:r>
          </w:p>
          <w:p w:rsidR="00744E04" w:rsidRPr="00C1618F" w:rsidRDefault="00744E04" w:rsidP="00744E04">
            <w:pPr>
              <w:spacing w:before="60" w:after="100"/>
              <w:rPr>
                <w:rFonts w:ascii="Arial" w:hAnsi="Arial" w:cs="Arial"/>
                <w:bCs/>
                <w:sz w:val="22"/>
                <w:szCs w:val="22"/>
              </w:rPr>
            </w:pPr>
            <w:r w:rsidRPr="00C1618F">
              <w:rPr>
                <w:rFonts w:ascii="Arial" w:hAnsi="Arial" w:cs="Arial"/>
                <w:bCs/>
                <w:sz w:val="22"/>
                <w:szCs w:val="22"/>
              </w:rPr>
              <w:t xml:space="preserve">Students achieving 91% threshold: </w:t>
            </w:r>
          </w:p>
          <w:p w:rsidR="00744E04" w:rsidRPr="00C1618F" w:rsidRDefault="00744E04" w:rsidP="00744E04">
            <w:pPr>
              <w:spacing w:before="60" w:after="100"/>
              <w:rPr>
                <w:rFonts w:ascii="Arial" w:hAnsi="Arial" w:cs="Arial"/>
                <w:color w:val="000000" w:themeColor="text1"/>
                <w:sz w:val="22"/>
                <w:szCs w:val="22"/>
              </w:rPr>
            </w:pPr>
            <w:r w:rsidRPr="00C1618F">
              <w:rPr>
                <w:rFonts w:ascii="Arial" w:hAnsi="Arial" w:cs="Arial"/>
                <w:bCs/>
                <w:sz w:val="22"/>
                <w:szCs w:val="22"/>
              </w:rPr>
              <w:t>100% (spring)  100% (fall)</w:t>
            </w:r>
          </w:p>
        </w:tc>
      </w:tr>
    </w:tbl>
    <w:p w:rsidR="007C2A6E" w:rsidRPr="00A973BA" w:rsidRDefault="007C2A6E" w:rsidP="007C2A6E">
      <w:pPr>
        <w:pStyle w:val="ListParagraph"/>
        <w:tabs>
          <w:tab w:val="left" w:pos="5040"/>
        </w:tabs>
        <w:ind w:left="360"/>
        <w:rPr>
          <w:rFonts w:ascii="Arial" w:hAnsi="Arial" w:cs="Arial"/>
          <w:color w:val="000000" w:themeColor="text1"/>
          <w:sz w:val="22"/>
          <w:szCs w:val="22"/>
        </w:rPr>
      </w:pP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Pr="00F32533" w:rsidRDefault="00F32533" w:rsidP="001D736E">
      <w:pPr>
        <w:pStyle w:val="ListParagraph"/>
        <w:tabs>
          <w:tab w:val="left" w:pos="5040"/>
        </w:tabs>
        <w:ind w:left="360"/>
        <w:rPr>
          <w:rFonts w:ascii="Arial" w:hAnsi="Arial" w:cs="Arial"/>
          <w:color w:val="FF0000"/>
        </w:rPr>
      </w:pPr>
      <w:r>
        <w:rPr>
          <w:rFonts w:ascii="Arial" w:hAnsi="Arial" w:cs="Arial"/>
          <w:color w:val="FF0000"/>
        </w:rPr>
        <w:t>Update below.</w:t>
      </w: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F95408" w:rsidP="00B02892">
            <w:pPr>
              <w:pStyle w:val="ListParagraph"/>
              <w:tabs>
                <w:tab w:val="left" w:pos="5040"/>
              </w:tabs>
              <w:ind w:left="0"/>
              <w:rPr>
                <w:color w:val="000000" w:themeColor="text1"/>
              </w:rPr>
            </w:pPr>
            <w:r>
              <w:rPr>
                <w:color w:val="000000" w:themeColor="text1"/>
              </w:rPr>
              <w:t>Recent and planned changes to the Integ</w:t>
            </w:r>
            <w:r w:rsidR="00F32533">
              <w:rPr>
                <w:color w:val="000000" w:themeColor="text1"/>
              </w:rPr>
              <w:t>rated Project Capstone Courses</w:t>
            </w:r>
            <w:r>
              <w:rPr>
                <w:color w:val="000000" w:themeColor="text1"/>
              </w:rPr>
              <w:t>:</w:t>
            </w:r>
          </w:p>
          <w:p w:rsidR="00F95408" w:rsidRDefault="00F95408" w:rsidP="00B02892">
            <w:pPr>
              <w:pStyle w:val="ListParagraph"/>
              <w:tabs>
                <w:tab w:val="left" w:pos="5040"/>
              </w:tabs>
              <w:ind w:left="0"/>
              <w:rPr>
                <w:color w:val="000000" w:themeColor="text1"/>
              </w:rPr>
            </w:pPr>
          </w:p>
          <w:p w:rsidR="00F95408" w:rsidRPr="00F95408" w:rsidRDefault="00F95408" w:rsidP="00F95408">
            <w:pPr>
              <w:tabs>
                <w:tab w:val="left" w:pos="5040"/>
              </w:tabs>
              <w:rPr>
                <w:color w:val="000000" w:themeColor="text1"/>
              </w:rPr>
            </w:pPr>
            <w:r w:rsidRPr="00F95408">
              <w:rPr>
                <w:color w:val="000000" w:themeColor="text1"/>
              </w:rPr>
              <w:t>Capstone changed in lecture lab split from 2/4 to 2/6</w:t>
            </w:r>
          </w:p>
          <w:p w:rsidR="00F95408" w:rsidRPr="00F95408" w:rsidRDefault="00F95408" w:rsidP="00F95408">
            <w:pPr>
              <w:pStyle w:val="ListParagraph"/>
              <w:numPr>
                <w:ilvl w:val="0"/>
                <w:numId w:val="26"/>
              </w:numPr>
              <w:tabs>
                <w:tab w:val="left" w:pos="5040"/>
              </w:tabs>
              <w:rPr>
                <w:color w:val="000000" w:themeColor="text1"/>
              </w:rPr>
            </w:pPr>
            <w:r w:rsidRPr="00F95408">
              <w:rPr>
                <w:color w:val="000000" w:themeColor="text1"/>
              </w:rPr>
              <w:t>Increases student lab time while keeping credit hours the same</w:t>
            </w:r>
          </w:p>
          <w:p w:rsidR="00F95408" w:rsidRPr="00F95408" w:rsidRDefault="00F95408" w:rsidP="00F95408">
            <w:pPr>
              <w:pStyle w:val="ListParagraph"/>
              <w:numPr>
                <w:ilvl w:val="0"/>
                <w:numId w:val="26"/>
              </w:numPr>
              <w:tabs>
                <w:tab w:val="left" w:pos="5040"/>
              </w:tabs>
              <w:rPr>
                <w:color w:val="000000" w:themeColor="text1"/>
              </w:rPr>
            </w:pPr>
            <w:r w:rsidRPr="00F95408">
              <w:rPr>
                <w:color w:val="000000" w:themeColor="text1"/>
              </w:rPr>
              <w:t>Student have more time to work in integrated teams</w:t>
            </w:r>
          </w:p>
          <w:p w:rsidR="00F95408" w:rsidRDefault="00F95408" w:rsidP="00F95408">
            <w:pPr>
              <w:pStyle w:val="ListParagraph"/>
              <w:numPr>
                <w:ilvl w:val="0"/>
                <w:numId w:val="26"/>
              </w:numPr>
              <w:tabs>
                <w:tab w:val="left" w:pos="5040"/>
              </w:tabs>
              <w:rPr>
                <w:color w:val="000000" w:themeColor="text1"/>
              </w:rPr>
            </w:pPr>
            <w:r w:rsidRPr="00F95408">
              <w:rPr>
                <w:color w:val="000000" w:themeColor="text1"/>
              </w:rPr>
              <w:t>Deemed efficient and will continue</w:t>
            </w:r>
          </w:p>
          <w:p w:rsidR="00F95408" w:rsidRDefault="00F95408" w:rsidP="00F95408">
            <w:pPr>
              <w:tabs>
                <w:tab w:val="left" w:pos="5040"/>
              </w:tabs>
              <w:rPr>
                <w:color w:val="000000" w:themeColor="text1"/>
              </w:rPr>
            </w:pPr>
          </w:p>
          <w:p w:rsidR="00F95408" w:rsidRPr="00F95408" w:rsidRDefault="00F95408" w:rsidP="00F95408">
            <w:pPr>
              <w:tabs>
                <w:tab w:val="left" w:pos="5040"/>
              </w:tabs>
              <w:rPr>
                <w:color w:val="000000" w:themeColor="text1"/>
              </w:rPr>
            </w:pPr>
            <w:r w:rsidRPr="00F95408">
              <w:rPr>
                <w:color w:val="000000" w:themeColor="text1"/>
              </w:rPr>
              <w:t>Capstone courses were inconsistent, of pour quality and unfocused</w:t>
            </w:r>
          </w:p>
          <w:p w:rsidR="00F95408" w:rsidRPr="00F95408" w:rsidRDefault="00F95408" w:rsidP="00F95408">
            <w:pPr>
              <w:numPr>
                <w:ilvl w:val="0"/>
                <w:numId w:val="26"/>
              </w:numPr>
              <w:tabs>
                <w:tab w:val="left" w:pos="5040"/>
              </w:tabs>
              <w:rPr>
                <w:color w:val="000000" w:themeColor="text1"/>
              </w:rPr>
            </w:pPr>
            <w:r w:rsidRPr="00F95408">
              <w:rPr>
                <w:color w:val="000000" w:themeColor="text1"/>
              </w:rPr>
              <w:t>Boot camp session with Graphic Design chair incorporated into class</w:t>
            </w:r>
          </w:p>
          <w:p w:rsidR="00F95408" w:rsidRPr="00F95408" w:rsidRDefault="00F95408" w:rsidP="00F95408">
            <w:pPr>
              <w:numPr>
                <w:ilvl w:val="0"/>
                <w:numId w:val="26"/>
              </w:numPr>
              <w:tabs>
                <w:tab w:val="left" w:pos="5040"/>
              </w:tabs>
              <w:rPr>
                <w:color w:val="000000" w:themeColor="text1"/>
              </w:rPr>
            </w:pPr>
            <w:r w:rsidRPr="00F95408">
              <w:rPr>
                <w:color w:val="000000" w:themeColor="text1"/>
              </w:rPr>
              <w:t>Poster board quality seen as improving</w:t>
            </w:r>
          </w:p>
          <w:p w:rsidR="00F95408" w:rsidRDefault="00F95408" w:rsidP="00F95408">
            <w:pPr>
              <w:numPr>
                <w:ilvl w:val="0"/>
                <w:numId w:val="26"/>
              </w:numPr>
              <w:tabs>
                <w:tab w:val="left" w:pos="5040"/>
              </w:tabs>
              <w:rPr>
                <w:color w:val="000000" w:themeColor="text1"/>
              </w:rPr>
            </w:pPr>
            <w:r w:rsidRPr="00F95408">
              <w:rPr>
                <w:color w:val="000000" w:themeColor="text1"/>
              </w:rPr>
              <w:t>Will most likely make change permanent</w:t>
            </w:r>
          </w:p>
          <w:p w:rsidR="00F95408" w:rsidRPr="00F95408" w:rsidRDefault="00F95408" w:rsidP="00F95408">
            <w:pPr>
              <w:tabs>
                <w:tab w:val="left" w:pos="5040"/>
              </w:tabs>
              <w:ind w:left="1800"/>
              <w:rPr>
                <w:color w:val="000000" w:themeColor="text1"/>
              </w:rPr>
            </w:pPr>
          </w:p>
          <w:p w:rsidR="00F95408" w:rsidRDefault="00F95408" w:rsidP="00F95408">
            <w:r>
              <w:t>Capstone Students working with outside organizations lack milestones</w:t>
            </w:r>
          </w:p>
          <w:p w:rsidR="00F95408" w:rsidRDefault="00F95408" w:rsidP="00F95408">
            <w:pPr>
              <w:pStyle w:val="ListParagraph"/>
              <w:numPr>
                <w:ilvl w:val="0"/>
                <w:numId w:val="26"/>
              </w:numPr>
            </w:pPr>
            <w:r>
              <w:t>In spring 2016, students will work with outside organization mid-semester to develop milestones</w:t>
            </w:r>
          </w:p>
          <w:p w:rsidR="00F95408" w:rsidRDefault="00F95408" w:rsidP="00F95408">
            <w:pPr>
              <w:pStyle w:val="ListParagraph"/>
              <w:numPr>
                <w:ilvl w:val="0"/>
                <w:numId w:val="26"/>
              </w:numPr>
            </w:pPr>
            <w:r>
              <w:t>In spring 2017, students will work with outside organizations week one to develop an outline for the entire semester with discipline due dates and milestones</w:t>
            </w:r>
          </w:p>
          <w:p w:rsidR="00F95408" w:rsidRDefault="00F95408" w:rsidP="00F95408">
            <w:pPr>
              <w:pStyle w:val="ListParagraph"/>
              <w:numPr>
                <w:ilvl w:val="0"/>
                <w:numId w:val="26"/>
              </w:numPr>
            </w:pPr>
            <w:r>
              <w:t>Work with partner schools, such as University of Dayton to align course offering days/times</w:t>
            </w:r>
          </w:p>
          <w:p w:rsidR="00F95408" w:rsidRDefault="00F95408" w:rsidP="00F95408">
            <w:pPr>
              <w:pStyle w:val="ListParagraph"/>
              <w:ind w:left="1080"/>
            </w:pPr>
          </w:p>
          <w:p w:rsidR="00F95408" w:rsidRDefault="00F95408" w:rsidP="00F95408">
            <w:r>
              <w:t>Capstone students confused by binder requirements, not keeping all research / work to date</w:t>
            </w:r>
          </w:p>
          <w:p w:rsidR="00F95408" w:rsidRDefault="00F95408" w:rsidP="00F95408">
            <w:pPr>
              <w:pStyle w:val="ListParagraph"/>
              <w:numPr>
                <w:ilvl w:val="0"/>
                <w:numId w:val="26"/>
              </w:numPr>
            </w:pPr>
            <w:r>
              <w:t>Name changed from binders to journals</w:t>
            </w:r>
          </w:p>
          <w:p w:rsidR="00F95408" w:rsidRDefault="00F95408" w:rsidP="00F95408">
            <w:pPr>
              <w:pStyle w:val="ListParagraph"/>
              <w:numPr>
                <w:ilvl w:val="0"/>
                <w:numId w:val="26"/>
              </w:numPr>
            </w:pPr>
            <w:r>
              <w:t>More coaching from faculty on purpose of keeping research work</w:t>
            </w:r>
          </w:p>
          <w:p w:rsidR="00F95408" w:rsidRDefault="00F95408" w:rsidP="00F95408">
            <w:pPr>
              <w:pStyle w:val="ListParagraph"/>
              <w:numPr>
                <w:ilvl w:val="0"/>
                <w:numId w:val="26"/>
              </w:numPr>
            </w:pPr>
            <w:r>
              <w:t>Plan to keep name change</w:t>
            </w:r>
          </w:p>
          <w:p w:rsidR="00F95408" w:rsidRDefault="00F95408" w:rsidP="00F95408">
            <w:pPr>
              <w:pStyle w:val="ListParagraph"/>
              <w:ind w:left="2160"/>
            </w:pPr>
          </w:p>
          <w:p w:rsidR="00F95408" w:rsidRDefault="00F95408" w:rsidP="00F95408">
            <w:r>
              <w:t>Capstone students taking too many weeks to develop plans</w:t>
            </w:r>
          </w:p>
          <w:p w:rsidR="00F95408" w:rsidRDefault="00F95408" w:rsidP="00F95408">
            <w:pPr>
              <w:pStyle w:val="ListParagraph"/>
              <w:numPr>
                <w:ilvl w:val="0"/>
                <w:numId w:val="26"/>
              </w:numPr>
            </w:pPr>
            <w:r>
              <w:t>Include a design charrette week one with industry professionals to jumpstart their design work</w:t>
            </w:r>
          </w:p>
          <w:p w:rsidR="00F95408" w:rsidRDefault="00F95408" w:rsidP="00F95408">
            <w:pPr>
              <w:pStyle w:val="ListParagraph"/>
              <w:numPr>
                <w:ilvl w:val="0"/>
                <w:numId w:val="26"/>
              </w:numPr>
            </w:pPr>
            <w:r>
              <w:t>Initial findings show that work has progressed more quickly</w:t>
            </w:r>
          </w:p>
          <w:p w:rsidR="00F95408" w:rsidRDefault="00F95408" w:rsidP="00F95408">
            <w:pPr>
              <w:pStyle w:val="ListParagraph"/>
              <w:numPr>
                <w:ilvl w:val="0"/>
                <w:numId w:val="26"/>
              </w:numPr>
            </w:pPr>
            <w:r>
              <w:t>Plan on keeping exercise in course</w:t>
            </w:r>
          </w:p>
          <w:p w:rsidR="00F95408" w:rsidRPr="00F95408" w:rsidRDefault="00F95408" w:rsidP="00F95408">
            <w:pPr>
              <w:tabs>
                <w:tab w:val="left" w:pos="5040"/>
              </w:tabs>
              <w:rPr>
                <w:color w:val="000000" w:themeColor="text1"/>
              </w:rPr>
            </w:pPr>
          </w:p>
          <w:p w:rsidR="00F95408" w:rsidRPr="00B02892" w:rsidRDefault="00F95408"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F95408" w:rsidRDefault="00F95408">
            <w:pPr>
              <w:pStyle w:val="ListParagraph"/>
              <w:tabs>
                <w:tab w:val="left" w:pos="5040"/>
              </w:tabs>
              <w:ind w:left="0"/>
              <w:rPr>
                <w:color w:val="000000" w:themeColor="text1"/>
              </w:rPr>
            </w:pPr>
            <w:r>
              <w:rPr>
                <w:color w:val="000000" w:themeColor="text1"/>
              </w:rPr>
              <w:t>Feedback from advisory board during Capstone midterm presentations</w:t>
            </w:r>
          </w:p>
          <w:p w:rsidR="00F95408" w:rsidRDefault="00F95408">
            <w:pPr>
              <w:pStyle w:val="ListParagraph"/>
              <w:tabs>
                <w:tab w:val="left" w:pos="5040"/>
              </w:tabs>
              <w:ind w:left="0"/>
              <w:rPr>
                <w:color w:val="000000" w:themeColor="text1"/>
              </w:rPr>
            </w:pPr>
          </w:p>
          <w:p w:rsidR="00D27F86" w:rsidRDefault="00F95408">
            <w:pPr>
              <w:pStyle w:val="ListParagraph"/>
              <w:tabs>
                <w:tab w:val="left" w:pos="5040"/>
              </w:tabs>
              <w:ind w:left="0"/>
              <w:rPr>
                <w:color w:val="000000" w:themeColor="text1"/>
              </w:rPr>
            </w:pPr>
            <w:r>
              <w:rPr>
                <w:color w:val="000000" w:themeColor="text1"/>
              </w:rPr>
              <w:t>Feedback from advisory board members at Capstone Expo and dinner at end of semester</w:t>
            </w:r>
          </w:p>
          <w:p w:rsidR="00F95408" w:rsidRDefault="00F95408">
            <w:pPr>
              <w:pStyle w:val="ListParagraph"/>
              <w:tabs>
                <w:tab w:val="left" w:pos="5040"/>
              </w:tabs>
              <w:ind w:left="0"/>
              <w:rPr>
                <w:color w:val="000000" w:themeColor="text1"/>
              </w:rPr>
            </w:pPr>
          </w:p>
          <w:p w:rsidR="00F95408" w:rsidRDefault="00F95408">
            <w:pPr>
              <w:pStyle w:val="ListParagraph"/>
              <w:tabs>
                <w:tab w:val="left" w:pos="5040"/>
              </w:tabs>
              <w:ind w:left="0"/>
              <w:rPr>
                <w:color w:val="000000" w:themeColor="text1"/>
              </w:rPr>
            </w:pPr>
            <w:r>
              <w:rPr>
                <w:color w:val="000000" w:themeColor="text1"/>
              </w:rPr>
              <w:t>Results of accreditation efforts in October 2016.</w:t>
            </w:r>
          </w:p>
          <w:p w:rsidR="00F95408" w:rsidRDefault="00F95408">
            <w:pPr>
              <w:pStyle w:val="ListParagraph"/>
              <w:tabs>
                <w:tab w:val="left" w:pos="5040"/>
              </w:tabs>
              <w:ind w:left="0"/>
              <w:rPr>
                <w:color w:val="000000" w:themeColor="text1"/>
              </w:rPr>
            </w:pPr>
          </w:p>
          <w:p w:rsidR="00F95408" w:rsidRDefault="00F95408">
            <w:pPr>
              <w:pStyle w:val="ListParagraph"/>
              <w:tabs>
                <w:tab w:val="left" w:pos="5040"/>
              </w:tabs>
              <w:ind w:left="0"/>
              <w:rPr>
                <w:color w:val="000000" w:themeColor="text1"/>
              </w:rPr>
            </w:pPr>
            <w:r>
              <w:rPr>
                <w:color w:val="000000" w:themeColor="text1"/>
              </w:rPr>
              <w:t>Feedback from self-study report for accreditation.</w:t>
            </w:r>
          </w:p>
          <w:p w:rsidR="002E2ECD" w:rsidRDefault="002E2ECD">
            <w:pPr>
              <w:pStyle w:val="ListParagraph"/>
              <w:tabs>
                <w:tab w:val="left" w:pos="5040"/>
              </w:tabs>
              <w:ind w:left="0"/>
              <w:rPr>
                <w:color w:val="000000" w:themeColor="text1"/>
              </w:rPr>
            </w:pPr>
          </w:p>
          <w:p w:rsidR="002E2ECD" w:rsidRDefault="002E2ECD">
            <w:pPr>
              <w:pStyle w:val="ListParagraph"/>
              <w:tabs>
                <w:tab w:val="left" w:pos="5040"/>
              </w:tabs>
              <w:ind w:left="0"/>
              <w:rPr>
                <w:color w:val="000000" w:themeColor="text1"/>
              </w:rPr>
            </w:pPr>
            <w:r>
              <w:rPr>
                <w:color w:val="000000" w:themeColor="text1"/>
              </w:rPr>
              <w:t>Feedback from internship partners.</w:t>
            </w:r>
          </w:p>
          <w:p w:rsidR="00F95408" w:rsidRPr="00E11916" w:rsidRDefault="00F95408">
            <w:pPr>
              <w:pStyle w:val="ListParagraph"/>
              <w:tabs>
                <w:tab w:val="left" w:pos="5040"/>
              </w:tabs>
              <w:ind w:left="0"/>
              <w:rPr>
                <w:color w:val="000000" w:themeColor="text1"/>
              </w:rPr>
            </w:pPr>
          </w:p>
        </w:tc>
      </w:tr>
    </w:tbl>
    <w:p w:rsidR="003C59D8" w:rsidRDefault="003C59D8" w:rsidP="007334E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C8" w:rsidRDefault="00723FC8" w:rsidP="0094204C">
      <w:r>
        <w:separator/>
      </w:r>
    </w:p>
  </w:endnote>
  <w:endnote w:type="continuationSeparator" w:id="0">
    <w:p w:rsidR="00723FC8" w:rsidRDefault="00723FC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1F6669" w:rsidRDefault="001F6669">
        <w:pPr>
          <w:pStyle w:val="Footer"/>
          <w:jc w:val="right"/>
        </w:pPr>
        <w:r>
          <w:fldChar w:fldCharType="begin"/>
        </w:r>
        <w:r>
          <w:instrText xml:space="preserve"> PAGE   \* MERGEFORMAT </w:instrText>
        </w:r>
        <w:r>
          <w:fldChar w:fldCharType="separate"/>
        </w:r>
        <w:r w:rsidR="009378DE">
          <w:rPr>
            <w:noProof/>
          </w:rPr>
          <w:t>8</w:t>
        </w:r>
        <w:r>
          <w:rPr>
            <w:noProof/>
          </w:rPr>
          <w:fldChar w:fldCharType="end"/>
        </w:r>
      </w:p>
    </w:sdtContent>
  </w:sdt>
  <w:p w:rsidR="001F6669" w:rsidRDefault="001F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C8" w:rsidRDefault="00723FC8" w:rsidP="0094204C">
      <w:r>
        <w:separator/>
      </w:r>
    </w:p>
  </w:footnote>
  <w:footnote w:type="continuationSeparator" w:id="0">
    <w:p w:rsidR="00723FC8" w:rsidRDefault="00723FC8"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54F4F"/>
    <w:multiLevelType w:val="hybridMultilevel"/>
    <w:tmpl w:val="9972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346E9D"/>
    <w:multiLevelType w:val="hybridMultilevel"/>
    <w:tmpl w:val="9BA0C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5">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5"/>
  </w:num>
  <w:num w:numId="5">
    <w:abstractNumId w:val="2"/>
  </w:num>
  <w:num w:numId="6">
    <w:abstractNumId w:val="12"/>
  </w:num>
  <w:num w:numId="7">
    <w:abstractNumId w:val="21"/>
  </w:num>
  <w:num w:numId="8">
    <w:abstractNumId w:val="17"/>
  </w:num>
  <w:num w:numId="9">
    <w:abstractNumId w:val="1"/>
  </w:num>
  <w:num w:numId="10">
    <w:abstractNumId w:val="23"/>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5"/>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2"/>
  </w:num>
  <w:num w:numId="25">
    <w:abstractNumId w:val="24"/>
  </w:num>
  <w:num w:numId="26">
    <w:abstractNumId w:val="10"/>
  </w:num>
  <w:num w:numId="2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2AF7"/>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1F6669"/>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5331"/>
    <w:rsid w:val="0028603C"/>
    <w:rsid w:val="002909A0"/>
    <w:rsid w:val="002922CE"/>
    <w:rsid w:val="00293D8D"/>
    <w:rsid w:val="002A1D8C"/>
    <w:rsid w:val="002B7319"/>
    <w:rsid w:val="002C1797"/>
    <w:rsid w:val="002C56AC"/>
    <w:rsid w:val="002D1DFE"/>
    <w:rsid w:val="002D2748"/>
    <w:rsid w:val="002D3CAD"/>
    <w:rsid w:val="002D428E"/>
    <w:rsid w:val="002E175B"/>
    <w:rsid w:val="002E28B0"/>
    <w:rsid w:val="002E2ECD"/>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1C47"/>
    <w:rsid w:val="0035293D"/>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07D2"/>
    <w:rsid w:val="003D2587"/>
    <w:rsid w:val="003D6946"/>
    <w:rsid w:val="003D6D6E"/>
    <w:rsid w:val="003E791C"/>
    <w:rsid w:val="00404810"/>
    <w:rsid w:val="00406228"/>
    <w:rsid w:val="00414645"/>
    <w:rsid w:val="00420480"/>
    <w:rsid w:val="00424E5D"/>
    <w:rsid w:val="00425F46"/>
    <w:rsid w:val="00427020"/>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4F535D"/>
    <w:rsid w:val="00502A7D"/>
    <w:rsid w:val="0051294F"/>
    <w:rsid w:val="00516463"/>
    <w:rsid w:val="00517849"/>
    <w:rsid w:val="00520FBE"/>
    <w:rsid w:val="0052152C"/>
    <w:rsid w:val="005346A8"/>
    <w:rsid w:val="0054350A"/>
    <w:rsid w:val="005531E8"/>
    <w:rsid w:val="0055523C"/>
    <w:rsid w:val="0056519F"/>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B008D"/>
    <w:rsid w:val="006B5D02"/>
    <w:rsid w:val="006B6194"/>
    <w:rsid w:val="006B6639"/>
    <w:rsid w:val="006C142B"/>
    <w:rsid w:val="006C28B1"/>
    <w:rsid w:val="006C4C0B"/>
    <w:rsid w:val="006C4F5E"/>
    <w:rsid w:val="006D67EB"/>
    <w:rsid w:val="006E3686"/>
    <w:rsid w:val="006F0183"/>
    <w:rsid w:val="00713F76"/>
    <w:rsid w:val="00716A26"/>
    <w:rsid w:val="00716A80"/>
    <w:rsid w:val="00723FC8"/>
    <w:rsid w:val="00732CD0"/>
    <w:rsid w:val="007334E1"/>
    <w:rsid w:val="00740D35"/>
    <w:rsid w:val="00744E04"/>
    <w:rsid w:val="00745861"/>
    <w:rsid w:val="00746675"/>
    <w:rsid w:val="0075014F"/>
    <w:rsid w:val="00751FC5"/>
    <w:rsid w:val="00773AAD"/>
    <w:rsid w:val="00781DA4"/>
    <w:rsid w:val="007825CC"/>
    <w:rsid w:val="007856A2"/>
    <w:rsid w:val="0078669D"/>
    <w:rsid w:val="00786C06"/>
    <w:rsid w:val="00786F00"/>
    <w:rsid w:val="00791FF2"/>
    <w:rsid w:val="0079281D"/>
    <w:rsid w:val="00794EA2"/>
    <w:rsid w:val="007A2E02"/>
    <w:rsid w:val="007A43CE"/>
    <w:rsid w:val="007A4B8E"/>
    <w:rsid w:val="007B695B"/>
    <w:rsid w:val="007C1FEF"/>
    <w:rsid w:val="007C2A6E"/>
    <w:rsid w:val="007C46D3"/>
    <w:rsid w:val="007C564B"/>
    <w:rsid w:val="007C74F5"/>
    <w:rsid w:val="007D68EA"/>
    <w:rsid w:val="007E36F4"/>
    <w:rsid w:val="007F45E6"/>
    <w:rsid w:val="007F66F9"/>
    <w:rsid w:val="007F6B61"/>
    <w:rsid w:val="0080292B"/>
    <w:rsid w:val="008034BE"/>
    <w:rsid w:val="008056C5"/>
    <w:rsid w:val="00805C23"/>
    <w:rsid w:val="00807113"/>
    <w:rsid w:val="00817DDA"/>
    <w:rsid w:val="00821011"/>
    <w:rsid w:val="008258DA"/>
    <w:rsid w:val="00827AE5"/>
    <w:rsid w:val="00847243"/>
    <w:rsid w:val="008642E1"/>
    <w:rsid w:val="008672B0"/>
    <w:rsid w:val="008753AC"/>
    <w:rsid w:val="00875A7C"/>
    <w:rsid w:val="00877383"/>
    <w:rsid w:val="00880686"/>
    <w:rsid w:val="008823C2"/>
    <w:rsid w:val="008836F4"/>
    <w:rsid w:val="00884AC0"/>
    <w:rsid w:val="008860C1"/>
    <w:rsid w:val="008909D4"/>
    <w:rsid w:val="008942FA"/>
    <w:rsid w:val="00897A68"/>
    <w:rsid w:val="008A700A"/>
    <w:rsid w:val="008A71F5"/>
    <w:rsid w:val="008B52A0"/>
    <w:rsid w:val="008B565C"/>
    <w:rsid w:val="008B5B2E"/>
    <w:rsid w:val="008D4D55"/>
    <w:rsid w:val="008E063A"/>
    <w:rsid w:val="008F35AA"/>
    <w:rsid w:val="008F3D47"/>
    <w:rsid w:val="008F41A6"/>
    <w:rsid w:val="008F6C19"/>
    <w:rsid w:val="009108ED"/>
    <w:rsid w:val="00912C50"/>
    <w:rsid w:val="00912D18"/>
    <w:rsid w:val="00915CDA"/>
    <w:rsid w:val="009248F7"/>
    <w:rsid w:val="00925394"/>
    <w:rsid w:val="0092540D"/>
    <w:rsid w:val="009268A3"/>
    <w:rsid w:val="009378DE"/>
    <w:rsid w:val="00937F66"/>
    <w:rsid w:val="0094204C"/>
    <w:rsid w:val="009437A5"/>
    <w:rsid w:val="00946DF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7020C"/>
    <w:rsid w:val="00A8476F"/>
    <w:rsid w:val="00A93BDE"/>
    <w:rsid w:val="00AA34E0"/>
    <w:rsid w:val="00AA366C"/>
    <w:rsid w:val="00AA735E"/>
    <w:rsid w:val="00AC0386"/>
    <w:rsid w:val="00AC62F8"/>
    <w:rsid w:val="00AD4FA7"/>
    <w:rsid w:val="00AE4AD2"/>
    <w:rsid w:val="00AE5F43"/>
    <w:rsid w:val="00AF1271"/>
    <w:rsid w:val="00AF4B41"/>
    <w:rsid w:val="00AF6A23"/>
    <w:rsid w:val="00B02892"/>
    <w:rsid w:val="00B050BF"/>
    <w:rsid w:val="00B11028"/>
    <w:rsid w:val="00B11F28"/>
    <w:rsid w:val="00B27095"/>
    <w:rsid w:val="00B31728"/>
    <w:rsid w:val="00B34F9E"/>
    <w:rsid w:val="00B42C55"/>
    <w:rsid w:val="00B44B23"/>
    <w:rsid w:val="00B4625A"/>
    <w:rsid w:val="00B50E5D"/>
    <w:rsid w:val="00B57D15"/>
    <w:rsid w:val="00B608D5"/>
    <w:rsid w:val="00B61167"/>
    <w:rsid w:val="00B61D81"/>
    <w:rsid w:val="00B636CF"/>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400A"/>
    <w:rsid w:val="00BE51FF"/>
    <w:rsid w:val="00BF3561"/>
    <w:rsid w:val="00BF556C"/>
    <w:rsid w:val="00C04679"/>
    <w:rsid w:val="00C05015"/>
    <w:rsid w:val="00C05EFD"/>
    <w:rsid w:val="00C1618F"/>
    <w:rsid w:val="00C22083"/>
    <w:rsid w:val="00C24B8F"/>
    <w:rsid w:val="00C32DEA"/>
    <w:rsid w:val="00C40918"/>
    <w:rsid w:val="00C45053"/>
    <w:rsid w:val="00C50A91"/>
    <w:rsid w:val="00C52D74"/>
    <w:rsid w:val="00C5365F"/>
    <w:rsid w:val="00C56C48"/>
    <w:rsid w:val="00C616FD"/>
    <w:rsid w:val="00C638EE"/>
    <w:rsid w:val="00C63B58"/>
    <w:rsid w:val="00C65C8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B1B8B"/>
    <w:rsid w:val="00CC0679"/>
    <w:rsid w:val="00CC66AD"/>
    <w:rsid w:val="00CC69E8"/>
    <w:rsid w:val="00CC6AF3"/>
    <w:rsid w:val="00CD2613"/>
    <w:rsid w:val="00CD2A1C"/>
    <w:rsid w:val="00CD526F"/>
    <w:rsid w:val="00CE06A2"/>
    <w:rsid w:val="00CE118B"/>
    <w:rsid w:val="00CF0112"/>
    <w:rsid w:val="00CF34BC"/>
    <w:rsid w:val="00CF54DE"/>
    <w:rsid w:val="00D07030"/>
    <w:rsid w:val="00D14D2A"/>
    <w:rsid w:val="00D23E74"/>
    <w:rsid w:val="00D267FA"/>
    <w:rsid w:val="00D27F86"/>
    <w:rsid w:val="00D31DDA"/>
    <w:rsid w:val="00D40B9B"/>
    <w:rsid w:val="00D44D7D"/>
    <w:rsid w:val="00D52828"/>
    <w:rsid w:val="00D52978"/>
    <w:rsid w:val="00D57E53"/>
    <w:rsid w:val="00D60F74"/>
    <w:rsid w:val="00D632DC"/>
    <w:rsid w:val="00D708C3"/>
    <w:rsid w:val="00D72CCC"/>
    <w:rsid w:val="00D73E22"/>
    <w:rsid w:val="00D81E74"/>
    <w:rsid w:val="00D90669"/>
    <w:rsid w:val="00D9642E"/>
    <w:rsid w:val="00D976E2"/>
    <w:rsid w:val="00DA508D"/>
    <w:rsid w:val="00DA5E37"/>
    <w:rsid w:val="00DA7FA2"/>
    <w:rsid w:val="00DB041B"/>
    <w:rsid w:val="00DB0717"/>
    <w:rsid w:val="00DB17B2"/>
    <w:rsid w:val="00DC0672"/>
    <w:rsid w:val="00DC4DB9"/>
    <w:rsid w:val="00DC5CEE"/>
    <w:rsid w:val="00DC76F8"/>
    <w:rsid w:val="00DD42DB"/>
    <w:rsid w:val="00DF222A"/>
    <w:rsid w:val="00DF5973"/>
    <w:rsid w:val="00DF738A"/>
    <w:rsid w:val="00DF7501"/>
    <w:rsid w:val="00E11916"/>
    <w:rsid w:val="00E12A67"/>
    <w:rsid w:val="00E12B2F"/>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397"/>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32D9"/>
    <w:rsid w:val="00F2478C"/>
    <w:rsid w:val="00F253BB"/>
    <w:rsid w:val="00F275B3"/>
    <w:rsid w:val="00F27B24"/>
    <w:rsid w:val="00F27D5C"/>
    <w:rsid w:val="00F32533"/>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408"/>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unhideWhenUsed/>
    <w:rsid w:val="0094204C"/>
    <w:pPr>
      <w:tabs>
        <w:tab w:val="center" w:pos="4680"/>
        <w:tab w:val="right" w:pos="9360"/>
      </w:tabs>
    </w:pPr>
  </w:style>
  <w:style w:type="character" w:customStyle="1" w:styleId="HeaderChar">
    <w:name w:val="Header Char"/>
    <w:basedOn w:val="DefaultParagraphFont"/>
    <w:link w:val="Header"/>
    <w:uiPriority w:val="99"/>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4013C6"/>
    <w:rsid w:val="007D7460"/>
    <w:rsid w:val="0088552C"/>
    <w:rsid w:val="009D348D"/>
    <w:rsid w:val="00AD6C60"/>
    <w:rsid w:val="00B34872"/>
    <w:rsid w:val="00B61D91"/>
    <w:rsid w:val="00C956B8"/>
    <w:rsid w:val="00F2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155EE1054C184C009CB3218B670233CE">
    <w:name w:val="155EE1054C184C009CB3218B670233CE"/>
    <w:rsid w:val="00B34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8590-C777-4886-ABCF-62A3B4BF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Dunn, Eric</cp:lastModifiedBy>
  <cp:revision>7</cp:revision>
  <cp:lastPrinted>2015-03-14T17:30:00Z</cp:lastPrinted>
  <dcterms:created xsi:type="dcterms:W3CDTF">2016-05-18T13:17:00Z</dcterms:created>
  <dcterms:modified xsi:type="dcterms:W3CDTF">2016-05-18T13:32:00Z</dcterms:modified>
</cp:coreProperties>
</file>