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8EE" w:rsidRDefault="00C638EE" w:rsidP="00C638EE">
      <w:pPr>
        <w:jc w:val="center"/>
        <w:rPr>
          <w:rFonts w:ascii="Arial" w:hAnsi="Arial" w:cs="Arial"/>
          <w:b/>
          <w:color w:val="000000" w:themeColor="text1"/>
          <w:sz w:val="28"/>
        </w:rPr>
      </w:pPr>
      <w:r>
        <w:rPr>
          <w:rFonts w:ascii="Arial" w:hAnsi="Arial" w:cs="Arial"/>
          <w:b/>
          <w:color w:val="000000" w:themeColor="text1"/>
          <w:sz w:val="28"/>
        </w:rPr>
        <w:t>Sinclair Community College</w:t>
      </w:r>
    </w:p>
    <w:p w:rsidR="00C638EE" w:rsidRDefault="00C638EE" w:rsidP="00C638EE">
      <w:pPr>
        <w:jc w:val="center"/>
        <w:rPr>
          <w:rFonts w:ascii="Arial" w:hAnsi="Arial" w:cs="Arial"/>
          <w:b/>
          <w:color w:val="000000" w:themeColor="text1"/>
        </w:rPr>
      </w:pPr>
      <w:r>
        <w:rPr>
          <w:rFonts w:ascii="Arial" w:hAnsi="Arial" w:cs="Arial"/>
          <w:b/>
          <w:color w:val="000000" w:themeColor="text1"/>
        </w:rPr>
        <w:t>Continuous Improvement Annual Update 201</w:t>
      </w:r>
      <w:r w:rsidR="00517849">
        <w:rPr>
          <w:rFonts w:ascii="Arial" w:hAnsi="Arial" w:cs="Arial"/>
          <w:b/>
          <w:color w:val="000000" w:themeColor="text1"/>
        </w:rPr>
        <w:t>5</w:t>
      </w:r>
      <w:r>
        <w:rPr>
          <w:rFonts w:ascii="Arial" w:hAnsi="Arial" w:cs="Arial"/>
          <w:b/>
          <w:color w:val="000000" w:themeColor="text1"/>
        </w:rPr>
        <w:t>-1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Please submit to your Division Assessment Coordinator / Learning Liaison for feedback no later than March 1, 201</w:t>
      </w:r>
      <w:r w:rsidR="00517849">
        <w:rPr>
          <w:rFonts w:ascii="Arial" w:hAnsi="Arial" w:cs="Arial"/>
          <w:b/>
          <w:color w:val="000000" w:themeColor="text1"/>
        </w:rPr>
        <w:t>6</w:t>
      </w:r>
    </w:p>
    <w:p w:rsidR="00C638EE" w:rsidRDefault="00C638EE" w:rsidP="00C638EE">
      <w:pPr>
        <w:jc w:val="center"/>
        <w:rPr>
          <w:rFonts w:ascii="Arial" w:hAnsi="Arial" w:cs="Arial"/>
          <w:b/>
          <w:color w:val="000000" w:themeColor="text1"/>
        </w:rPr>
      </w:pPr>
    </w:p>
    <w:p w:rsidR="00C638EE" w:rsidRDefault="00C638EE" w:rsidP="00C638EE">
      <w:pPr>
        <w:jc w:val="center"/>
        <w:rPr>
          <w:rFonts w:ascii="Arial" w:hAnsi="Arial" w:cs="Arial"/>
          <w:b/>
          <w:color w:val="000000" w:themeColor="text1"/>
        </w:rPr>
      </w:pPr>
      <w:r>
        <w:rPr>
          <w:rFonts w:ascii="Arial" w:hAnsi="Arial" w:cs="Arial"/>
          <w:b/>
          <w:color w:val="000000" w:themeColor="text1"/>
        </w:rPr>
        <w:t xml:space="preserve">After receiving feedback from your Division Assessment Coordinator, please revise accordingly and make the final submission to your dean and the Provost’s Office no later than May </w:t>
      </w:r>
      <w:r w:rsidR="00517849">
        <w:rPr>
          <w:rFonts w:ascii="Arial" w:hAnsi="Arial" w:cs="Arial"/>
          <w:b/>
          <w:color w:val="000000" w:themeColor="text1"/>
        </w:rPr>
        <w:t>2</w:t>
      </w:r>
      <w:r>
        <w:rPr>
          <w:rFonts w:ascii="Arial" w:hAnsi="Arial" w:cs="Arial"/>
          <w:b/>
          <w:color w:val="000000" w:themeColor="text1"/>
        </w:rPr>
        <w:t>, 201</w:t>
      </w:r>
      <w:r w:rsidR="00517849">
        <w:rPr>
          <w:rFonts w:ascii="Arial" w:hAnsi="Arial" w:cs="Arial"/>
          <w:b/>
          <w:color w:val="000000" w:themeColor="text1"/>
        </w:rPr>
        <w:t>6</w:t>
      </w:r>
    </w:p>
    <w:p w:rsidR="001026AA" w:rsidRPr="00CD2613" w:rsidRDefault="001026AA" w:rsidP="001026AA">
      <w:pPr>
        <w:jc w:val="center"/>
        <w:rPr>
          <w:rFonts w:ascii="Arial" w:hAnsi="Arial" w:cs="Arial"/>
          <w:b/>
          <w:color w:val="000000" w:themeColor="text1"/>
        </w:rPr>
      </w:pPr>
    </w:p>
    <w:p w:rsidR="00713F76" w:rsidRDefault="00D9642E" w:rsidP="001026AA">
      <w:pPr>
        <w:tabs>
          <w:tab w:val="left" w:pos="7920"/>
        </w:tabs>
        <w:spacing w:after="240"/>
        <w:rPr>
          <w:rFonts w:ascii="Arial" w:hAnsi="Arial" w:cs="Arial"/>
          <w:color w:val="000000" w:themeColor="text1"/>
          <w:u w:val="single"/>
        </w:rPr>
      </w:pPr>
      <w:r>
        <w:rPr>
          <w:rFonts w:ascii="Arial" w:hAnsi="Arial" w:cs="Arial"/>
          <w:b/>
          <w:color w:val="000000" w:themeColor="text1"/>
        </w:rPr>
        <w:t>Department</w:t>
      </w:r>
      <w:r w:rsidR="001026AA" w:rsidRPr="00CD2613">
        <w:rPr>
          <w:rFonts w:ascii="Arial" w:hAnsi="Arial" w:cs="Arial"/>
          <w:b/>
          <w:color w:val="000000" w:themeColor="text1"/>
        </w:rPr>
        <w:t>:</w:t>
      </w:r>
      <w:r w:rsidR="001026AA" w:rsidRPr="00CD2613">
        <w:rPr>
          <w:rFonts w:ascii="Arial" w:hAnsi="Arial" w:cs="Arial"/>
          <w:color w:val="000000" w:themeColor="text1"/>
        </w:rPr>
        <w:t xml:space="preserve">  </w:t>
      </w:r>
      <w:sdt>
        <w:sdtPr>
          <w:rPr>
            <w:rFonts w:ascii="Arial" w:hAnsi="Arial" w:cs="Arial"/>
            <w:b/>
            <w:sz w:val="20"/>
            <w:szCs w:val="20"/>
          </w:rPr>
          <w:id w:val="-1319648564"/>
          <w:placeholder>
            <w:docPart w:val="5D929A487D8341AEA29F7DE2B132A45D"/>
          </w:placeholder>
        </w:sdtPr>
        <w:sdtEndPr/>
        <w:sdtContent>
          <w:sdt>
            <w:sdtPr>
              <w:rPr>
                <w:rFonts w:ascii="Arial" w:hAnsi="Arial" w:cs="Arial"/>
                <w:b/>
                <w:sz w:val="20"/>
                <w:szCs w:val="20"/>
              </w:rPr>
              <w:id w:val="1941643001"/>
              <w:placeholder>
                <w:docPart w:val="AC6405246F89492EB3C6363DD9F07B24"/>
              </w:placeholder>
            </w:sdtPr>
            <w:sdtEndPr/>
            <w:sdtContent>
              <w:sdt>
                <w:sdtPr>
                  <w:rPr>
                    <w:rFonts w:ascii="Arial" w:hAnsi="Arial" w:cs="Arial"/>
                    <w:b/>
                    <w:sz w:val="20"/>
                    <w:szCs w:val="20"/>
                  </w:rPr>
                  <w:id w:val="-1952005552"/>
                  <w:placeholder>
                    <w:docPart w:val="6F32F4B890604D4DBFF0C9AC9C44F6DD"/>
                  </w:placeholder>
                </w:sdtPr>
                <w:sdtEndPr/>
                <w:sdtContent>
                  <w:sdt>
                    <w:sdtPr>
                      <w:rPr>
                        <w:rFonts w:ascii="Arial" w:hAnsi="Arial" w:cs="Arial"/>
                        <w:b/>
                        <w:sz w:val="20"/>
                        <w:szCs w:val="20"/>
                      </w:rPr>
                      <w:id w:val="1149713402"/>
                      <w:placeholder>
                        <w:docPart w:val="141822FEB60F448BAEF4C69878758E90"/>
                      </w:placeholder>
                    </w:sdtPr>
                    <w:sdtEndPr/>
                    <w:sdtContent>
                      <w:r w:rsidR="007617E8" w:rsidRPr="007617E8">
                        <w:rPr>
                          <w:rFonts w:ascii="Arial" w:hAnsi="Arial" w:cs="Arial"/>
                          <w:b/>
                          <w:sz w:val="20"/>
                          <w:szCs w:val="20"/>
                        </w:rPr>
                        <w:t>SME - 0355 - Chemistry / 0357 - Geology</w:t>
                      </w:r>
                    </w:sdtContent>
                  </w:sdt>
                </w:sdtContent>
              </w:sdt>
            </w:sdtContent>
          </w:sdt>
        </w:sdtContent>
      </w:sdt>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 xml:space="preserve">Year of Last Program Review: </w:t>
      </w:r>
      <w:r>
        <w:rPr>
          <w:rFonts w:ascii="Arial" w:hAnsi="Arial" w:cs="Arial"/>
          <w:color w:val="000000" w:themeColor="text1"/>
        </w:rPr>
        <w:t xml:space="preserve">  </w:t>
      </w:r>
      <w:r w:rsidR="00E16C56">
        <w:rPr>
          <w:rFonts w:ascii="Arial" w:hAnsi="Arial" w:cs="Arial"/>
          <w:color w:val="000000" w:themeColor="text1"/>
        </w:rPr>
        <w:t xml:space="preserve">FY </w:t>
      </w:r>
      <w:r w:rsidR="00B166FB">
        <w:rPr>
          <w:rFonts w:ascii="Arial" w:hAnsi="Arial" w:cs="Arial"/>
          <w:color w:val="000000" w:themeColor="text1"/>
        </w:rPr>
        <w:t>2012-2013</w:t>
      </w:r>
    </w:p>
    <w:p w:rsidR="009A2F4E" w:rsidRPr="009A2F4E" w:rsidRDefault="009A2F4E" w:rsidP="001026AA">
      <w:pPr>
        <w:tabs>
          <w:tab w:val="left" w:pos="7920"/>
        </w:tabs>
        <w:spacing w:after="240"/>
        <w:rPr>
          <w:rFonts w:ascii="Arial" w:hAnsi="Arial" w:cs="Arial"/>
          <w:color w:val="000000" w:themeColor="text1"/>
        </w:rPr>
      </w:pPr>
      <w:r>
        <w:rPr>
          <w:rFonts w:ascii="Arial" w:hAnsi="Arial" w:cs="Arial"/>
          <w:color w:val="000000" w:themeColor="text1"/>
          <w:u w:val="single"/>
        </w:rPr>
        <w:t>Year of Next Program Review:</w:t>
      </w:r>
      <w:r>
        <w:rPr>
          <w:rFonts w:ascii="Arial" w:hAnsi="Arial" w:cs="Arial"/>
          <w:color w:val="000000" w:themeColor="text1"/>
        </w:rPr>
        <w:t xml:space="preserve">  FY </w:t>
      </w:r>
      <w:r w:rsidR="004A45CE">
        <w:rPr>
          <w:rFonts w:ascii="Arial" w:hAnsi="Arial" w:cs="Arial"/>
          <w:color w:val="000000" w:themeColor="text1"/>
        </w:rPr>
        <w:t>2018-2019</w:t>
      </w:r>
    </w:p>
    <w:p w:rsidR="00827AE5" w:rsidRPr="00CD2613" w:rsidRDefault="00827AE5" w:rsidP="00F0239E">
      <w:pPr>
        <w:jc w:val="center"/>
        <w:rPr>
          <w:rFonts w:ascii="Arial" w:hAnsi="Arial" w:cs="Arial"/>
          <w:b/>
          <w:color w:val="000000" w:themeColor="text1"/>
        </w:rPr>
      </w:pPr>
    </w:p>
    <w:p w:rsidR="00F0239E" w:rsidRDefault="004F21E4" w:rsidP="00377D40">
      <w:pPr>
        <w:spacing w:after="200" w:line="276" w:lineRule="auto"/>
        <w:rPr>
          <w:rFonts w:ascii="Arial" w:hAnsi="Arial" w:cs="Arial"/>
          <w:b/>
          <w:color w:val="000000" w:themeColor="text1"/>
          <w:u w:val="single"/>
        </w:rPr>
      </w:pPr>
      <w:r>
        <w:rPr>
          <w:rFonts w:ascii="Arial" w:hAnsi="Arial" w:cs="Arial"/>
          <w:b/>
          <w:color w:val="000000" w:themeColor="text1"/>
          <w:u w:val="single"/>
        </w:rPr>
        <w:t>S</w:t>
      </w:r>
      <w:r w:rsidR="00F0239E" w:rsidRPr="00CD2613">
        <w:rPr>
          <w:rFonts w:ascii="Arial" w:hAnsi="Arial" w:cs="Arial"/>
          <w:b/>
          <w:color w:val="000000" w:themeColor="text1"/>
          <w:u w:val="single"/>
        </w:rPr>
        <w:t xml:space="preserve">ection I:  </w:t>
      </w:r>
      <w:r w:rsidR="00B81607" w:rsidRPr="00CD2613">
        <w:rPr>
          <w:rFonts w:ascii="Arial" w:hAnsi="Arial" w:cs="Arial"/>
          <w:b/>
          <w:color w:val="000000" w:themeColor="text1"/>
          <w:u w:val="single"/>
        </w:rPr>
        <w:t xml:space="preserve">Progress Since the Most Recent </w:t>
      </w:r>
      <w:r w:rsidR="00F0239E" w:rsidRPr="00CD2613">
        <w:rPr>
          <w:rFonts w:ascii="Arial" w:hAnsi="Arial" w:cs="Arial"/>
          <w:b/>
          <w:color w:val="000000" w:themeColor="text1"/>
          <w:u w:val="single"/>
        </w:rPr>
        <w:t>Review</w:t>
      </w:r>
    </w:p>
    <w:p w:rsidR="001D736E" w:rsidRPr="00CD2613" w:rsidRDefault="001D736E" w:rsidP="00CD2613">
      <w:pPr>
        <w:pStyle w:val="ListParagraph"/>
        <w:ind w:left="0"/>
        <w:rPr>
          <w:rFonts w:ascii="Arial" w:hAnsi="Arial" w:cs="Arial"/>
          <w:b/>
          <w:color w:val="000000" w:themeColor="text1"/>
          <w:u w:val="single"/>
        </w:rPr>
      </w:pPr>
    </w:p>
    <w:p w:rsidR="0094204C" w:rsidRPr="008258DA" w:rsidRDefault="00190F5C" w:rsidP="008258DA">
      <w:pPr>
        <w:tabs>
          <w:tab w:val="left" w:pos="504"/>
        </w:tabs>
        <w:spacing w:after="120"/>
        <w:rPr>
          <w:rFonts w:ascii="Arial" w:hAnsi="Arial" w:cs="Arial"/>
          <w:color w:val="000000" w:themeColor="text1"/>
        </w:rPr>
      </w:pPr>
      <w:r w:rsidRPr="008258DA">
        <w:rPr>
          <w:rFonts w:ascii="Arial" w:hAnsi="Arial" w:cs="Arial"/>
          <w:color w:val="000000" w:themeColor="text1"/>
        </w:rPr>
        <w:t>Below are the goal</w:t>
      </w:r>
      <w:r w:rsidR="000337E6" w:rsidRPr="008258DA">
        <w:rPr>
          <w:rFonts w:ascii="Arial" w:hAnsi="Arial" w:cs="Arial"/>
          <w:color w:val="000000" w:themeColor="text1"/>
        </w:rPr>
        <w:t xml:space="preserve">s </w:t>
      </w:r>
      <w:r w:rsidR="004C7DB2" w:rsidRPr="008258DA">
        <w:rPr>
          <w:rFonts w:ascii="Arial" w:hAnsi="Arial" w:cs="Arial"/>
          <w:color w:val="000000" w:themeColor="text1"/>
        </w:rPr>
        <w:t>from</w:t>
      </w:r>
      <w:r w:rsidR="000337E6" w:rsidRPr="008258DA">
        <w:rPr>
          <w:rFonts w:ascii="Arial" w:hAnsi="Arial" w:cs="Arial"/>
          <w:color w:val="000000" w:themeColor="text1"/>
        </w:rPr>
        <w:t xml:space="preserve"> Section IV part E of </w:t>
      </w:r>
      <w:r w:rsidRPr="008258DA">
        <w:rPr>
          <w:rFonts w:ascii="Arial" w:hAnsi="Arial" w:cs="Arial"/>
          <w:color w:val="000000" w:themeColor="text1"/>
        </w:rPr>
        <w:t xml:space="preserve">your </w:t>
      </w:r>
      <w:r w:rsidR="0037786D" w:rsidRPr="008258DA">
        <w:rPr>
          <w:rFonts w:ascii="Arial" w:hAnsi="Arial" w:cs="Arial"/>
          <w:color w:val="000000" w:themeColor="text1"/>
        </w:rPr>
        <w:t xml:space="preserve">last </w:t>
      </w:r>
      <w:r w:rsidR="000337E6" w:rsidRPr="008258DA">
        <w:rPr>
          <w:rFonts w:ascii="Arial" w:hAnsi="Arial" w:cs="Arial"/>
          <w:color w:val="000000" w:themeColor="text1"/>
        </w:rPr>
        <w:t>Program Review Self-Study</w:t>
      </w:r>
      <w:r w:rsidRPr="008258DA">
        <w:rPr>
          <w:rFonts w:ascii="Arial" w:hAnsi="Arial" w:cs="Arial"/>
          <w:color w:val="000000" w:themeColor="text1"/>
        </w:rPr>
        <w:t>.  D</w:t>
      </w:r>
      <w:r w:rsidR="004C7DB2" w:rsidRPr="008258DA">
        <w:rPr>
          <w:rFonts w:ascii="Arial" w:hAnsi="Arial" w:cs="Arial"/>
          <w:color w:val="000000" w:themeColor="text1"/>
        </w:rPr>
        <w:t>escribe progress or changes made toward meeting each goal</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3230" w:type="dxa"/>
        <w:tblInd w:w="18" w:type="dxa"/>
        <w:tblLayout w:type="fixed"/>
        <w:tblCellMar>
          <w:left w:w="115" w:type="dxa"/>
          <w:right w:w="115" w:type="dxa"/>
        </w:tblCellMar>
        <w:tblLook w:val="04A0" w:firstRow="1" w:lastRow="0" w:firstColumn="1" w:lastColumn="0" w:noHBand="0" w:noVBand="1"/>
      </w:tblPr>
      <w:tblGrid>
        <w:gridCol w:w="3951"/>
        <w:gridCol w:w="2647"/>
        <w:gridCol w:w="6632"/>
      </w:tblGrid>
      <w:tr w:rsidR="00FB4D5E" w:rsidRPr="00FB4D5E" w:rsidTr="00B64144">
        <w:trPr>
          <w:trHeight w:val="466"/>
        </w:trPr>
        <w:tc>
          <w:tcPr>
            <w:tcW w:w="3951" w:type="dxa"/>
          </w:tcPr>
          <w:p w:rsidR="00FB4D5E" w:rsidRPr="00FB4D5E" w:rsidRDefault="00FB4D5E" w:rsidP="00B64144">
            <w:pPr>
              <w:spacing w:before="120"/>
              <w:jc w:val="center"/>
              <w:rPr>
                <w:rFonts w:ascii="Arial" w:hAnsi="Arial" w:cs="Arial"/>
                <w:b/>
                <w:sz w:val="20"/>
                <w:szCs w:val="20"/>
              </w:rPr>
            </w:pPr>
            <w:r w:rsidRPr="00FB4D5E">
              <w:rPr>
                <w:rFonts w:ascii="Arial" w:hAnsi="Arial" w:cs="Arial"/>
                <w:b/>
                <w:sz w:val="20"/>
                <w:szCs w:val="20"/>
              </w:rPr>
              <w:t>GOALS</w:t>
            </w:r>
          </w:p>
        </w:tc>
        <w:tc>
          <w:tcPr>
            <w:tcW w:w="2647" w:type="dxa"/>
          </w:tcPr>
          <w:p w:rsidR="00FB4D5E" w:rsidRPr="00FB4D5E" w:rsidRDefault="00FB4D5E" w:rsidP="00B64144">
            <w:pPr>
              <w:spacing w:before="120"/>
              <w:jc w:val="center"/>
              <w:rPr>
                <w:rFonts w:ascii="Arial" w:hAnsi="Arial" w:cs="Arial"/>
                <w:b/>
                <w:sz w:val="20"/>
                <w:szCs w:val="20"/>
              </w:rPr>
            </w:pPr>
            <w:r w:rsidRPr="00FB4D5E">
              <w:rPr>
                <w:rFonts w:ascii="Arial" w:hAnsi="Arial" w:cs="Arial"/>
                <w:b/>
                <w:sz w:val="20"/>
                <w:szCs w:val="20"/>
              </w:rPr>
              <w:t>Status</w:t>
            </w:r>
          </w:p>
        </w:tc>
        <w:tc>
          <w:tcPr>
            <w:tcW w:w="6632" w:type="dxa"/>
          </w:tcPr>
          <w:p w:rsidR="00FB4D5E" w:rsidRPr="00FB4D5E" w:rsidRDefault="00FB4D5E" w:rsidP="00B64144">
            <w:pPr>
              <w:spacing w:before="120"/>
              <w:jc w:val="center"/>
              <w:rPr>
                <w:rFonts w:ascii="Arial" w:hAnsi="Arial" w:cs="Arial"/>
                <w:b/>
                <w:sz w:val="20"/>
                <w:szCs w:val="20"/>
              </w:rPr>
            </w:pPr>
            <w:r w:rsidRPr="00FB4D5E">
              <w:rPr>
                <w:rFonts w:ascii="Arial" w:hAnsi="Arial" w:cs="Arial"/>
                <w:b/>
                <w:sz w:val="20"/>
                <w:szCs w:val="20"/>
              </w:rPr>
              <w:t>Progress or Rationale for No Longer Applicable</w:t>
            </w:r>
          </w:p>
        </w:tc>
      </w:tr>
      <w:tr w:rsidR="00FB4D5E" w:rsidRPr="00FB4D5E" w:rsidTr="00B64144">
        <w:trPr>
          <w:trHeight w:val="1399"/>
        </w:trPr>
        <w:tc>
          <w:tcPr>
            <w:tcW w:w="3951" w:type="dxa"/>
          </w:tcPr>
          <w:p w:rsidR="00FB4D5E" w:rsidRPr="00FB4D5E" w:rsidRDefault="00FB4D5E" w:rsidP="00B64144">
            <w:pPr>
              <w:spacing w:line="276" w:lineRule="auto"/>
              <w:rPr>
                <w:rFonts w:ascii="Arial" w:hAnsi="Arial" w:cs="Arial"/>
                <w:color w:val="000000" w:themeColor="text1"/>
                <w:sz w:val="20"/>
                <w:szCs w:val="20"/>
              </w:rPr>
            </w:pPr>
            <w:r w:rsidRPr="00FB4D5E">
              <w:rPr>
                <w:rFonts w:ascii="Arial" w:hAnsi="Arial" w:cs="Arial"/>
                <w:sz w:val="20"/>
                <w:szCs w:val="20"/>
              </w:rPr>
              <w:t xml:space="preserve">It is the collective goal of the department to have all students successfully complete the courses in which they enroll.  Faculty in the department have open-door policies for students who need additional help.  </w:t>
            </w:r>
          </w:p>
        </w:tc>
        <w:tc>
          <w:tcPr>
            <w:tcW w:w="2647" w:type="dxa"/>
          </w:tcPr>
          <w:p w:rsidR="00FB4D5E" w:rsidRPr="00FB4D5E" w:rsidRDefault="00FB4D5E" w:rsidP="00B64144">
            <w:pPr>
              <w:pStyle w:val="ListParagraph"/>
              <w:ind w:left="0"/>
              <w:rPr>
                <w:rFonts w:ascii="Arial" w:hAnsi="Arial" w:cs="Arial"/>
                <w:color w:val="000000" w:themeColor="text1"/>
                <w:sz w:val="20"/>
                <w:szCs w:val="20"/>
              </w:rPr>
            </w:pPr>
          </w:p>
          <w:p w:rsidR="00FB4D5E" w:rsidRPr="00FB4D5E" w:rsidRDefault="00FB4D5E" w:rsidP="00B64144">
            <w:pPr>
              <w:pStyle w:val="ListParagraph"/>
              <w:ind w:left="0"/>
              <w:rPr>
                <w:rFonts w:ascii="Arial" w:hAnsi="Arial" w:cs="Arial"/>
                <w:color w:val="000000" w:themeColor="text1"/>
                <w:sz w:val="20"/>
                <w:szCs w:val="20"/>
              </w:rPr>
            </w:pPr>
            <w:r w:rsidRPr="00FB4D5E">
              <w:rPr>
                <w:rFonts w:ascii="Arial" w:hAnsi="Arial" w:cs="Arial"/>
                <w:color w:val="000000" w:themeColor="text1"/>
                <w:sz w:val="20"/>
                <w:szCs w:val="20"/>
              </w:rPr>
              <w:t xml:space="preserve">In progress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w:instrText>
            </w:r>
            <w:bookmarkStart w:id="0" w:name="Check1"/>
            <w:r w:rsidRPr="00FB4D5E">
              <w:rPr>
                <w:sz w:val="20"/>
                <w:szCs w:val="20"/>
              </w:rPr>
              <w:instrText xml:space="preserve">FORMCHECKBOX </w:instrText>
            </w:r>
            <w:r w:rsidR="00133F2A">
              <w:rPr>
                <w:sz w:val="20"/>
                <w:szCs w:val="20"/>
              </w:rPr>
            </w:r>
            <w:r w:rsidR="00133F2A">
              <w:rPr>
                <w:sz w:val="20"/>
                <w:szCs w:val="20"/>
              </w:rPr>
              <w:fldChar w:fldCharType="separate"/>
            </w:r>
            <w:r w:rsidRPr="00FB4D5E">
              <w:rPr>
                <w:sz w:val="20"/>
                <w:szCs w:val="20"/>
              </w:rPr>
              <w:fldChar w:fldCharType="end"/>
            </w:r>
            <w:bookmarkEnd w:id="0"/>
          </w:p>
          <w:p w:rsidR="00FB4D5E" w:rsidRPr="00FB4D5E" w:rsidRDefault="00FB4D5E" w:rsidP="00B64144">
            <w:pPr>
              <w:pStyle w:val="ListParagraph"/>
              <w:ind w:left="0"/>
              <w:rPr>
                <w:rFonts w:ascii="Arial" w:hAnsi="Arial" w:cs="Arial"/>
                <w:color w:val="000000" w:themeColor="text1"/>
                <w:sz w:val="20"/>
                <w:szCs w:val="20"/>
              </w:rPr>
            </w:pPr>
          </w:p>
          <w:p w:rsidR="00FB4D5E" w:rsidRPr="00FB4D5E" w:rsidRDefault="00FB4D5E" w:rsidP="00B64144">
            <w:pPr>
              <w:pStyle w:val="ListParagraph"/>
              <w:ind w:left="0"/>
              <w:rPr>
                <w:sz w:val="20"/>
                <w:szCs w:val="20"/>
              </w:rPr>
            </w:pPr>
            <w:r w:rsidRPr="00FB4D5E">
              <w:rPr>
                <w:rFonts w:ascii="Arial" w:hAnsi="Arial" w:cs="Arial"/>
                <w:color w:val="000000" w:themeColor="text1"/>
                <w:sz w:val="20"/>
                <w:szCs w:val="20"/>
              </w:rPr>
              <w:t xml:space="preserve">Completed </w:t>
            </w:r>
            <w:r w:rsidRPr="00FB4D5E">
              <w:rPr>
                <w:sz w:val="20"/>
                <w:szCs w:val="20"/>
              </w:rPr>
              <w:fldChar w:fldCharType="begin">
                <w:ffData>
                  <w:name w:val=""/>
                  <w:enabled/>
                  <w:calcOnExit w:val="0"/>
                  <w:checkBox>
                    <w:sizeAuto/>
                    <w:default w:val="1"/>
                  </w:checkBox>
                </w:ffData>
              </w:fldChar>
            </w:r>
            <w:r w:rsidRPr="00FB4D5E">
              <w:rPr>
                <w:sz w:val="20"/>
                <w:szCs w:val="20"/>
              </w:rPr>
              <w:instrText xml:space="preserve"> FORMCHECKBOX </w:instrText>
            </w:r>
            <w:r w:rsidR="00133F2A">
              <w:rPr>
                <w:sz w:val="20"/>
                <w:szCs w:val="20"/>
              </w:rPr>
            </w:r>
            <w:r w:rsidR="00133F2A">
              <w:rPr>
                <w:sz w:val="20"/>
                <w:szCs w:val="20"/>
              </w:rPr>
              <w:fldChar w:fldCharType="separate"/>
            </w:r>
            <w:r w:rsidRPr="00FB4D5E">
              <w:rPr>
                <w:sz w:val="20"/>
                <w:szCs w:val="20"/>
              </w:rPr>
              <w:fldChar w:fldCharType="end"/>
            </w:r>
          </w:p>
          <w:p w:rsidR="00FB4D5E" w:rsidRPr="00FB4D5E" w:rsidRDefault="00FB4D5E" w:rsidP="00B64144">
            <w:pPr>
              <w:pStyle w:val="ListParagraph"/>
              <w:ind w:left="0"/>
              <w:rPr>
                <w:rFonts w:ascii="Arial" w:hAnsi="Arial" w:cs="Arial"/>
                <w:color w:val="000000" w:themeColor="text1"/>
                <w:sz w:val="20"/>
                <w:szCs w:val="20"/>
              </w:rPr>
            </w:pPr>
          </w:p>
          <w:p w:rsidR="00FB4D5E" w:rsidRPr="00FB4D5E" w:rsidRDefault="00FB4D5E" w:rsidP="00B64144">
            <w:pPr>
              <w:rPr>
                <w:sz w:val="20"/>
                <w:szCs w:val="20"/>
              </w:rPr>
            </w:pPr>
            <w:r w:rsidRPr="00FB4D5E">
              <w:rPr>
                <w:rFonts w:ascii="Arial" w:hAnsi="Arial" w:cs="Arial"/>
                <w:color w:val="000000" w:themeColor="text1"/>
                <w:sz w:val="20"/>
                <w:szCs w:val="20"/>
              </w:rPr>
              <w:t xml:space="preserve">No longer applicable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133F2A">
              <w:rPr>
                <w:sz w:val="20"/>
                <w:szCs w:val="20"/>
              </w:rPr>
            </w:r>
            <w:r w:rsidR="00133F2A">
              <w:rPr>
                <w:sz w:val="20"/>
                <w:szCs w:val="20"/>
              </w:rPr>
              <w:fldChar w:fldCharType="separate"/>
            </w:r>
            <w:r w:rsidRPr="00FB4D5E">
              <w:rPr>
                <w:sz w:val="20"/>
                <w:szCs w:val="20"/>
              </w:rPr>
              <w:fldChar w:fldCharType="end"/>
            </w:r>
          </w:p>
          <w:p w:rsidR="00FB4D5E" w:rsidRPr="00FB4D5E" w:rsidRDefault="00FB4D5E" w:rsidP="00B64144">
            <w:pPr>
              <w:pStyle w:val="ListParagraph"/>
              <w:ind w:left="0"/>
              <w:rPr>
                <w:rFonts w:ascii="Arial" w:hAnsi="Arial" w:cs="Arial"/>
                <w:color w:val="000000" w:themeColor="text1"/>
                <w:sz w:val="20"/>
                <w:szCs w:val="20"/>
              </w:rPr>
            </w:pPr>
          </w:p>
        </w:tc>
        <w:tc>
          <w:tcPr>
            <w:tcW w:w="6632" w:type="dxa"/>
          </w:tcPr>
          <w:p w:rsidR="00FB4D5E" w:rsidRPr="00FB4D5E" w:rsidRDefault="00FB4D5E" w:rsidP="00B64144">
            <w:pPr>
              <w:rPr>
                <w:sz w:val="20"/>
                <w:szCs w:val="20"/>
              </w:rPr>
            </w:pPr>
            <w:r w:rsidRPr="00FB4D5E">
              <w:rPr>
                <w:sz w:val="20"/>
                <w:szCs w:val="20"/>
              </w:rPr>
              <w:t>All instructors continue to have an open-door policy to help any student who seeks it.  Additionally, we encourage students to visit the Chemistry and Geology Resource Centers when they need help.</w:t>
            </w:r>
          </w:p>
        </w:tc>
      </w:tr>
      <w:tr w:rsidR="00FB4D5E" w:rsidRPr="00FB4D5E" w:rsidTr="00B64144">
        <w:trPr>
          <w:trHeight w:val="1399"/>
        </w:trPr>
        <w:tc>
          <w:tcPr>
            <w:tcW w:w="3951" w:type="dxa"/>
          </w:tcPr>
          <w:p w:rsidR="00FB4D5E" w:rsidRPr="00FB4D5E" w:rsidRDefault="00FB4D5E" w:rsidP="00B64144">
            <w:pPr>
              <w:rPr>
                <w:rFonts w:ascii="Arial" w:hAnsi="Arial" w:cs="Arial"/>
                <w:sz w:val="20"/>
                <w:szCs w:val="20"/>
              </w:rPr>
            </w:pPr>
            <w:r w:rsidRPr="00FB4D5E">
              <w:rPr>
                <w:rFonts w:ascii="Arial" w:hAnsi="Arial" w:cs="Arial"/>
                <w:sz w:val="20"/>
                <w:szCs w:val="20"/>
              </w:rPr>
              <w:t xml:space="preserve">While Geology has very little attrition, most of which is related to financial issues rather than academic, Chemistry, because of its more mathematical and conceptual character, loses a sizeable percentage of students during the </w:t>
            </w:r>
            <w:r w:rsidRPr="00FB4D5E">
              <w:rPr>
                <w:rFonts w:ascii="Arial" w:hAnsi="Arial" w:cs="Arial"/>
                <w:sz w:val="20"/>
                <w:szCs w:val="20"/>
              </w:rPr>
              <w:lastRenderedPageBreak/>
              <w:t>semester.  This is often due to students enrolling in the course without the needed skill set or background.  Better advising and better control of student enrollment can improve this to some degree, but Chemistry also needs to look for other methods of instruction to meet the students’ needs.  This is being addressed in part by redesigning the Introductory Chemistry course to include more interactive activities between small groups of students and tutors employed by the department.</w:t>
            </w:r>
          </w:p>
          <w:p w:rsidR="00FB4D5E" w:rsidRPr="00FB4D5E" w:rsidRDefault="00FB4D5E" w:rsidP="00B64144">
            <w:pPr>
              <w:spacing w:line="276" w:lineRule="auto"/>
              <w:rPr>
                <w:rFonts w:ascii="Arial" w:hAnsi="Arial" w:cs="Arial"/>
                <w:color w:val="000000" w:themeColor="text1"/>
                <w:sz w:val="20"/>
                <w:szCs w:val="20"/>
              </w:rPr>
            </w:pPr>
          </w:p>
        </w:tc>
        <w:tc>
          <w:tcPr>
            <w:tcW w:w="2647" w:type="dxa"/>
          </w:tcPr>
          <w:p w:rsidR="00FB4D5E" w:rsidRPr="00FB4D5E" w:rsidRDefault="00FB4D5E" w:rsidP="00B64144">
            <w:pPr>
              <w:pStyle w:val="ListParagraph"/>
              <w:ind w:left="0"/>
              <w:rPr>
                <w:rFonts w:ascii="Arial" w:hAnsi="Arial" w:cs="Arial"/>
                <w:color w:val="000000" w:themeColor="text1"/>
                <w:sz w:val="20"/>
                <w:szCs w:val="20"/>
              </w:rPr>
            </w:pPr>
          </w:p>
          <w:p w:rsidR="00FB4D5E" w:rsidRPr="00FB4D5E" w:rsidRDefault="00FB4D5E" w:rsidP="00B64144">
            <w:pPr>
              <w:pStyle w:val="ListParagraph"/>
              <w:ind w:left="0"/>
              <w:rPr>
                <w:rFonts w:ascii="Arial" w:hAnsi="Arial" w:cs="Arial"/>
                <w:color w:val="000000" w:themeColor="text1"/>
                <w:sz w:val="20"/>
                <w:szCs w:val="20"/>
              </w:rPr>
            </w:pPr>
            <w:r w:rsidRPr="00FB4D5E">
              <w:rPr>
                <w:rFonts w:ascii="Arial" w:hAnsi="Arial" w:cs="Arial"/>
                <w:color w:val="000000" w:themeColor="text1"/>
                <w:sz w:val="20"/>
                <w:szCs w:val="20"/>
              </w:rPr>
              <w:t xml:space="preserve">In progress </w:t>
            </w:r>
            <w:r w:rsidRPr="00FB4D5E">
              <w:rPr>
                <w:sz w:val="20"/>
                <w:szCs w:val="20"/>
              </w:rPr>
              <w:fldChar w:fldCharType="begin">
                <w:ffData>
                  <w:name w:val=""/>
                  <w:enabled/>
                  <w:calcOnExit w:val="0"/>
                  <w:checkBox>
                    <w:sizeAuto/>
                    <w:default w:val="1"/>
                  </w:checkBox>
                </w:ffData>
              </w:fldChar>
            </w:r>
            <w:r w:rsidRPr="00FB4D5E">
              <w:rPr>
                <w:sz w:val="20"/>
                <w:szCs w:val="20"/>
              </w:rPr>
              <w:instrText xml:space="preserve"> FORMCHECKBOX </w:instrText>
            </w:r>
            <w:r w:rsidR="00133F2A">
              <w:rPr>
                <w:sz w:val="20"/>
                <w:szCs w:val="20"/>
              </w:rPr>
            </w:r>
            <w:r w:rsidR="00133F2A">
              <w:rPr>
                <w:sz w:val="20"/>
                <w:szCs w:val="20"/>
              </w:rPr>
              <w:fldChar w:fldCharType="separate"/>
            </w:r>
            <w:r w:rsidRPr="00FB4D5E">
              <w:rPr>
                <w:sz w:val="20"/>
                <w:szCs w:val="20"/>
              </w:rPr>
              <w:fldChar w:fldCharType="end"/>
            </w:r>
          </w:p>
          <w:p w:rsidR="00FB4D5E" w:rsidRPr="00FB4D5E" w:rsidRDefault="00FB4D5E" w:rsidP="00B64144">
            <w:pPr>
              <w:pStyle w:val="ListParagraph"/>
              <w:ind w:left="0"/>
              <w:rPr>
                <w:rFonts w:ascii="Arial" w:hAnsi="Arial" w:cs="Arial"/>
                <w:color w:val="000000" w:themeColor="text1"/>
                <w:sz w:val="20"/>
                <w:szCs w:val="20"/>
              </w:rPr>
            </w:pPr>
          </w:p>
          <w:p w:rsidR="00FB4D5E" w:rsidRPr="00FB4D5E" w:rsidRDefault="00FB4D5E" w:rsidP="00B64144">
            <w:pPr>
              <w:pStyle w:val="ListParagraph"/>
              <w:ind w:left="0"/>
              <w:rPr>
                <w:sz w:val="20"/>
                <w:szCs w:val="20"/>
              </w:rPr>
            </w:pPr>
            <w:r w:rsidRPr="00FB4D5E">
              <w:rPr>
                <w:rFonts w:ascii="Arial" w:hAnsi="Arial" w:cs="Arial"/>
                <w:color w:val="000000" w:themeColor="text1"/>
                <w:sz w:val="20"/>
                <w:szCs w:val="20"/>
              </w:rPr>
              <w:t xml:space="preserve">Completed </w:t>
            </w:r>
            <w:r w:rsidR="00F10F88">
              <w:rPr>
                <w:sz w:val="20"/>
                <w:szCs w:val="20"/>
              </w:rPr>
              <w:fldChar w:fldCharType="begin">
                <w:ffData>
                  <w:name w:val=""/>
                  <w:enabled/>
                  <w:calcOnExit w:val="0"/>
                  <w:checkBox>
                    <w:sizeAuto/>
                    <w:default w:val="0"/>
                  </w:checkBox>
                </w:ffData>
              </w:fldChar>
            </w:r>
            <w:r w:rsidR="00F10F88">
              <w:rPr>
                <w:sz w:val="20"/>
                <w:szCs w:val="20"/>
              </w:rPr>
              <w:instrText xml:space="preserve"> FORMCHECKBOX </w:instrText>
            </w:r>
            <w:r w:rsidR="00133F2A">
              <w:rPr>
                <w:sz w:val="20"/>
                <w:szCs w:val="20"/>
              </w:rPr>
            </w:r>
            <w:r w:rsidR="00133F2A">
              <w:rPr>
                <w:sz w:val="20"/>
                <w:szCs w:val="20"/>
              </w:rPr>
              <w:fldChar w:fldCharType="separate"/>
            </w:r>
            <w:r w:rsidR="00F10F88">
              <w:rPr>
                <w:sz w:val="20"/>
                <w:szCs w:val="20"/>
              </w:rPr>
              <w:fldChar w:fldCharType="end"/>
            </w:r>
          </w:p>
          <w:p w:rsidR="00FB4D5E" w:rsidRPr="00FB4D5E" w:rsidRDefault="00FB4D5E" w:rsidP="00B64144">
            <w:pPr>
              <w:pStyle w:val="ListParagraph"/>
              <w:ind w:left="0"/>
              <w:rPr>
                <w:rFonts w:ascii="Arial" w:hAnsi="Arial" w:cs="Arial"/>
                <w:color w:val="000000" w:themeColor="text1"/>
                <w:sz w:val="20"/>
                <w:szCs w:val="20"/>
              </w:rPr>
            </w:pPr>
          </w:p>
          <w:p w:rsidR="00FB4D5E" w:rsidRPr="00FB4D5E" w:rsidRDefault="00FB4D5E" w:rsidP="00B64144">
            <w:pPr>
              <w:rPr>
                <w:sz w:val="20"/>
                <w:szCs w:val="20"/>
              </w:rPr>
            </w:pPr>
            <w:r w:rsidRPr="00FB4D5E">
              <w:rPr>
                <w:rFonts w:ascii="Arial" w:hAnsi="Arial" w:cs="Arial"/>
                <w:color w:val="000000" w:themeColor="text1"/>
                <w:sz w:val="20"/>
                <w:szCs w:val="20"/>
              </w:rPr>
              <w:t xml:space="preserve">No longer applicable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133F2A">
              <w:rPr>
                <w:sz w:val="20"/>
                <w:szCs w:val="20"/>
              </w:rPr>
            </w:r>
            <w:r w:rsidR="00133F2A">
              <w:rPr>
                <w:sz w:val="20"/>
                <w:szCs w:val="20"/>
              </w:rPr>
              <w:fldChar w:fldCharType="separate"/>
            </w:r>
            <w:r w:rsidRPr="00FB4D5E">
              <w:rPr>
                <w:sz w:val="20"/>
                <w:szCs w:val="20"/>
              </w:rPr>
              <w:fldChar w:fldCharType="end"/>
            </w:r>
          </w:p>
          <w:p w:rsidR="00FB4D5E" w:rsidRPr="00FB4D5E" w:rsidRDefault="00FB4D5E" w:rsidP="00B64144">
            <w:pPr>
              <w:pStyle w:val="ListParagraph"/>
              <w:ind w:left="0"/>
              <w:rPr>
                <w:rFonts w:ascii="Arial" w:hAnsi="Arial" w:cs="Arial"/>
                <w:color w:val="000000" w:themeColor="text1"/>
                <w:sz w:val="20"/>
                <w:szCs w:val="20"/>
              </w:rPr>
            </w:pPr>
          </w:p>
        </w:tc>
        <w:tc>
          <w:tcPr>
            <w:tcW w:w="6632" w:type="dxa"/>
          </w:tcPr>
          <w:p w:rsidR="00FB4D5E" w:rsidRPr="00FB4D5E" w:rsidRDefault="005B20A0" w:rsidP="00B64144">
            <w:pPr>
              <w:rPr>
                <w:sz w:val="20"/>
                <w:szCs w:val="20"/>
              </w:rPr>
            </w:pPr>
            <w:r>
              <w:rPr>
                <w:sz w:val="20"/>
                <w:szCs w:val="20"/>
              </w:rPr>
              <w:lastRenderedPageBreak/>
              <w:t>The</w:t>
            </w:r>
            <w:r w:rsidR="00FB4D5E" w:rsidRPr="00FB4D5E">
              <w:rPr>
                <w:sz w:val="20"/>
                <w:szCs w:val="20"/>
              </w:rPr>
              <w:t xml:space="preserve"> pilot program in which small groups of students interact on-line </w:t>
            </w:r>
            <w:r>
              <w:rPr>
                <w:sz w:val="20"/>
                <w:szCs w:val="20"/>
              </w:rPr>
              <w:t xml:space="preserve">that </w:t>
            </w:r>
            <w:r w:rsidR="00FB4D5E" w:rsidRPr="00FB4D5E">
              <w:rPr>
                <w:sz w:val="20"/>
                <w:szCs w:val="20"/>
              </w:rPr>
              <w:t xml:space="preserve">was </w:t>
            </w:r>
            <w:r w:rsidR="0079565F">
              <w:rPr>
                <w:sz w:val="20"/>
                <w:szCs w:val="20"/>
              </w:rPr>
              <w:t>started</w:t>
            </w:r>
            <w:r w:rsidR="00FB4D5E" w:rsidRPr="00FB4D5E">
              <w:rPr>
                <w:sz w:val="20"/>
                <w:szCs w:val="20"/>
              </w:rPr>
              <w:t xml:space="preserve"> in 2013</w:t>
            </w:r>
            <w:r>
              <w:rPr>
                <w:sz w:val="20"/>
                <w:szCs w:val="20"/>
              </w:rPr>
              <w:t xml:space="preserve"> proved to be too difficult to </w:t>
            </w:r>
            <w:r w:rsidR="0079565F">
              <w:rPr>
                <w:sz w:val="20"/>
                <w:szCs w:val="20"/>
              </w:rPr>
              <w:t>implement</w:t>
            </w:r>
            <w:r>
              <w:rPr>
                <w:sz w:val="20"/>
                <w:szCs w:val="20"/>
              </w:rPr>
              <w:t xml:space="preserve"> consistently</w:t>
            </w:r>
            <w:r w:rsidR="00FB4D5E" w:rsidRPr="00FB4D5E">
              <w:rPr>
                <w:sz w:val="20"/>
                <w:szCs w:val="20"/>
              </w:rPr>
              <w:t xml:space="preserve">.  The two primary issues with its success were finding </w:t>
            </w:r>
            <w:r w:rsidR="0079565F">
              <w:rPr>
                <w:sz w:val="20"/>
                <w:szCs w:val="20"/>
              </w:rPr>
              <w:t xml:space="preserve">enough </w:t>
            </w:r>
            <w:r w:rsidR="00FB4D5E" w:rsidRPr="00FB4D5E">
              <w:rPr>
                <w:sz w:val="20"/>
                <w:szCs w:val="20"/>
              </w:rPr>
              <w:t>capable tutors and convincing students to commit to participating at the available times.  The full-time faculty continue to explore alternate methods of delivery and look for on-line sources of additional help for the students.</w:t>
            </w:r>
          </w:p>
          <w:p w:rsidR="00FB4D5E" w:rsidRPr="00FB4D5E" w:rsidRDefault="0079565F" w:rsidP="000936F6">
            <w:pPr>
              <w:rPr>
                <w:sz w:val="20"/>
                <w:szCs w:val="20"/>
              </w:rPr>
            </w:pPr>
            <w:r>
              <w:rPr>
                <w:sz w:val="20"/>
                <w:szCs w:val="20"/>
              </w:rPr>
              <w:lastRenderedPageBreak/>
              <w:t>The implementation of</w:t>
            </w:r>
            <w:r w:rsidR="00FB4D5E" w:rsidRPr="00FB4D5E">
              <w:rPr>
                <w:sz w:val="20"/>
                <w:szCs w:val="20"/>
              </w:rPr>
              <w:t xml:space="preserve"> career communities </w:t>
            </w:r>
            <w:r>
              <w:rPr>
                <w:sz w:val="20"/>
                <w:szCs w:val="20"/>
              </w:rPr>
              <w:t>has improved, to some degree, the success rate for students taking chemistry.</w:t>
            </w:r>
            <w:r w:rsidR="005C761A">
              <w:rPr>
                <w:sz w:val="20"/>
                <w:szCs w:val="20"/>
              </w:rPr>
              <w:t xml:space="preserve">  There still is more work we need to do, however, particularly as it applies </w:t>
            </w:r>
            <w:r w:rsidR="00FB4D5E" w:rsidRPr="00FB4D5E">
              <w:rPr>
                <w:sz w:val="20"/>
                <w:szCs w:val="20"/>
              </w:rPr>
              <w:t xml:space="preserve">to which beginning </w:t>
            </w:r>
            <w:r w:rsidR="005052FE">
              <w:rPr>
                <w:sz w:val="20"/>
                <w:szCs w:val="20"/>
              </w:rPr>
              <w:t>c</w:t>
            </w:r>
            <w:r w:rsidR="00FB4D5E" w:rsidRPr="00FB4D5E">
              <w:rPr>
                <w:sz w:val="20"/>
                <w:szCs w:val="20"/>
              </w:rPr>
              <w:t xml:space="preserve">hemistry course students should be enrolled.  </w:t>
            </w:r>
            <w:r w:rsidR="005C761A">
              <w:rPr>
                <w:sz w:val="20"/>
                <w:szCs w:val="20"/>
              </w:rPr>
              <w:t>Sometimes, s</w:t>
            </w:r>
            <w:r w:rsidR="00FB4D5E" w:rsidRPr="00FB4D5E">
              <w:rPr>
                <w:sz w:val="20"/>
                <w:szCs w:val="20"/>
              </w:rPr>
              <w:t>tudent</w:t>
            </w:r>
            <w:r w:rsidR="005C761A">
              <w:rPr>
                <w:sz w:val="20"/>
                <w:szCs w:val="20"/>
              </w:rPr>
              <w:t>s</w:t>
            </w:r>
            <w:r w:rsidR="00FB4D5E" w:rsidRPr="00FB4D5E">
              <w:rPr>
                <w:sz w:val="20"/>
                <w:szCs w:val="20"/>
              </w:rPr>
              <w:t xml:space="preserve"> </w:t>
            </w:r>
            <w:r w:rsidR="005C761A">
              <w:rPr>
                <w:sz w:val="20"/>
                <w:szCs w:val="20"/>
              </w:rPr>
              <w:t>who only need</w:t>
            </w:r>
            <w:r w:rsidR="00FB4D5E" w:rsidRPr="00FB4D5E">
              <w:rPr>
                <w:sz w:val="20"/>
                <w:szCs w:val="20"/>
              </w:rPr>
              <w:t xml:space="preserve"> a science c</w:t>
            </w:r>
            <w:r w:rsidR="005C761A">
              <w:rPr>
                <w:sz w:val="20"/>
                <w:szCs w:val="20"/>
              </w:rPr>
              <w:t>ourse</w:t>
            </w:r>
            <w:r w:rsidR="00FB4D5E" w:rsidRPr="00FB4D5E">
              <w:rPr>
                <w:sz w:val="20"/>
                <w:szCs w:val="20"/>
              </w:rPr>
              <w:t xml:space="preserve"> </w:t>
            </w:r>
            <w:r w:rsidR="005C761A">
              <w:rPr>
                <w:sz w:val="20"/>
                <w:szCs w:val="20"/>
              </w:rPr>
              <w:t xml:space="preserve">are </w:t>
            </w:r>
            <w:r w:rsidR="00FB4D5E" w:rsidRPr="00FB4D5E">
              <w:rPr>
                <w:sz w:val="20"/>
                <w:szCs w:val="20"/>
              </w:rPr>
              <w:t>enrol</w:t>
            </w:r>
            <w:r w:rsidR="005C761A">
              <w:rPr>
                <w:sz w:val="20"/>
                <w:szCs w:val="20"/>
              </w:rPr>
              <w:t>led</w:t>
            </w:r>
            <w:r w:rsidR="00FB4D5E" w:rsidRPr="00FB4D5E">
              <w:rPr>
                <w:sz w:val="20"/>
                <w:szCs w:val="20"/>
              </w:rPr>
              <w:t xml:space="preserve"> in Introductory Chemistry, which has a higher mathematical component than College Chemistry.  This </w:t>
            </w:r>
            <w:r w:rsidR="005C761A">
              <w:rPr>
                <w:sz w:val="20"/>
                <w:szCs w:val="20"/>
              </w:rPr>
              <w:t>can</w:t>
            </w:r>
            <w:r w:rsidR="00FB4D5E" w:rsidRPr="00FB4D5E">
              <w:rPr>
                <w:sz w:val="20"/>
                <w:szCs w:val="20"/>
              </w:rPr>
              <w:t xml:space="preserve"> lead to a lower </w:t>
            </w:r>
            <w:r w:rsidR="005C761A">
              <w:rPr>
                <w:sz w:val="20"/>
                <w:szCs w:val="20"/>
              </w:rPr>
              <w:t>probability</w:t>
            </w:r>
            <w:r w:rsidR="00FB4D5E" w:rsidRPr="00FB4D5E">
              <w:rPr>
                <w:sz w:val="20"/>
                <w:szCs w:val="20"/>
              </w:rPr>
              <w:t xml:space="preserve"> for success.  </w:t>
            </w:r>
            <w:r w:rsidR="005C761A">
              <w:rPr>
                <w:sz w:val="20"/>
                <w:szCs w:val="20"/>
              </w:rPr>
              <w:t>S</w:t>
            </w:r>
            <w:r w:rsidR="00FB4D5E" w:rsidRPr="00FB4D5E">
              <w:rPr>
                <w:sz w:val="20"/>
                <w:szCs w:val="20"/>
              </w:rPr>
              <w:t xml:space="preserve">tudents who need General Chemistry are </w:t>
            </w:r>
            <w:r w:rsidR="005C761A">
              <w:rPr>
                <w:sz w:val="20"/>
                <w:szCs w:val="20"/>
              </w:rPr>
              <w:t xml:space="preserve">still sometimes </w:t>
            </w:r>
            <w:r w:rsidR="00FB4D5E" w:rsidRPr="00FB4D5E">
              <w:rPr>
                <w:sz w:val="20"/>
                <w:szCs w:val="20"/>
              </w:rPr>
              <w:t xml:space="preserve">enrolled into that course with no previous chemistry background.  Again, we have found that these students are at a greater risk of failure.  </w:t>
            </w:r>
            <w:r w:rsidR="005C761A">
              <w:rPr>
                <w:sz w:val="20"/>
                <w:szCs w:val="20"/>
              </w:rPr>
              <w:t>This may become a greater challenge now with the changes in the financial support for students.  Since classes not directly related to a student’s course of study are no longer supported by financial aid, students are mo</w:t>
            </w:r>
            <w:r w:rsidR="006A6CE4">
              <w:rPr>
                <w:sz w:val="20"/>
                <w:szCs w:val="20"/>
              </w:rPr>
              <w:t xml:space="preserve">re likely to chance a course for which they may not be prepared.  The same is true </w:t>
            </w:r>
            <w:r w:rsidR="000936F6">
              <w:rPr>
                <w:sz w:val="20"/>
                <w:szCs w:val="20"/>
              </w:rPr>
              <w:t>as it relates to</w:t>
            </w:r>
            <w:r w:rsidR="006A6CE4">
              <w:rPr>
                <w:sz w:val="20"/>
                <w:szCs w:val="20"/>
              </w:rPr>
              <w:t xml:space="preserve"> math prerequisites for some courses.  We will need to monitor the extent to which these changes affect student success.</w:t>
            </w:r>
          </w:p>
        </w:tc>
      </w:tr>
    </w:tbl>
    <w:p w:rsidR="00B11028" w:rsidRDefault="00B11028">
      <w:r>
        <w:lastRenderedPageBreak/>
        <w:br w:type="page"/>
      </w:r>
    </w:p>
    <w:p w:rsidR="003C59D8" w:rsidRPr="008258DA" w:rsidRDefault="00190F5C" w:rsidP="003C59D8">
      <w:pPr>
        <w:tabs>
          <w:tab w:val="left" w:pos="504"/>
        </w:tabs>
        <w:spacing w:after="120"/>
        <w:rPr>
          <w:rFonts w:ascii="Arial" w:hAnsi="Arial" w:cs="Arial"/>
          <w:color w:val="000000" w:themeColor="text1"/>
        </w:rPr>
      </w:pPr>
      <w:r w:rsidRPr="008258DA">
        <w:rPr>
          <w:rFonts w:ascii="Arial" w:hAnsi="Arial" w:cs="Arial"/>
          <w:color w:val="000000" w:themeColor="text1"/>
        </w:rPr>
        <w:lastRenderedPageBreak/>
        <w:t xml:space="preserve">Below are the </w:t>
      </w:r>
      <w:r w:rsidR="003233E7" w:rsidRPr="008258DA">
        <w:rPr>
          <w:rFonts w:ascii="Arial" w:hAnsi="Arial" w:cs="Arial"/>
          <w:color w:val="000000" w:themeColor="text1"/>
        </w:rPr>
        <w:t>Recommendations for Action made by the review team</w:t>
      </w:r>
      <w:r w:rsidRPr="008258DA">
        <w:rPr>
          <w:rFonts w:ascii="Arial" w:hAnsi="Arial" w:cs="Arial"/>
          <w:color w:val="000000" w:themeColor="text1"/>
        </w:rPr>
        <w:t>. D</w:t>
      </w:r>
      <w:r w:rsidR="004C7DB2" w:rsidRPr="008258DA">
        <w:rPr>
          <w:rFonts w:ascii="Arial" w:hAnsi="Arial" w:cs="Arial"/>
          <w:color w:val="000000" w:themeColor="text1"/>
        </w:rPr>
        <w:t>escribe the progress or changes made toward meeting each recommendation</w:t>
      </w:r>
      <w:r w:rsidR="00E642B3" w:rsidRPr="008258DA">
        <w:rPr>
          <w:rFonts w:ascii="Arial" w:hAnsi="Arial" w:cs="Arial"/>
          <w:color w:val="000000" w:themeColor="text1"/>
        </w:rPr>
        <w:t xml:space="preserve"> over the last year</w:t>
      </w:r>
      <w:r w:rsidR="004C7DB2" w:rsidRPr="008258DA">
        <w:rPr>
          <w:rFonts w:ascii="Arial" w:hAnsi="Arial" w:cs="Arial"/>
          <w:color w:val="000000" w:themeColor="text1"/>
        </w:rPr>
        <w:t>.</w:t>
      </w:r>
      <w:r w:rsidR="003C59D8">
        <w:rPr>
          <w:rFonts w:ascii="Arial" w:hAnsi="Arial" w:cs="Arial"/>
          <w:color w:val="000000" w:themeColor="text1"/>
        </w:rPr>
        <w:t xml:space="preserve"> Responses from the previous year’s Annual Update are included, </w:t>
      </w:r>
      <w:r w:rsidR="003C59D8" w:rsidRPr="003C59D8">
        <w:rPr>
          <w:rFonts w:ascii="Arial" w:hAnsi="Arial" w:cs="Arial"/>
          <w:color w:val="000000" w:themeColor="text1"/>
          <w:u w:val="single"/>
        </w:rPr>
        <w:t xml:space="preserve">if there have been no changes to report then </w:t>
      </w:r>
      <w:r w:rsidR="003C59D8">
        <w:rPr>
          <w:rFonts w:ascii="Arial" w:hAnsi="Arial" w:cs="Arial"/>
          <w:color w:val="000000" w:themeColor="text1"/>
          <w:u w:val="single"/>
        </w:rPr>
        <w:t>no changes to the response are necessary</w:t>
      </w:r>
      <w:r w:rsidR="003C59D8">
        <w:rPr>
          <w:rFonts w:ascii="Arial" w:hAnsi="Arial" w:cs="Arial"/>
          <w:color w:val="000000" w:themeColor="text1"/>
        </w:rPr>
        <w:t xml:space="preserve">. </w:t>
      </w:r>
    </w:p>
    <w:tbl>
      <w:tblPr>
        <w:tblStyle w:val="TableGrid"/>
        <w:tblW w:w="12888" w:type="dxa"/>
        <w:tblLayout w:type="fixed"/>
        <w:tblCellMar>
          <w:left w:w="115" w:type="dxa"/>
          <w:right w:w="115" w:type="dxa"/>
        </w:tblCellMar>
        <w:tblLook w:val="04A0" w:firstRow="1" w:lastRow="0" w:firstColumn="1" w:lastColumn="0" w:noHBand="0" w:noVBand="1"/>
      </w:tblPr>
      <w:tblGrid>
        <w:gridCol w:w="3708"/>
        <w:gridCol w:w="2700"/>
        <w:gridCol w:w="6480"/>
      </w:tblGrid>
      <w:tr w:rsidR="00FB4D5E" w:rsidRPr="00FB4D5E" w:rsidTr="00B64144">
        <w:tc>
          <w:tcPr>
            <w:tcW w:w="3708" w:type="dxa"/>
          </w:tcPr>
          <w:p w:rsidR="00FB4D5E" w:rsidRPr="00FB4D5E" w:rsidRDefault="00FB4D5E" w:rsidP="00B64144">
            <w:pPr>
              <w:spacing w:before="120"/>
              <w:jc w:val="center"/>
              <w:rPr>
                <w:rFonts w:ascii="Arial" w:hAnsi="Arial" w:cs="Arial"/>
                <w:b/>
                <w:sz w:val="20"/>
                <w:szCs w:val="20"/>
              </w:rPr>
            </w:pPr>
            <w:r w:rsidRPr="00FB4D5E">
              <w:rPr>
                <w:rFonts w:ascii="Arial" w:hAnsi="Arial" w:cs="Arial"/>
                <w:b/>
                <w:sz w:val="20"/>
                <w:szCs w:val="20"/>
              </w:rPr>
              <w:t>RECOMMENDATIONS</w:t>
            </w:r>
          </w:p>
        </w:tc>
        <w:tc>
          <w:tcPr>
            <w:tcW w:w="2700" w:type="dxa"/>
          </w:tcPr>
          <w:p w:rsidR="00FB4D5E" w:rsidRPr="00FB4D5E" w:rsidRDefault="00FB4D5E" w:rsidP="00B64144">
            <w:pPr>
              <w:spacing w:before="120"/>
              <w:jc w:val="center"/>
              <w:rPr>
                <w:rFonts w:ascii="Arial" w:hAnsi="Arial" w:cs="Arial"/>
                <w:b/>
                <w:sz w:val="20"/>
                <w:szCs w:val="20"/>
              </w:rPr>
            </w:pPr>
            <w:r w:rsidRPr="00FB4D5E">
              <w:rPr>
                <w:rFonts w:ascii="Arial" w:hAnsi="Arial" w:cs="Arial"/>
                <w:b/>
                <w:sz w:val="20"/>
                <w:szCs w:val="20"/>
              </w:rPr>
              <w:t>Status</w:t>
            </w:r>
          </w:p>
        </w:tc>
        <w:tc>
          <w:tcPr>
            <w:tcW w:w="6480" w:type="dxa"/>
          </w:tcPr>
          <w:p w:rsidR="00FB4D5E" w:rsidRPr="00FB4D5E" w:rsidRDefault="00FB4D5E" w:rsidP="00B64144">
            <w:pPr>
              <w:spacing w:before="120"/>
              <w:jc w:val="center"/>
              <w:rPr>
                <w:rFonts w:ascii="Arial" w:hAnsi="Arial" w:cs="Arial"/>
                <w:b/>
                <w:sz w:val="20"/>
                <w:szCs w:val="20"/>
              </w:rPr>
            </w:pPr>
            <w:r w:rsidRPr="00FB4D5E">
              <w:rPr>
                <w:rFonts w:ascii="Arial" w:hAnsi="Arial" w:cs="Arial"/>
                <w:b/>
                <w:sz w:val="20"/>
                <w:szCs w:val="20"/>
              </w:rPr>
              <w:t>Progress or Rationale for No Longer Applicable</w:t>
            </w:r>
          </w:p>
        </w:tc>
      </w:tr>
      <w:tr w:rsidR="00FB4D5E" w:rsidRPr="00FB4D5E" w:rsidTr="00B64144">
        <w:tc>
          <w:tcPr>
            <w:tcW w:w="3708" w:type="dxa"/>
          </w:tcPr>
          <w:p w:rsidR="00FB4D5E" w:rsidRPr="00FB4D5E" w:rsidRDefault="00FB4D5E" w:rsidP="00B64144">
            <w:pPr>
              <w:autoSpaceDE w:val="0"/>
              <w:autoSpaceDN w:val="0"/>
              <w:adjustRightInd w:val="0"/>
              <w:rPr>
                <w:rFonts w:ascii="Arial" w:hAnsi="Arial" w:cs="Arial"/>
                <w:bCs/>
                <w:color w:val="000000"/>
                <w:sz w:val="20"/>
                <w:szCs w:val="20"/>
              </w:rPr>
            </w:pPr>
            <w:r w:rsidRPr="00FB4D5E">
              <w:rPr>
                <w:rFonts w:ascii="Arial" w:hAnsi="Arial" w:cs="Arial"/>
                <w:bCs/>
                <w:color w:val="000000"/>
                <w:sz w:val="20"/>
                <w:szCs w:val="20"/>
              </w:rPr>
              <w:t>Repairs that are needed to Chemistry labs were mentioned during the meeting with the review team.  The team was particularly concerned about ventilation repairs that were reported as being needed.  Given the department’s commitment to safety, there is no doubt that the department is interested in seeking repairs as soon as possible, and while it may be too late to address these repair needs in the Capital Request process for this year, other sources of funding for these repairs should be explored with the division dean.</w:t>
            </w:r>
          </w:p>
          <w:p w:rsidR="00FB4D5E" w:rsidRPr="00FB4D5E" w:rsidRDefault="00FB4D5E" w:rsidP="00B64144">
            <w:pPr>
              <w:pStyle w:val="ListParagraph"/>
              <w:ind w:left="0"/>
              <w:rPr>
                <w:rFonts w:ascii="Arial" w:hAnsi="Arial" w:cs="Arial"/>
                <w:color w:val="000000" w:themeColor="text1"/>
                <w:sz w:val="20"/>
                <w:szCs w:val="20"/>
              </w:rPr>
            </w:pPr>
          </w:p>
        </w:tc>
        <w:tc>
          <w:tcPr>
            <w:tcW w:w="2700" w:type="dxa"/>
          </w:tcPr>
          <w:p w:rsidR="00FB4D5E" w:rsidRPr="00FB4D5E" w:rsidRDefault="00FB4D5E" w:rsidP="00B64144">
            <w:pPr>
              <w:pStyle w:val="ListParagraph"/>
              <w:ind w:left="0"/>
              <w:rPr>
                <w:rFonts w:ascii="Arial" w:hAnsi="Arial" w:cs="Arial"/>
                <w:color w:val="000000" w:themeColor="text1"/>
                <w:sz w:val="20"/>
                <w:szCs w:val="20"/>
              </w:rPr>
            </w:pPr>
          </w:p>
          <w:p w:rsidR="00FB4D5E" w:rsidRPr="00FB4D5E" w:rsidRDefault="00FB4D5E" w:rsidP="00B64144">
            <w:pPr>
              <w:pStyle w:val="ListParagraph"/>
              <w:ind w:left="0"/>
              <w:rPr>
                <w:rFonts w:ascii="Arial" w:hAnsi="Arial" w:cs="Arial"/>
                <w:color w:val="000000" w:themeColor="text1"/>
                <w:sz w:val="20"/>
                <w:szCs w:val="20"/>
              </w:rPr>
            </w:pPr>
            <w:r w:rsidRPr="00FB4D5E">
              <w:rPr>
                <w:rFonts w:ascii="Arial" w:hAnsi="Arial" w:cs="Arial"/>
                <w:color w:val="000000" w:themeColor="text1"/>
                <w:sz w:val="20"/>
                <w:szCs w:val="20"/>
              </w:rPr>
              <w:t xml:space="preserve">In progress </w:t>
            </w:r>
            <w:r w:rsidR="00F10F88">
              <w:rPr>
                <w:sz w:val="20"/>
                <w:szCs w:val="20"/>
              </w:rPr>
              <w:fldChar w:fldCharType="begin">
                <w:ffData>
                  <w:name w:val=""/>
                  <w:enabled/>
                  <w:calcOnExit w:val="0"/>
                  <w:checkBox>
                    <w:sizeAuto/>
                    <w:default w:val="0"/>
                  </w:checkBox>
                </w:ffData>
              </w:fldChar>
            </w:r>
            <w:r w:rsidR="00F10F88">
              <w:rPr>
                <w:sz w:val="20"/>
                <w:szCs w:val="20"/>
              </w:rPr>
              <w:instrText xml:space="preserve"> FORMCHECKBOX </w:instrText>
            </w:r>
            <w:r w:rsidR="00133F2A">
              <w:rPr>
                <w:sz w:val="20"/>
                <w:szCs w:val="20"/>
              </w:rPr>
            </w:r>
            <w:r w:rsidR="00133F2A">
              <w:rPr>
                <w:sz w:val="20"/>
                <w:szCs w:val="20"/>
              </w:rPr>
              <w:fldChar w:fldCharType="separate"/>
            </w:r>
            <w:r w:rsidR="00F10F88">
              <w:rPr>
                <w:sz w:val="20"/>
                <w:szCs w:val="20"/>
              </w:rPr>
              <w:fldChar w:fldCharType="end"/>
            </w:r>
          </w:p>
          <w:p w:rsidR="00FB4D5E" w:rsidRPr="00FB4D5E" w:rsidRDefault="00FB4D5E" w:rsidP="00B64144">
            <w:pPr>
              <w:pStyle w:val="ListParagraph"/>
              <w:ind w:left="0"/>
              <w:rPr>
                <w:rFonts w:ascii="Arial" w:hAnsi="Arial" w:cs="Arial"/>
                <w:color w:val="000000" w:themeColor="text1"/>
                <w:sz w:val="20"/>
                <w:szCs w:val="20"/>
              </w:rPr>
            </w:pPr>
          </w:p>
          <w:p w:rsidR="00FB4D5E" w:rsidRPr="00FB4D5E" w:rsidRDefault="00FB4D5E" w:rsidP="00B64144">
            <w:pPr>
              <w:pStyle w:val="ListParagraph"/>
              <w:ind w:left="0"/>
              <w:rPr>
                <w:sz w:val="20"/>
                <w:szCs w:val="20"/>
              </w:rPr>
            </w:pPr>
            <w:r w:rsidRPr="00FB4D5E">
              <w:rPr>
                <w:rFonts w:ascii="Arial" w:hAnsi="Arial" w:cs="Arial"/>
                <w:color w:val="000000" w:themeColor="text1"/>
                <w:sz w:val="20"/>
                <w:szCs w:val="20"/>
              </w:rPr>
              <w:t xml:space="preserve">Completed </w:t>
            </w:r>
            <w:r w:rsidR="00F10F88">
              <w:rPr>
                <w:sz w:val="20"/>
                <w:szCs w:val="20"/>
              </w:rPr>
              <w:fldChar w:fldCharType="begin">
                <w:ffData>
                  <w:name w:val=""/>
                  <w:enabled/>
                  <w:calcOnExit w:val="0"/>
                  <w:checkBox>
                    <w:sizeAuto/>
                    <w:default w:val="1"/>
                  </w:checkBox>
                </w:ffData>
              </w:fldChar>
            </w:r>
            <w:r w:rsidR="00F10F88">
              <w:rPr>
                <w:sz w:val="20"/>
                <w:szCs w:val="20"/>
              </w:rPr>
              <w:instrText xml:space="preserve"> FORMCHECKBOX </w:instrText>
            </w:r>
            <w:r w:rsidR="00133F2A">
              <w:rPr>
                <w:sz w:val="20"/>
                <w:szCs w:val="20"/>
              </w:rPr>
            </w:r>
            <w:r w:rsidR="00133F2A">
              <w:rPr>
                <w:sz w:val="20"/>
                <w:szCs w:val="20"/>
              </w:rPr>
              <w:fldChar w:fldCharType="separate"/>
            </w:r>
            <w:r w:rsidR="00F10F88">
              <w:rPr>
                <w:sz w:val="20"/>
                <w:szCs w:val="20"/>
              </w:rPr>
              <w:fldChar w:fldCharType="end"/>
            </w:r>
          </w:p>
          <w:p w:rsidR="00FB4D5E" w:rsidRPr="00FB4D5E" w:rsidRDefault="00FB4D5E" w:rsidP="00B64144">
            <w:pPr>
              <w:pStyle w:val="ListParagraph"/>
              <w:ind w:left="0"/>
              <w:rPr>
                <w:rFonts w:ascii="Arial" w:hAnsi="Arial" w:cs="Arial"/>
                <w:color w:val="000000" w:themeColor="text1"/>
                <w:sz w:val="20"/>
                <w:szCs w:val="20"/>
              </w:rPr>
            </w:pPr>
          </w:p>
          <w:p w:rsidR="00FB4D5E" w:rsidRPr="00FB4D5E" w:rsidRDefault="00FB4D5E" w:rsidP="00B64144">
            <w:pPr>
              <w:rPr>
                <w:sz w:val="20"/>
                <w:szCs w:val="20"/>
              </w:rPr>
            </w:pPr>
            <w:r w:rsidRPr="00FB4D5E">
              <w:rPr>
                <w:rFonts w:ascii="Arial" w:hAnsi="Arial" w:cs="Arial"/>
                <w:color w:val="000000" w:themeColor="text1"/>
                <w:sz w:val="20"/>
                <w:szCs w:val="20"/>
              </w:rPr>
              <w:t xml:space="preserve">No longer applicable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133F2A">
              <w:rPr>
                <w:sz w:val="20"/>
                <w:szCs w:val="20"/>
              </w:rPr>
            </w:r>
            <w:r w:rsidR="00133F2A">
              <w:rPr>
                <w:sz w:val="20"/>
                <w:szCs w:val="20"/>
              </w:rPr>
              <w:fldChar w:fldCharType="separate"/>
            </w:r>
            <w:r w:rsidRPr="00FB4D5E">
              <w:rPr>
                <w:sz w:val="20"/>
                <w:szCs w:val="20"/>
              </w:rPr>
              <w:fldChar w:fldCharType="end"/>
            </w:r>
          </w:p>
          <w:p w:rsidR="00FB4D5E" w:rsidRPr="00FB4D5E" w:rsidRDefault="00FB4D5E" w:rsidP="00B64144">
            <w:pPr>
              <w:pStyle w:val="ListParagraph"/>
              <w:ind w:left="0"/>
              <w:rPr>
                <w:rFonts w:ascii="Arial" w:hAnsi="Arial" w:cs="Arial"/>
                <w:color w:val="000000" w:themeColor="text1"/>
                <w:sz w:val="20"/>
                <w:szCs w:val="20"/>
              </w:rPr>
            </w:pPr>
          </w:p>
        </w:tc>
        <w:tc>
          <w:tcPr>
            <w:tcW w:w="6480" w:type="dxa"/>
          </w:tcPr>
          <w:p w:rsidR="00F10F88" w:rsidRDefault="00F10F88" w:rsidP="00B64144">
            <w:pPr>
              <w:rPr>
                <w:sz w:val="20"/>
                <w:szCs w:val="20"/>
              </w:rPr>
            </w:pPr>
            <w:r>
              <w:rPr>
                <w:sz w:val="20"/>
                <w:szCs w:val="20"/>
              </w:rPr>
              <w:t>Labs 12343 and 12344 were renovated during the summer of 2015; lab 12393 during th</w:t>
            </w:r>
            <w:r w:rsidR="006A6CE4">
              <w:rPr>
                <w:sz w:val="20"/>
                <w:szCs w:val="20"/>
              </w:rPr>
              <w:t xml:space="preserve">e winter break of 2015.  After renovation of the first two labs was complete, it was discovered that the bench surface, though impervious to chemicals, was sensitive to heat.  </w:t>
            </w:r>
            <w:r w:rsidR="0051092B">
              <w:rPr>
                <w:sz w:val="20"/>
                <w:szCs w:val="20"/>
              </w:rPr>
              <w:t>The proper material for the lab surfaces in 12393 was not available at renovation; all reaction surfaces are scheduled to be replaced as the correct material becomes available.</w:t>
            </w:r>
            <w:r w:rsidR="00D817B9">
              <w:rPr>
                <w:sz w:val="20"/>
                <w:szCs w:val="20"/>
              </w:rPr>
              <w:t xml:space="preserve">  In the meantime, the labs are functional and the changes made have improved the ability of the instructor to better monitor the students’ activities.</w:t>
            </w:r>
          </w:p>
          <w:p w:rsidR="00EF585A" w:rsidRDefault="00EF585A" w:rsidP="00B64144">
            <w:pPr>
              <w:rPr>
                <w:sz w:val="20"/>
                <w:szCs w:val="20"/>
              </w:rPr>
            </w:pPr>
          </w:p>
          <w:p w:rsidR="00EF585A" w:rsidRPr="00FB4D5E" w:rsidRDefault="00EF585A" w:rsidP="00B64144">
            <w:pPr>
              <w:rPr>
                <w:sz w:val="20"/>
                <w:szCs w:val="20"/>
              </w:rPr>
            </w:pPr>
            <w:r>
              <w:rPr>
                <w:sz w:val="20"/>
                <w:szCs w:val="20"/>
              </w:rPr>
              <w:t>Refurbishing 12395 is slated for the summer of 2016.</w:t>
            </w:r>
          </w:p>
        </w:tc>
      </w:tr>
      <w:tr w:rsidR="00FB4D5E" w:rsidRPr="00FB4D5E" w:rsidTr="00B64144">
        <w:tc>
          <w:tcPr>
            <w:tcW w:w="3708" w:type="dxa"/>
          </w:tcPr>
          <w:p w:rsidR="00FB4D5E" w:rsidRPr="00FB4D5E" w:rsidRDefault="00FB4D5E" w:rsidP="00B64144">
            <w:pPr>
              <w:autoSpaceDE w:val="0"/>
              <w:autoSpaceDN w:val="0"/>
              <w:adjustRightInd w:val="0"/>
              <w:rPr>
                <w:rFonts w:ascii="Arial" w:hAnsi="Arial" w:cs="Arial"/>
                <w:bCs/>
                <w:color w:val="000000"/>
                <w:sz w:val="20"/>
                <w:szCs w:val="20"/>
              </w:rPr>
            </w:pPr>
            <w:r w:rsidRPr="00FB4D5E">
              <w:rPr>
                <w:rFonts w:ascii="Arial" w:hAnsi="Arial" w:cs="Arial"/>
                <w:bCs/>
                <w:color w:val="000000"/>
                <w:sz w:val="20"/>
                <w:szCs w:val="20"/>
              </w:rPr>
              <w:t xml:space="preserve">During the meeting with the review team the department noted that students struggled due to inadequate math skills in introductory </w:t>
            </w:r>
            <w:r w:rsidR="00597704">
              <w:rPr>
                <w:rFonts w:ascii="Arial" w:hAnsi="Arial" w:cs="Arial"/>
                <w:bCs/>
                <w:color w:val="000000"/>
                <w:sz w:val="20"/>
                <w:szCs w:val="20"/>
              </w:rPr>
              <w:t>c</w:t>
            </w:r>
            <w:r w:rsidRPr="00FB4D5E">
              <w:rPr>
                <w:rFonts w:ascii="Arial" w:hAnsi="Arial" w:cs="Arial"/>
                <w:bCs/>
                <w:color w:val="000000"/>
                <w:sz w:val="20"/>
                <w:szCs w:val="20"/>
              </w:rPr>
              <w:t xml:space="preserve">hemistry courses.  The department has done a nice job of identifying the problem, although in the subsequent discussion it was not clear whether there is certainty regarding exactly what is causing the problem.  As noted in the commendations, the department has demonstrated skill in the past in using data to solve problems and make decisions, and the review team recommends that the department employ this skill to attempt to resolve this issue.  The department is encouraged to explore ways to help </w:t>
            </w:r>
            <w:r w:rsidRPr="00FB4D5E">
              <w:rPr>
                <w:rFonts w:ascii="Arial" w:hAnsi="Arial" w:cs="Arial"/>
                <w:bCs/>
                <w:color w:val="000000"/>
                <w:sz w:val="20"/>
                <w:szCs w:val="20"/>
              </w:rPr>
              <w:lastRenderedPageBreak/>
              <w:t>students develop the math skills they need to succeed in Chemistry courses, and assess the impact of any measures they implement.  There may be opportunities to employ online resources to bolster math skills, perhaps a collaborative effort with the math department could lead to the development of approaches that would help Chemistry students achieve higher levels of success by improving math skills.</w:t>
            </w:r>
          </w:p>
          <w:p w:rsidR="00FB4D5E" w:rsidRPr="00FB4D5E" w:rsidRDefault="00FB4D5E" w:rsidP="00B64144">
            <w:pPr>
              <w:pStyle w:val="ListParagraph"/>
              <w:ind w:left="0"/>
              <w:rPr>
                <w:rFonts w:ascii="Arial" w:hAnsi="Arial" w:cs="Arial"/>
                <w:color w:val="000000" w:themeColor="text1"/>
                <w:sz w:val="20"/>
                <w:szCs w:val="20"/>
              </w:rPr>
            </w:pPr>
          </w:p>
        </w:tc>
        <w:tc>
          <w:tcPr>
            <w:tcW w:w="2700" w:type="dxa"/>
          </w:tcPr>
          <w:p w:rsidR="00FB4D5E" w:rsidRPr="00FB4D5E" w:rsidRDefault="00FB4D5E" w:rsidP="00B64144">
            <w:pPr>
              <w:pStyle w:val="ListParagraph"/>
              <w:ind w:left="0"/>
              <w:rPr>
                <w:rFonts w:ascii="Arial" w:hAnsi="Arial" w:cs="Arial"/>
                <w:color w:val="000000" w:themeColor="text1"/>
                <w:sz w:val="20"/>
                <w:szCs w:val="20"/>
              </w:rPr>
            </w:pPr>
          </w:p>
          <w:p w:rsidR="00FB4D5E" w:rsidRPr="00FB4D5E" w:rsidRDefault="00FB4D5E" w:rsidP="00B64144">
            <w:pPr>
              <w:pStyle w:val="ListParagraph"/>
              <w:ind w:left="0"/>
              <w:rPr>
                <w:rFonts w:ascii="Arial" w:hAnsi="Arial" w:cs="Arial"/>
                <w:color w:val="000000" w:themeColor="text1"/>
                <w:sz w:val="20"/>
                <w:szCs w:val="20"/>
              </w:rPr>
            </w:pPr>
            <w:r w:rsidRPr="00FB4D5E">
              <w:rPr>
                <w:rFonts w:ascii="Arial" w:hAnsi="Arial" w:cs="Arial"/>
                <w:color w:val="000000" w:themeColor="text1"/>
                <w:sz w:val="20"/>
                <w:szCs w:val="20"/>
              </w:rPr>
              <w:t xml:space="preserve">In progress </w:t>
            </w:r>
            <w:r w:rsidRPr="00FB4D5E">
              <w:rPr>
                <w:sz w:val="20"/>
                <w:szCs w:val="20"/>
              </w:rPr>
              <w:fldChar w:fldCharType="begin">
                <w:ffData>
                  <w:name w:val=""/>
                  <w:enabled/>
                  <w:calcOnExit w:val="0"/>
                  <w:checkBox>
                    <w:sizeAuto/>
                    <w:default w:val="1"/>
                  </w:checkBox>
                </w:ffData>
              </w:fldChar>
            </w:r>
            <w:r w:rsidRPr="00FB4D5E">
              <w:rPr>
                <w:sz w:val="20"/>
                <w:szCs w:val="20"/>
              </w:rPr>
              <w:instrText xml:space="preserve"> FORMCHECKBOX </w:instrText>
            </w:r>
            <w:r w:rsidR="00133F2A">
              <w:rPr>
                <w:sz w:val="20"/>
                <w:szCs w:val="20"/>
              </w:rPr>
            </w:r>
            <w:r w:rsidR="00133F2A">
              <w:rPr>
                <w:sz w:val="20"/>
                <w:szCs w:val="20"/>
              </w:rPr>
              <w:fldChar w:fldCharType="separate"/>
            </w:r>
            <w:r w:rsidRPr="00FB4D5E">
              <w:rPr>
                <w:sz w:val="20"/>
                <w:szCs w:val="20"/>
              </w:rPr>
              <w:fldChar w:fldCharType="end"/>
            </w:r>
          </w:p>
          <w:p w:rsidR="00FB4D5E" w:rsidRPr="00FB4D5E" w:rsidRDefault="00FB4D5E" w:rsidP="00B64144">
            <w:pPr>
              <w:pStyle w:val="ListParagraph"/>
              <w:ind w:left="0"/>
              <w:rPr>
                <w:rFonts w:ascii="Arial" w:hAnsi="Arial" w:cs="Arial"/>
                <w:color w:val="000000" w:themeColor="text1"/>
                <w:sz w:val="20"/>
                <w:szCs w:val="20"/>
              </w:rPr>
            </w:pPr>
          </w:p>
          <w:p w:rsidR="00FB4D5E" w:rsidRPr="00FB4D5E" w:rsidRDefault="00FB4D5E" w:rsidP="00B64144">
            <w:pPr>
              <w:pStyle w:val="ListParagraph"/>
              <w:ind w:left="0"/>
              <w:rPr>
                <w:sz w:val="20"/>
                <w:szCs w:val="20"/>
              </w:rPr>
            </w:pPr>
            <w:r w:rsidRPr="00FB4D5E">
              <w:rPr>
                <w:rFonts w:ascii="Arial" w:hAnsi="Arial" w:cs="Arial"/>
                <w:color w:val="000000" w:themeColor="text1"/>
                <w:sz w:val="20"/>
                <w:szCs w:val="20"/>
              </w:rPr>
              <w:t xml:space="preserve">Completed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133F2A">
              <w:rPr>
                <w:sz w:val="20"/>
                <w:szCs w:val="20"/>
              </w:rPr>
            </w:r>
            <w:r w:rsidR="00133F2A">
              <w:rPr>
                <w:sz w:val="20"/>
                <w:szCs w:val="20"/>
              </w:rPr>
              <w:fldChar w:fldCharType="separate"/>
            </w:r>
            <w:r w:rsidRPr="00FB4D5E">
              <w:rPr>
                <w:sz w:val="20"/>
                <w:szCs w:val="20"/>
              </w:rPr>
              <w:fldChar w:fldCharType="end"/>
            </w:r>
          </w:p>
          <w:p w:rsidR="00FB4D5E" w:rsidRPr="00FB4D5E" w:rsidRDefault="00FB4D5E" w:rsidP="00B64144">
            <w:pPr>
              <w:pStyle w:val="ListParagraph"/>
              <w:ind w:left="0"/>
              <w:rPr>
                <w:rFonts w:ascii="Arial" w:hAnsi="Arial" w:cs="Arial"/>
                <w:color w:val="000000" w:themeColor="text1"/>
                <w:sz w:val="20"/>
                <w:szCs w:val="20"/>
              </w:rPr>
            </w:pPr>
          </w:p>
          <w:p w:rsidR="00FB4D5E" w:rsidRPr="00FB4D5E" w:rsidRDefault="00FB4D5E" w:rsidP="00B64144">
            <w:pPr>
              <w:rPr>
                <w:sz w:val="20"/>
                <w:szCs w:val="20"/>
              </w:rPr>
            </w:pPr>
            <w:r w:rsidRPr="00FB4D5E">
              <w:rPr>
                <w:rFonts w:ascii="Arial" w:hAnsi="Arial" w:cs="Arial"/>
                <w:color w:val="000000" w:themeColor="text1"/>
                <w:sz w:val="20"/>
                <w:szCs w:val="20"/>
              </w:rPr>
              <w:t xml:space="preserve">No longer applicable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133F2A">
              <w:rPr>
                <w:sz w:val="20"/>
                <w:szCs w:val="20"/>
              </w:rPr>
            </w:r>
            <w:r w:rsidR="00133F2A">
              <w:rPr>
                <w:sz w:val="20"/>
                <w:szCs w:val="20"/>
              </w:rPr>
              <w:fldChar w:fldCharType="separate"/>
            </w:r>
            <w:r w:rsidRPr="00FB4D5E">
              <w:rPr>
                <w:sz w:val="20"/>
                <w:szCs w:val="20"/>
              </w:rPr>
              <w:fldChar w:fldCharType="end"/>
            </w:r>
          </w:p>
          <w:p w:rsidR="00FB4D5E" w:rsidRPr="00FB4D5E" w:rsidRDefault="00FB4D5E" w:rsidP="00B64144">
            <w:pPr>
              <w:pStyle w:val="ListParagraph"/>
              <w:ind w:left="0"/>
              <w:rPr>
                <w:rFonts w:ascii="Arial" w:hAnsi="Arial" w:cs="Arial"/>
                <w:color w:val="000000" w:themeColor="text1"/>
                <w:sz w:val="20"/>
                <w:szCs w:val="20"/>
              </w:rPr>
            </w:pPr>
          </w:p>
        </w:tc>
        <w:tc>
          <w:tcPr>
            <w:tcW w:w="6480" w:type="dxa"/>
          </w:tcPr>
          <w:p w:rsidR="00FB4D5E" w:rsidRDefault="00305516" w:rsidP="00B64144">
            <w:pPr>
              <w:rPr>
                <w:sz w:val="20"/>
                <w:szCs w:val="20"/>
              </w:rPr>
            </w:pPr>
            <w:r>
              <w:rPr>
                <w:sz w:val="20"/>
                <w:szCs w:val="20"/>
              </w:rPr>
              <w:t xml:space="preserve">Recent changes to the financial aid support for students </w:t>
            </w:r>
            <w:r w:rsidR="00B302F0">
              <w:rPr>
                <w:sz w:val="20"/>
                <w:szCs w:val="20"/>
              </w:rPr>
              <w:t xml:space="preserve">has introduced new problems for </w:t>
            </w:r>
            <w:r w:rsidR="00533519">
              <w:rPr>
                <w:sz w:val="20"/>
                <w:szCs w:val="20"/>
              </w:rPr>
              <w:t xml:space="preserve">the potential success of students in Introductory Chemistry.  </w:t>
            </w:r>
            <w:r w:rsidR="001244E2">
              <w:rPr>
                <w:sz w:val="20"/>
                <w:szCs w:val="20"/>
              </w:rPr>
              <w:t xml:space="preserve">The most basic of the prerequisite courses is no longer subject to financial aid.  </w:t>
            </w:r>
            <w:r w:rsidR="00533519">
              <w:rPr>
                <w:sz w:val="20"/>
                <w:szCs w:val="20"/>
              </w:rPr>
              <w:t>The college is looking for ways to constructively deal with this issue.  In the meantime, the Developmental Math team has incorporated more story problems in this course, many of them slanted toward scientific issues.  We will continue to monitor student success as it relates to this developmental math course.  Success rates will be determined for three groups – those students who do not need the course, those who need it and pass it, and those who need it, but do not take it or pass it.</w:t>
            </w:r>
          </w:p>
          <w:p w:rsidR="00533519" w:rsidRDefault="00533519" w:rsidP="00B64144">
            <w:pPr>
              <w:rPr>
                <w:sz w:val="20"/>
                <w:szCs w:val="20"/>
              </w:rPr>
            </w:pPr>
          </w:p>
          <w:p w:rsidR="00533519" w:rsidRPr="00FB4D5E" w:rsidRDefault="00533519" w:rsidP="00B64144">
            <w:pPr>
              <w:rPr>
                <w:sz w:val="20"/>
                <w:szCs w:val="20"/>
              </w:rPr>
            </w:pPr>
            <w:r>
              <w:rPr>
                <w:sz w:val="20"/>
                <w:szCs w:val="20"/>
              </w:rPr>
              <w:t>We have students in the General Chemistry course who struggle with mathematically related concepts.  These student have passed the prerequisite course, but it isn’t clear they have mastered the concepts.  Internally, we are exploring ways to counter this problem.</w:t>
            </w:r>
          </w:p>
          <w:p w:rsidR="00FB4D5E" w:rsidRPr="00FB4D5E" w:rsidRDefault="00FB4D5E" w:rsidP="00B64144">
            <w:pPr>
              <w:rPr>
                <w:sz w:val="20"/>
                <w:szCs w:val="20"/>
              </w:rPr>
            </w:pPr>
          </w:p>
        </w:tc>
      </w:tr>
      <w:tr w:rsidR="00FB4D5E" w:rsidRPr="00FB4D5E" w:rsidTr="00B64144">
        <w:tc>
          <w:tcPr>
            <w:tcW w:w="3708" w:type="dxa"/>
          </w:tcPr>
          <w:p w:rsidR="00FB4D5E" w:rsidRPr="00FB4D5E" w:rsidRDefault="00FB4D5E" w:rsidP="00B64144">
            <w:pPr>
              <w:autoSpaceDE w:val="0"/>
              <w:autoSpaceDN w:val="0"/>
              <w:adjustRightInd w:val="0"/>
              <w:rPr>
                <w:rFonts w:ascii="Arial" w:hAnsi="Arial" w:cs="Arial"/>
                <w:color w:val="000000"/>
                <w:sz w:val="20"/>
                <w:szCs w:val="20"/>
              </w:rPr>
            </w:pPr>
            <w:r w:rsidRPr="00FB4D5E">
              <w:rPr>
                <w:rFonts w:ascii="Arial" w:hAnsi="Arial" w:cs="Arial"/>
                <w:bCs/>
                <w:color w:val="000000"/>
                <w:sz w:val="20"/>
                <w:szCs w:val="20"/>
              </w:rPr>
              <w:lastRenderedPageBreak/>
              <w:t>The Geology component of the department lacks visibility, and there is some indication that this may have impacted enrollment.  The chair indicated that increasing visibility for Geology has been a concern since he took over leadership of the department, and it is recommended that the department move forward with efforts to once again incorporate Geology into the department name and prioritize other appropriate efforts to increase the visibility of the Geology segment of the department.</w:t>
            </w:r>
          </w:p>
          <w:p w:rsidR="00FB4D5E" w:rsidRPr="00FB4D5E" w:rsidRDefault="00FB4D5E" w:rsidP="00B64144">
            <w:pPr>
              <w:pStyle w:val="ListParagraph"/>
              <w:ind w:left="0"/>
              <w:rPr>
                <w:rFonts w:ascii="Arial" w:hAnsi="Arial" w:cs="Arial"/>
                <w:color w:val="000000" w:themeColor="text1"/>
                <w:sz w:val="20"/>
                <w:szCs w:val="20"/>
              </w:rPr>
            </w:pPr>
          </w:p>
        </w:tc>
        <w:tc>
          <w:tcPr>
            <w:tcW w:w="2700" w:type="dxa"/>
          </w:tcPr>
          <w:p w:rsidR="00FB4D5E" w:rsidRPr="00FB4D5E" w:rsidRDefault="00FB4D5E" w:rsidP="00B64144">
            <w:pPr>
              <w:pStyle w:val="ListParagraph"/>
              <w:ind w:left="0"/>
              <w:rPr>
                <w:rFonts w:ascii="Arial" w:hAnsi="Arial" w:cs="Arial"/>
                <w:color w:val="000000" w:themeColor="text1"/>
                <w:sz w:val="20"/>
                <w:szCs w:val="20"/>
              </w:rPr>
            </w:pPr>
          </w:p>
          <w:p w:rsidR="00FB4D5E" w:rsidRPr="00FB4D5E" w:rsidRDefault="00FB4D5E" w:rsidP="00B64144">
            <w:pPr>
              <w:pStyle w:val="ListParagraph"/>
              <w:ind w:left="0"/>
              <w:rPr>
                <w:rFonts w:ascii="Arial" w:hAnsi="Arial" w:cs="Arial"/>
                <w:color w:val="000000" w:themeColor="text1"/>
                <w:sz w:val="20"/>
                <w:szCs w:val="20"/>
              </w:rPr>
            </w:pPr>
            <w:r w:rsidRPr="00FB4D5E">
              <w:rPr>
                <w:rFonts w:ascii="Arial" w:hAnsi="Arial" w:cs="Arial"/>
                <w:color w:val="000000" w:themeColor="text1"/>
                <w:sz w:val="20"/>
                <w:szCs w:val="20"/>
              </w:rPr>
              <w:t xml:space="preserve">In progress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133F2A">
              <w:rPr>
                <w:sz w:val="20"/>
                <w:szCs w:val="20"/>
              </w:rPr>
            </w:r>
            <w:r w:rsidR="00133F2A">
              <w:rPr>
                <w:sz w:val="20"/>
                <w:szCs w:val="20"/>
              </w:rPr>
              <w:fldChar w:fldCharType="separate"/>
            </w:r>
            <w:r w:rsidRPr="00FB4D5E">
              <w:rPr>
                <w:sz w:val="20"/>
                <w:szCs w:val="20"/>
              </w:rPr>
              <w:fldChar w:fldCharType="end"/>
            </w:r>
          </w:p>
          <w:p w:rsidR="00FB4D5E" w:rsidRPr="00FB4D5E" w:rsidRDefault="00FB4D5E" w:rsidP="00B64144">
            <w:pPr>
              <w:pStyle w:val="ListParagraph"/>
              <w:ind w:left="0"/>
              <w:rPr>
                <w:rFonts w:ascii="Arial" w:hAnsi="Arial" w:cs="Arial"/>
                <w:color w:val="000000" w:themeColor="text1"/>
                <w:sz w:val="20"/>
                <w:szCs w:val="20"/>
              </w:rPr>
            </w:pPr>
          </w:p>
          <w:p w:rsidR="00FB4D5E" w:rsidRPr="00FB4D5E" w:rsidRDefault="00FB4D5E" w:rsidP="00B64144">
            <w:pPr>
              <w:pStyle w:val="ListParagraph"/>
              <w:ind w:left="0"/>
              <w:rPr>
                <w:sz w:val="20"/>
                <w:szCs w:val="20"/>
              </w:rPr>
            </w:pPr>
            <w:r w:rsidRPr="00FB4D5E">
              <w:rPr>
                <w:rFonts w:ascii="Arial" w:hAnsi="Arial" w:cs="Arial"/>
                <w:color w:val="000000" w:themeColor="text1"/>
                <w:sz w:val="20"/>
                <w:szCs w:val="20"/>
              </w:rPr>
              <w:t xml:space="preserve">Completed </w:t>
            </w:r>
            <w:r w:rsidRPr="00FB4D5E">
              <w:rPr>
                <w:sz w:val="20"/>
                <w:szCs w:val="20"/>
              </w:rPr>
              <w:fldChar w:fldCharType="begin">
                <w:ffData>
                  <w:name w:val=""/>
                  <w:enabled/>
                  <w:calcOnExit w:val="0"/>
                  <w:checkBox>
                    <w:sizeAuto/>
                    <w:default w:val="1"/>
                  </w:checkBox>
                </w:ffData>
              </w:fldChar>
            </w:r>
            <w:r w:rsidRPr="00FB4D5E">
              <w:rPr>
                <w:sz w:val="20"/>
                <w:szCs w:val="20"/>
              </w:rPr>
              <w:instrText xml:space="preserve"> FORMCHECKBOX </w:instrText>
            </w:r>
            <w:r w:rsidR="00133F2A">
              <w:rPr>
                <w:sz w:val="20"/>
                <w:szCs w:val="20"/>
              </w:rPr>
            </w:r>
            <w:r w:rsidR="00133F2A">
              <w:rPr>
                <w:sz w:val="20"/>
                <w:szCs w:val="20"/>
              </w:rPr>
              <w:fldChar w:fldCharType="separate"/>
            </w:r>
            <w:r w:rsidRPr="00FB4D5E">
              <w:rPr>
                <w:sz w:val="20"/>
                <w:szCs w:val="20"/>
              </w:rPr>
              <w:fldChar w:fldCharType="end"/>
            </w:r>
          </w:p>
          <w:p w:rsidR="00FB4D5E" w:rsidRPr="00FB4D5E" w:rsidRDefault="00FB4D5E" w:rsidP="00B64144">
            <w:pPr>
              <w:pStyle w:val="ListParagraph"/>
              <w:ind w:left="0"/>
              <w:rPr>
                <w:rFonts w:ascii="Arial" w:hAnsi="Arial" w:cs="Arial"/>
                <w:color w:val="000000" w:themeColor="text1"/>
                <w:sz w:val="20"/>
                <w:szCs w:val="20"/>
              </w:rPr>
            </w:pPr>
          </w:p>
          <w:p w:rsidR="00FB4D5E" w:rsidRPr="00FB4D5E" w:rsidRDefault="00FB4D5E" w:rsidP="00B64144">
            <w:pPr>
              <w:rPr>
                <w:sz w:val="20"/>
                <w:szCs w:val="20"/>
              </w:rPr>
            </w:pPr>
            <w:r w:rsidRPr="00FB4D5E">
              <w:rPr>
                <w:rFonts w:ascii="Arial" w:hAnsi="Arial" w:cs="Arial"/>
                <w:color w:val="000000" w:themeColor="text1"/>
                <w:sz w:val="20"/>
                <w:szCs w:val="20"/>
              </w:rPr>
              <w:t xml:space="preserve">No longer applicable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133F2A">
              <w:rPr>
                <w:sz w:val="20"/>
                <w:szCs w:val="20"/>
              </w:rPr>
            </w:r>
            <w:r w:rsidR="00133F2A">
              <w:rPr>
                <w:sz w:val="20"/>
                <w:szCs w:val="20"/>
              </w:rPr>
              <w:fldChar w:fldCharType="separate"/>
            </w:r>
            <w:r w:rsidRPr="00FB4D5E">
              <w:rPr>
                <w:sz w:val="20"/>
                <w:szCs w:val="20"/>
              </w:rPr>
              <w:fldChar w:fldCharType="end"/>
            </w:r>
          </w:p>
          <w:p w:rsidR="00FB4D5E" w:rsidRPr="00FB4D5E" w:rsidRDefault="00FB4D5E" w:rsidP="00B64144">
            <w:pPr>
              <w:pStyle w:val="ListParagraph"/>
              <w:ind w:left="0"/>
              <w:rPr>
                <w:rFonts w:ascii="Arial" w:hAnsi="Arial" w:cs="Arial"/>
                <w:color w:val="000000" w:themeColor="text1"/>
                <w:sz w:val="20"/>
                <w:szCs w:val="20"/>
              </w:rPr>
            </w:pPr>
          </w:p>
        </w:tc>
        <w:tc>
          <w:tcPr>
            <w:tcW w:w="6480" w:type="dxa"/>
          </w:tcPr>
          <w:p w:rsidR="00FB4D5E" w:rsidRPr="00FB4D5E" w:rsidRDefault="00FB4D5E" w:rsidP="00B64144">
            <w:pPr>
              <w:rPr>
                <w:sz w:val="20"/>
                <w:szCs w:val="20"/>
              </w:rPr>
            </w:pPr>
            <w:r w:rsidRPr="00FB4D5E">
              <w:rPr>
                <w:sz w:val="20"/>
                <w:szCs w:val="20"/>
              </w:rPr>
              <w:t>This is now complete.  Geology is satisfied with the ability for outside entities, including potential students, to find them through the college web site.</w:t>
            </w:r>
          </w:p>
        </w:tc>
      </w:tr>
      <w:tr w:rsidR="0055333B" w:rsidRPr="00FB4D5E" w:rsidTr="00B64144">
        <w:tc>
          <w:tcPr>
            <w:tcW w:w="3708" w:type="dxa"/>
          </w:tcPr>
          <w:p w:rsidR="0055333B" w:rsidRPr="00FB4D5E" w:rsidRDefault="0055333B" w:rsidP="0055333B">
            <w:pPr>
              <w:autoSpaceDE w:val="0"/>
              <w:autoSpaceDN w:val="0"/>
              <w:adjustRightInd w:val="0"/>
              <w:rPr>
                <w:rFonts w:ascii="Arial" w:hAnsi="Arial" w:cs="Arial"/>
                <w:color w:val="000000"/>
                <w:sz w:val="20"/>
                <w:szCs w:val="20"/>
              </w:rPr>
            </w:pPr>
            <w:r w:rsidRPr="00FB4D5E">
              <w:rPr>
                <w:rFonts w:ascii="Arial" w:hAnsi="Arial" w:cs="Arial"/>
                <w:bCs/>
                <w:color w:val="000000"/>
                <w:sz w:val="20"/>
                <w:szCs w:val="20"/>
              </w:rPr>
              <w:t xml:space="preserve">It was noted that the program outcomes that the department is using are the ones that were used when Chemistry was merely an emphasis area under Liberal Arts and Sciences.  Now that Chemistry is being treated as a stand-alone degree program, it would be appropriate to develop some program outcomes that are targeted for Chemistry.  The existing outcomes may be kept if that is the department’s wish, but they should be supplemented </w:t>
            </w:r>
            <w:r w:rsidRPr="00FB4D5E">
              <w:rPr>
                <w:rFonts w:ascii="Arial" w:hAnsi="Arial" w:cs="Arial"/>
                <w:bCs/>
                <w:color w:val="000000"/>
                <w:sz w:val="20"/>
                <w:szCs w:val="20"/>
              </w:rPr>
              <w:lastRenderedPageBreak/>
              <w:t xml:space="preserve">by outcomes that distinguish Chemistry from other degree programs.  It is recommended that the department work with the division learning liaison to develop effective and measurable outcomes. </w:t>
            </w:r>
          </w:p>
          <w:p w:rsidR="0055333B" w:rsidRPr="00FB4D5E" w:rsidRDefault="0055333B" w:rsidP="0055333B">
            <w:pPr>
              <w:pStyle w:val="ListParagraph"/>
              <w:ind w:left="0"/>
              <w:rPr>
                <w:rFonts w:ascii="Arial" w:hAnsi="Arial" w:cs="Arial"/>
                <w:color w:val="000000" w:themeColor="text1"/>
                <w:sz w:val="20"/>
                <w:szCs w:val="20"/>
              </w:rPr>
            </w:pPr>
          </w:p>
        </w:tc>
        <w:tc>
          <w:tcPr>
            <w:tcW w:w="2700" w:type="dxa"/>
          </w:tcPr>
          <w:p w:rsidR="0055333B" w:rsidRPr="00FB4D5E" w:rsidRDefault="0055333B" w:rsidP="0055333B">
            <w:pPr>
              <w:pStyle w:val="ListParagraph"/>
              <w:ind w:left="0"/>
              <w:rPr>
                <w:rFonts w:ascii="Arial" w:hAnsi="Arial" w:cs="Arial"/>
                <w:color w:val="000000" w:themeColor="text1"/>
                <w:sz w:val="20"/>
                <w:szCs w:val="20"/>
              </w:rPr>
            </w:pPr>
          </w:p>
          <w:p w:rsidR="0055333B" w:rsidRPr="0055333B" w:rsidRDefault="0055333B" w:rsidP="0055333B">
            <w:pPr>
              <w:rPr>
                <w:sz w:val="20"/>
                <w:szCs w:val="20"/>
              </w:rPr>
            </w:pPr>
            <w:r w:rsidRPr="00FB4D5E">
              <w:rPr>
                <w:rFonts w:ascii="Arial" w:hAnsi="Arial" w:cs="Arial"/>
                <w:color w:val="000000" w:themeColor="text1"/>
                <w:sz w:val="20"/>
                <w:szCs w:val="20"/>
              </w:rPr>
              <w:t xml:space="preserve">In progress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133F2A">
              <w:rPr>
                <w:sz w:val="20"/>
                <w:szCs w:val="20"/>
              </w:rPr>
            </w:r>
            <w:r w:rsidR="00133F2A">
              <w:rPr>
                <w:sz w:val="20"/>
                <w:szCs w:val="20"/>
              </w:rPr>
              <w:fldChar w:fldCharType="separate"/>
            </w:r>
            <w:r w:rsidRPr="00FB4D5E">
              <w:rPr>
                <w:sz w:val="20"/>
                <w:szCs w:val="20"/>
              </w:rPr>
              <w:fldChar w:fldCharType="end"/>
            </w:r>
          </w:p>
          <w:p w:rsidR="0055333B" w:rsidRPr="00FB4D5E" w:rsidRDefault="0055333B" w:rsidP="0055333B">
            <w:pPr>
              <w:pStyle w:val="ListParagraph"/>
              <w:ind w:left="0"/>
              <w:rPr>
                <w:rFonts w:ascii="Arial" w:hAnsi="Arial" w:cs="Arial"/>
                <w:color w:val="000000" w:themeColor="text1"/>
                <w:sz w:val="20"/>
                <w:szCs w:val="20"/>
              </w:rPr>
            </w:pPr>
          </w:p>
          <w:p w:rsidR="0055333B" w:rsidRPr="00FB4D5E" w:rsidRDefault="0055333B" w:rsidP="0055333B">
            <w:pPr>
              <w:pStyle w:val="ListParagraph"/>
              <w:ind w:left="0"/>
              <w:rPr>
                <w:sz w:val="20"/>
                <w:szCs w:val="20"/>
              </w:rPr>
            </w:pPr>
            <w:r w:rsidRPr="00FB4D5E">
              <w:rPr>
                <w:rFonts w:ascii="Arial" w:hAnsi="Arial" w:cs="Arial"/>
                <w:color w:val="000000" w:themeColor="text1"/>
                <w:sz w:val="20"/>
                <w:szCs w:val="20"/>
              </w:rPr>
              <w:t xml:space="preserve">Completed </w:t>
            </w:r>
            <w:r w:rsidRPr="00FB4D5E">
              <w:rPr>
                <w:sz w:val="20"/>
                <w:szCs w:val="20"/>
              </w:rPr>
              <w:fldChar w:fldCharType="begin">
                <w:ffData>
                  <w:name w:val=""/>
                  <w:enabled/>
                  <w:calcOnExit w:val="0"/>
                  <w:checkBox>
                    <w:sizeAuto/>
                    <w:default w:val="1"/>
                  </w:checkBox>
                </w:ffData>
              </w:fldChar>
            </w:r>
            <w:r w:rsidRPr="00FB4D5E">
              <w:rPr>
                <w:sz w:val="20"/>
                <w:szCs w:val="20"/>
              </w:rPr>
              <w:instrText xml:space="preserve"> FORMCHECKBOX </w:instrText>
            </w:r>
            <w:r w:rsidR="00133F2A">
              <w:rPr>
                <w:sz w:val="20"/>
                <w:szCs w:val="20"/>
              </w:rPr>
            </w:r>
            <w:r w:rsidR="00133F2A">
              <w:rPr>
                <w:sz w:val="20"/>
                <w:szCs w:val="20"/>
              </w:rPr>
              <w:fldChar w:fldCharType="separate"/>
            </w:r>
            <w:r w:rsidRPr="00FB4D5E">
              <w:rPr>
                <w:sz w:val="20"/>
                <w:szCs w:val="20"/>
              </w:rPr>
              <w:fldChar w:fldCharType="end"/>
            </w:r>
          </w:p>
          <w:p w:rsidR="0055333B" w:rsidRPr="00FB4D5E" w:rsidRDefault="0055333B" w:rsidP="0055333B">
            <w:pPr>
              <w:pStyle w:val="ListParagraph"/>
              <w:ind w:left="0"/>
              <w:rPr>
                <w:rFonts w:ascii="Arial" w:hAnsi="Arial" w:cs="Arial"/>
                <w:color w:val="000000" w:themeColor="text1"/>
                <w:sz w:val="20"/>
                <w:szCs w:val="20"/>
              </w:rPr>
            </w:pPr>
          </w:p>
          <w:p w:rsidR="0055333B" w:rsidRPr="00FB4D5E" w:rsidRDefault="0055333B" w:rsidP="0055333B">
            <w:pPr>
              <w:rPr>
                <w:sz w:val="20"/>
                <w:szCs w:val="20"/>
              </w:rPr>
            </w:pPr>
            <w:r w:rsidRPr="00FB4D5E">
              <w:rPr>
                <w:rFonts w:ascii="Arial" w:hAnsi="Arial" w:cs="Arial"/>
                <w:color w:val="000000" w:themeColor="text1"/>
                <w:sz w:val="20"/>
                <w:szCs w:val="20"/>
              </w:rPr>
              <w:t xml:space="preserve">No longer applicable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133F2A">
              <w:rPr>
                <w:sz w:val="20"/>
                <w:szCs w:val="20"/>
              </w:rPr>
            </w:r>
            <w:r w:rsidR="00133F2A">
              <w:rPr>
                <w:sz w:val="20"/>
                <w:szCs w:val="20"/>
              </w:rPr>
              <w:fldChar w:fldCharType="separate"/>
            </w:r>
            <w:r w:rsidRPr="00FB4D5E">
              <w:rPr>
                <w:sz w:val="20"/>
                <w:szCs w:val="20"/>
              </w:rPr>
              <w:fldChar w:fldCharType="end"/>
            </w:r>
          </w:p>
          <w:p w:rsidR="0055333B" w:rsidRPr="00FB4D5E" w:rsidRDefault="0055333B" w:rsidP="0055333B">
            <w:pPr>
              <w:pStyle w:val="ListParagraph"/>
              <w:ind w:left="0"/>
              <w:rPr>
                <w:rFonts w:ascii="Arial" w:hAnsi="Arial" w:cs="Arial"/>
                <w:color w:val="000000" w:themeColor="text1"/>
                <w:sz w:val="20"/>
                <w:szCs w:val="20"/>
              </w:rPr>
            </w:pPr>
          </w:p>
        </w:tc>
        <w:tc>
          <w:tcPr>
            <w:tcW w:w="6480" w:type="dxa"/>
          </w:tcPr>
          <w:p w:rsidR="0055333B" w:rsidRPr="00FB4D5E" w:rsidRDefault="0055333B" w:rsidP="00A11DB1">
            <w:pPr>
              <w:rPr>
                <w:sz w:val="20"/>
                <w:szCs w:val="20"/>
              </w:rPr>
            </w:pPr>
            <w:r>
              <w:rPr>
                <w:sz w:val="20"/>
                <w:szCs w:val="20"/>
              </w:rPr>
              <w:t xml:space="preserve">Program outcomes specific to chemistry have been created.  </w:t>
            </w:r>
            <w:r w:rsidR="001D69E9">
              <w:rPr>
                <w:sz w:val="20"/>
                <w:szCs w:val="20"/>
              </w:rPr>
              <w:t xml:space="preserve">Because this is a new set of outcomes, </w:t>
            </w:r>
            <w:r w:rsidR="00A11DB1">
              <w:rPr>
                <w:sz w:val="20"/>
                <w:szCs w:val="20"/>
              </w:rPr>
              <w:t xml:space="preserve">assessment </w:t>
            </w:r>
            <w:bookmarkStart w:id="1" w:name="_GoBack"/>
            <w:bookmarkEnd w:id="1"/>
            <w:r w:rsidR="001D69E9">
              <w:rPr>
                <w:sz w:val="20"/>
                <w:szCs w:val="20"/>
              </w:rPr>
              <w:t xml:space="preserve">data will be collected in the </w:t>
            </w:r>
            <w:r w:rsidR="00A11DB1">
              <w:rPr>
                <w:sz w:val="20"/>
                <w:szCs w:val="20"/>
              </w:rPr>
              <w:t>coming year</w:t>
            </w:r>
            <w:r w:rsidR="001D69E9">
              <w:rPr>
                <w:sz w:val="20"/>
                <w:szCs w:val="20"/>
              </w:rPr>
              <w:t>.</w:t>
            </w:r>
          </w:p>
        </w:tc>
      </w:tr>
      <w:tr w:rsidR="00FB4D5E" w:rsidRPr="00FB4D5E" w:rsidTr="00B64144">
        <w:tc>
          <w:tcPr>
            <w:tcW w:w="3708" w:type="dxa"/>
          </w:tcPr>
          <w:p w:rsidR="00FB4D5E" w:rsidRPr="00FB4D5E" w:rsidRDefault="00FB4D5E" w:rsidP="00B64144">
            <w:pPr>
              <w:rPr>
                <w:rFonts w:ascii="Arial" w:hAnsi="Arial" w:cs="Arial"/>
                <w:sz w:val="20"/>
                <w:szCs w:val="20"/>
              </w:rPr>
            </w:pPr>
            <w:r w:rsidRPr="00FB4D5E">
              <w:rPr>
                <w:rFonts w:ascii="Arial" w:hAnsi="Arial" w:cs="Arial"/>
                <w:color w:val="000000"/>
                <w:sz w:val="20"/>
                <w:szCs w:val="20"/>
              </w:rPr>
              <w:lastRenderedPageBreak/>
              <w:t>The recommendations from the previous Program Review were not addressed in the current self-study – the department should prioritize work on these recommendations from the last Program Review, as summarized below:</w:t>
            </w:r>
          </w:p>
          <w:p w:rsidR="00FB4D5E" w:rsidRPr="00FB4D5E" w:rsidRDefault="00FB4D5E" w:rsidP="00B64144">
            <w:pPr>
              <w:pStyle w:val="ListParagraph"/>
              <w:rPr>
                <w:rFonts w:ascii="Arial" w:hAnsi="Arial" w:cs="Arial"/>
                <w:color w:val="000000"/>
                <w:sz w:val="20"/>
                <w:szCs w:val="20"/>
              </w:rPr>
            </w:pPr>
          </w:p>
          <w:p w:rsidR="00FB4D5E" w:rsidRPr="00FB4D5E" w:rsidRDefault="00FB4D5E" w:rsidP="00B64144">
            <w:pPr>
              <w:widowControl w:val="0"/>
              <w:autoSpaceDE w:val="0"/>
              <w:autoSpaceDN w:val="0"/>
              <w:adjustRightInd w:val="0"/>
              <w:ind w:left="720"/>
              <w:rPr>
                <w:rFonts w:ascii="Arial" w:hAnsi="Arial" w:cs="Arial"/>
                <w:color w:val="000000"/>
                <w:sz w:val="20"/>
                <w:szCs w:val="20"/>
              </w:rPr>
            </w:pPr>
            <w:r w:rsidRPr="00FB4D5E">
              <w:rPr>
                <w:rFonts w:ascii="Arial" w:hAnsi="Arial" w:cs="Arial"/>
                <w:b/>
                <w:bCs/>
                <w:color w:val="000000"/>
                <w:sz w:val="20"/>
                <w:szCs w:val="20"/>
              </w:rPr>
              <w:t>Recommendations for Action</w:t>
            </w:r>
            <w:r w:rsidRPr="00FB4D5E">
              <w:rPr>
                <w:rFonts w:ascii="Arial" w:hAnsi="Arial" w:cs="Arial"/>
                <w:color w:val="000000"/>
                <w:sz w:val="20"/>
                <w:szCs w:val="20"/>
              </w:rPr>
              <w:t>:</w:t>
            </w:r>
          </w:p>
          <w:p w:rsidR="00FB4D5E" w:rsidRPr="00FB4D5E" w:rsidRDefault="00FB4D5E" w:rsidP="00B64144">
            <w:pPr>
              <w:widowControl w:val="0"/>
              <w:autoSpaceDE w:val="0"/>
              <w:autoSpaceDN w:val="0"/>
              <w:adjustRightInd w:val="0"/>
              <w:rPr>
                <w:rFonts w:ascii="Arial" w:hAnsi="Arial" w:cs="Arial"/>
                <w:color w:val="000000"/>
                <w:sz w:val="20"/>
                <w:szCs w:val="20"/>
              </w:rPr>
            </w:pPr>
          </w:p>
          <w:p w:rsidR="00FB4D5E" w:rsidRDefault="00FB4D5E" w:rsidP="00FB4D5E">
            <w:pPr>
              <w:pStyle w:val="ListParagraph"/>
              <w:widowControl w:val="0"/>
              <w:numPr>
                <w:ilvl w:val="0"/>
                <w:numId w:val="26"/>
              </w:numPr>
              <w:autoSpaceDE w:val="0"/>
              <w:autoSpaceDN w:val="0"/>
              <w:adjustRightInd w:val="0"/>
              <w:ind w:left="1050"/>
              <w:rPr>
                <w:rFonts w:ascii="Arial" w:hAnsi="Arial" w:cs="Arial"/>
                <w:color w:val="000000"/>
                <w:sz w:val="20"/>
                <w:szCs w:val="20"/>
              </w:rPr>
            </w:pPr>
            <w:r w:rsidRPr="00FB4D5E">
              <w:rPr>
                <w:rFonts w:ascii="Arial" w:hAnsi="Arial" w:cs="Arial"/>
                <w:color w:val="000000"/>
                <w:sz w:val="20"/>
                <w:szCs w:val="20"/>
              </w:rPr>
              <w:t xml:space="preserve">Develop evidence of student learning outcomes attainment and share the analyses with associated LHS departments to identify improvement targets </w:t>
            </w:r>
          </w:p>
          <w:p w:rsidR="00407AC7" w:rsidRDefault="00407AC7" w:rsidP="00407AC7">
            <w:pPr>
              <w:widowControl w:val="0"/>
              <w:autoSpaceDE w:val="0"/>
              <w:autoSpaceDN w:val="0"/>
              <w:adjustRightInd w:val="0"/>
              <w:ind w:left="690"/>
              <w:rPr>
                <w:rFonts w:ascii="Arial" w:hAnsi="Arial" w:cs="Arial"/>
                <w:color w:val="000000"/>
                <w:sz w:val="20"/>
                <w:szCs w:val="20"/>
              </w:rPr>
            </w:pPr>
          </w:p>
          <w:p w:rsidR="00407AC7" w:rsidRDefault="00407AC7" w:rsidP="00407AC7">
            <w:pPr>
              <w:widowControl w:val="0"/>
              <w:autoSpaceDE w:val="0"/>
              <w:autoSpaceDN w:val="0"/>
              <w:adjustRightInd w:val="0"/>
              <w:ind w:left="690"/>
              <w:rPr>
                <w:rFonts w:ascii="Arial" w:hAnsi="Arial" w:cs="Arial"/>
                <w:color w:val="000000"/>
                <w:sz w:val="20"/>
                <w:szCs w:val="20"/>
              </w:rPr>
            </w:pPr>
          </w:p>
          <w:p w:rsidR="00407AC7" w:rsidRDefault="00407AC7" w:rsidP="00407AC7">
            <w:pPr>
              <w:widowControl w:val="0"/>
              <w:autoSpaceDE w:val="0"/>
              <w:autoSpaceDN w:val="0"/>
              <w:adjustRightInd w:val="0"/>
              <w:ind w:left="690"/>
              <w:rPr>
                <w:rFonts w:ascii="Arial" w:hAnsi="Arial" w:cs="Arial"/>
                <w:color w:val="000000"/>
                <w:sz w:val="20"/>
                <w:szCs w:val="20"/>
              </w:rPr>
            </w:pPr>
          </w:p>
          <w:p w:rsidR="00C57BCF" w:rsidRDefault="00FB4D5E" w:rsidP="00C57BCF">
            <w:pPr>
              <w:pStyle w:val="ListParagraph"/>
              <w:widowControl w:val="0"/>
              <w:numPr>
                <w:ilvl w:val="0"/>
                <w:numId w:val="26"/>
              </w:numPr>
              <w:autoSpaceDE w:val="0"/>
              <w:autoSpaceDN w:val="0"/>
              <w:adjustRightInd w:val="0"/>
              <w:ind w:left="1051"/>
              <w:contextualSpacing w:val="0"/>
              <w:rPr>
                <w:rFonts w:ascii="Arial" w:hAnsi="Arial" w:cs="Arial"/>
                <w:color w:val="000000"/>
                <w:sz w:val="20"/>
                <w:szCs w:val="20"/>
              </w:rPr>
            </w:pPr>
            <w:r w:rsidRPr="00C57BCF">
              <w:rPr>
                <w:rFonts w:ascii="Arial" w:hAnsi="Arial" w:cs="Arial"/>
                <w:color w:val="000000"/>
                <w:sz w:val="20"/>
                <w:szCs w:val="20"/>
              </w:rPr>
              <w:t xml:space="preserve">Enlist the support of RAR to investigate the promise of prerequisites in courses where student success is compromised due to </w:t>
            </w:r>
            <w:r w:rsidR="00B302F0" w:rsidRPr="00C57BCF">
              <w:rPr>
                <w:rFonts w:ascii="Arial" w:hAnsi="Arial" w:cs="Arial"/>
                <w:color w:val="000000"/>
                <w:sz w:val="20"/>
                <w:szCs w:val="20"/>
              </w:rPr>
              <w:t>perceptions of inadequate</w:t>
            </w:r>
            <w:r w:rsidR="00C57BCF" w:rsidRPr="00C57BCF">
              <w:rPr>
                <w:rFonts w:ascii="Arial" w:hAnsi="Arial" w:cs="Arial"/>
                <w:color w:val="000000"/>
                <w:sz w:val="20"/>
                <w:szCs w:val="20"/>
              </w:rPr>
              <w:t xml:space="preserve"> </w:t>
            </w:r>
            <w:r w:rsidR="00B302F0" w:rsidRPr="00C57BCF">
              <w:rPr>
                <w:rFonts w:ascii="Arial" w:hAnsi="Arial" w:cs="Arial"/>
                <w:color w:val="000000"/>
                <w:sz w:val="20"/>
                <w:szCs w:val="20"/>
              </w:rPr>
              <w:t xml:space="preserve">academic </w:t>
            </w:r>
            <w:r w:rsidR="00C57BCF" w:rsidRPr="00C57BCF">
              <w:rPr>
                <w:rFonts w:ascii="Arial" w:hAnsi="Arial" w:cs="Arial"/>
                <w:color w:val="000000"/>
                <w:sz w:val="20"/>
                <w:szCs w:val="20"/>
              </w:rPr>
              <w:t>background.</w:t>
            </w:r>
          </w:p>
          <w:p w:rsidR="00FB4D5E" w:rsidRPr="00C57BCF" w:rsidRDefault="00FB4D5E" w:rsidP="00C57BCF">
            <w:pPr>
              <w:pStyle w:val="ListParagraph"/>
              <w:widowControl w:val="0"/>
              <w:numPr>
                <w:ilvl w:val="0"/>
                <w:numId w:val="26"/>
              </w:numPr>
              <w:autoSpaceDE w:val="0"/>
              <w:autoSpaceDN w:val="0"/>
              <w:adjustRightInd w:val="0"/>
              <w:spacing w:before="1800"/>
              <w:ind w:left="1051"/>
              <w:contextualSpacing w:val="0"/>
              <w:rPr>
                <w:rFonts w:ascii="Arial" w:hAnsi="Arial" w:cs="Arial"/>
                <w:color w:val="000000"/>
                <w:sz w:val="20"/>
                <w:szCs w:val="20"/>
              </w:rPr>
            </w:pPr>
            <w:r w:rsidRPr="00C57BCF">
              <w:rPr>
                <w:rFonts w:ascii="Arial" w:hAnsi="Arial" w:cs="Arial"/>
                <w:color w:val="000000"/>
                <w:sz w:val="20"/>
                <w:szCs w:val="20"/>
              </w:rPr>
              <w:lastRenderedPageBreak/>
              <w:t>Validate the department’s assertion there is a difference in student performance based on instruction by full-time versus part-time faculty through an RAR-supported study</w:t>
            </w:r>
          </w:p>
          <w:p w:rsidR="00FB4D5E" w:rsidRPr="00FB4D5E" w:rsidRDefault="00FB4D5E" w:rsidP="00BD5614">
            <w:pPr>
              <w:pStyle w:val="ListParagraph"/>
              <w:widowControl w:val="0"/>
              <w:numPr>
                <w:ilvl w:val="0"/>
                <w:numId w:val="26"/>
              </w:numPr>
              <w:autoSpaceDE w:val="0"/>
              <w:autoSpaceDN w:val="0"/>
              <w:adjustRightInd w:val="0"/>
              <w:ind w:left="1051"/>
              <w:contextualSpacing w:val="0"/>
              <w:rPr>
                <w:rFonts w:ascii="Arial" w:hAnsi="Arial" w:cs="Arial"/>
                <w:color w:val="000000"/>
                <w:sz w:val="20"/>
                <w:szCs w:val="20"/>
              </w:rPr>
            </w:pPr>
            <w:r w:rsidRPr="00FB4D5E">
              <w:rPr>
                <w:rFonts w:ascii="Arial" w:hAnsi="Arial" w:cs="Arial"/>
                <w:color w:val="000000"/>
                <w:sz w:val="20"/>
                <w:szCs w:val="20"/>
              </w:rPr>
              <w:t>Conduct a needs analysis to identify part-time faculty development opportunities; deliver workshops and other training as appropriate.</w:t>
            </w:r>
          </w:p>
          <w:p w:rsidR="00FB4D5E" w:rsidRPr="00FB4D5E" w:rsidRDefault="00FB4D5E" w:rsidP="00FB4D5E">
            <w:pPr>
              <w:pStyle w:val="ListParagraph"/>
              <w:widowControl w:val="0"/>
              <w:numPr>
                <w:ilvl w:val="0"/>
                <w:numId w:val="26"/>
              </w:numPr>
              <w:autoSpaceDE w:val="0"/>
              <w:autoSpaceDN w:val="0"/>
              <w:adjustRightInd w:val="0"/>
              <w:ind w:left="1050"/>
              <w:rPr>
                <w:rFonts w:ascii="Arial" w:hAnsi="Arial" w:cs="Arial"/>
                <w:color w:val="000000"/>
                <w:sz w:val="20"/>
                <w:szCs w:val="20"/>
              </w:rPr>
            </w:pPr>
            <w:r w:rsidRPr="00FB4D5E">
              <w:rPr>
                <w:rFonts w:ascii="Arial" w:hAnsi="Arial" w:cs="Arial"/>
                <w:color w:val="000000"/>
                <w:sz w:val="20"/>
                <w:szCs w:val="20"/>
              </w:rPr>
              <w:t>Evaluate and pilot alternative modes of lecture/lab delivery through hybrid course formats and distance learning opportunities (off campus locations, too) as new models emerge</w:t>
            </w:r>
          </w:p>
          <w:p w:rsidR="00FB4D5E" w:rsidRPr="00FB4D5E" w:rsidRDefault="00FB4D5E" w:rsidP="00FB4D5E">
            <w:pPr>
              <w:pStyle w:val="ListParagraph"/>
              <w:widowControl w:val="0"/>
              <w:numPr>
                <w:ilvl w:val="1"/>
                <w:numId w:val="26"/>
              </w:numPr>
              <w:autoSpaceDE w:val="0"/>
              <w:autoSpaceDN w:val="0"/>
              <w:adjustRightInd w:val="0"/>
              <w:ind w:left="1410"/>
              <w:rPr>
                <w:rFonts w:ascii="Arial" w:hAnsi="Arial" w:cs="Arial"/>
                <w:color w:val="000000"/>
                <w:sz w:val="20"/>
                <w:szCs w:val="20"/>
              </w:rPr>
            </w:pPr>
            <w:r w:rsidRPr="00FB4D5E">
              <w:rPr>
                <w:rFonts w:ascii="Arial" w:hAnsi="Arial" w:cs="Arial"/>
                <w:color w:val="000000"/>
                <w:sz w:val="20"/>
                <w:szCs w:val="20"/>
              </w:rPr>
              <w:t>Benchmark other institutions and other departments on campus</w:t>
            </w:r>
          </w:p>
          <w:p w:rsidR="00FB4D5E" w:rsidRPr="00FB4D5E" w:rsidRDefault="00FB4D5E" w:rsidP="00FB4D5E">
            <w:pPr>
              <w:pStyle w:val="ListParagraph"/>
              <w:widowControl w:val="0"/>
              <w:numPr>
                <w:ilvl w:val="1"/>
                <w:numId w:val="26"/>
              </w:numPr>
              <w:autoSpaceDE w:val="0"/>
              <w:autoSpaceDN w:val="0"/>
              <w:adjustRightInd w:val="0"/>
              <w:ind w:left="1410"/>
              <w:rPr>
                <w:rFonts w:ascii="Arial" w:hAnsi="Arial" w:cs="Arial"/>
                <w:color w:val="000000"/>
                <w:sz w:val="20"/>
                <w:szCs w:val="20"/>
              </w:rPr>
            </w:pPr>
            <w:r w:rsidRPr="00FB4D5E">
              <w:rPr>
                <w:rFonts w:ascii="Arial" w:hAnsi="Arial" w:cs="Arial"/>
                <w:color w:val="000000"/>
                <w:sz w:val="20"/>
                <w:szCs w:val="20"/>
              </w:rPr>
              <w:t>Work with Distance Learning to identify current examples</w:t>
            </w:r>
          </w:p>
          <w:p w:rsidR="00FB4D5E" w:rsidRPr="00FB4D5E" w:rsidRDefault="00FB4D5E" w:rsidP="00FB4D5E">
            <w:pPr>
              <w:pStyle w:val="ListParagraph"/>
              <w:widowControl w:val="0"/>
              <w:numPr>
                <w:ilvl w:val="1"/>
                <w:numId w:val="26"/>
              </w:numPr>
              <w:autoSpaceDE w:val="0"/>
              <w:autoSpaceDN w:val="0"/>
              <w:adjustRightInd w:val="0"/>
              <w:ind w:left="1410"/>
              <w:rPr>
                <w:rFonts w:ascii="Arial" w:hAnsi="Arial" w:cs="Arial"/>
                <w:color w:val="000000"/>
                <w:sz w:val="20"/>
                <w:szCs w:val="20"/>
              </w:rPr>
            </w:pPr>
            <w:r w:rsidRPr="00FB4D5E">
              <w:rPr>
                <w:rFonts w:ascii="Arial" w:hAnsi="Arial" w:cs="Arial"/>
                <w:color w:val="000000"/>
                <w:sz w:val="20"/>
                <w:szCs w:val="20"/>
              </w:rPr>
              <w:t xml:space="preserve">Track students who transfer to obtain systematic feedback </w:t>
            </w:r>
            <w:r w:rsidRPr="00FB4D5E">
              <w:rPr>
                <w:rFonts w:ascii="Arial" w:hAnsi="Arial" w:cs="Arial"/>
                <w:color w:val="000000"/>
                <w:sz w:val="20"/>
                <w:szCs w:val="20"/>
              </w:rPr>
              <w:lastRenderedPageBreak/>
              <w:t xml:space="preserve">for the department’s use in refining curriculum and instruction </w:t>
            </w:r>
          </w:p>
          <w:p w:rsidR="00FB4D5E" w:rsidRPr="00FB4D5E" w:rsidRDefault="00FB4D5E" w:rsidP="00B64144">
            <w:pPr>
              <w:pStyle w:val="ListParagraph"/>
              <w:ind w:left="0"/>
              <w:rPr>
                <w:rFonts w:ascii="Arial" w:hAnsi="Arial" w:cs="Arial"/>
                <w:color w:val="000000" w:themeColor="text1"/>
                <w:sz w:val="20"/>
                <w:szCs w:val="20"/>
              </w:rPr>
            </w:pPr>
          </w:p>
        </w:tc>
        <w:tc>
          <w:tcPr>
            <w:tcW w:w="2700" w:type="dxa"/>
          </w:tcPr>
          <w:p w:rsidR="00FB4D5E" w:rsidRPr="00FB4D5E" w:rsidRDefault="00FB4D5E" w:rsidP="00B64144">
            <w:pPr>
              <w:pStyle w:val="ListParagraph"/>
              <w:ind w:left="0"/>
              <w:rPr>
                <w:rFonts w:ascii="Arial" w:hAnsi="Arial" w:cs="Arial"/>
                <w:color w:val="000000" w:themeColor="text1"/>
                <w:sz w:val="20"/>
                <w:szCs w:val="20"/>
              </w:rPr>
            </w:pPr>
          </w:p>
          <w:p w:rsidR="00FB4D5E" w:rsidRPr="00FB4D5E" w:rsidRDefault="00FB4D5E" w:rsidP="00B64144">
            <w:pPr>
              <w:pStyle w:val="ListParagraph"/>
              <w:ind w:left="0"/>
              <w:rPr>
                <w:rFonts w:ascii="Arial" w:hAnsi="Arial" w:cs="Arial"/>
                <w:color w:val="000000" w:themeColor="text1"/>
                <w:sz w:val="20"/>
                <w:szCs w:val="20"/>
              </w:rPr>
            </w:pPr>
            <w:r w:rsidRPr="00FB4D5E">
              <w:rPr>
                <w:rFonts w:ascii="Arial" w:hAnsi="Arial" w:cs="Arial"/>
                <w:color w:val="000000" w:themeColor="text1"/>
                <w:sz w:val="20"/>
                <w:szCs w:val="20"/>
              </w:rPr>
              <w:t xml:space="preserve">In progress </w:t>
            </w:r>
            <w:r w:rsidRPr="00FB4D5E">
              <w:rPr>
                <w:sz w:val="20"/>
                <w:szCs w:val="20"/>
              </w:rPr>
              <w:fldChar w:fldCharType="begin">
                <w:ffData>
                  <w:name w:val=""/>
                  <w:enabled/>
                  <w:calcOnExit w:val="0"/>
                  <w:checkBox>
                    <w:sizeAuto/>
                    <w:default w:val="1"/>
                  </w:checkBox>
                </w:ffData>
              </w:fldChar>
            </w:r>
            <w:r w:rsidRPr="00FB4D5E">
              <w:rPr>
                <w:sz w:val="20"/>
                <w:szCs w:val="20"/>
              </w:rPr>
              <w:instrText xml:space="preserve"> FORMCHECKBOX </w:instrText>
            </w:r>
            <w:r w:rsidR="00133F2A">
              <w:rPr>
                <w:sz w:val="20"/>
                <w:szCs w:val="20"/>
              </w:rPr>
            </w:r>
            <w:r w:rsidR="00133F2A">
              <w:rPr>
                <w:sz w:val="20"/>
                <w:szCs w:val="20"/>
              </w:rPr>
              <w:fldChar w:fldCharType="separate"/>
            </w:r>
            <w:r w:rsidRPr="00FB4D5E">
              <w:rPr>
                <w:sz w:val="20"/>
                <w:szCs w:val="20"/>
              </w:rPr>
              <w:fldChar w:fldCharType="end"/>
            </w:r>
          </w:p>
          <w:p w:rsidR="00FB4D5E" w:rsidRPr="00FB4D5E" w:rsidRDefault="00FB4D5E" w:rsidP="00B64144">
            <w:pPr>
              <w:pStyle w:val="ListParagraph"/>
              <w:ind w:left="0"/>
              <w:rPr>
                <w:rFonts w:ascii="Arial" w:hAnsi="Arial" w:cs="Arial"/>
                <w:color w:val="000000" w:themeColor="text1"/>
                <w:sz w:val="20"/>
                <w:szCs w:val="20"/>
              </w:rPr>
            </w:pPr>
          </w:p>
          <w:p w:rsidR="00FB4D5E" w:rsidRPr="00FB4D5E" w:rsidRDefault="00FB4D5E" w:rsidP="00B64144">
            <w:pPr>
              <w:pStyle w:val="ListParagraph"/>
              <w:ind w:left="0"/>
              <w:rPr>
                <w:sz w:val="20"/>
                <w:szCs w:val="20"/>
              </w:rPr>
            </w:pPr>
            <w:r w:rsidRPr="00FB4D5E">
              <w:rPr>
                <w:rFonts w:ascii="Arial" w:hAnsi="Arial" w:cs="Arial"/>
                <w:color w:val="000000" w:themeColor="text1"/>
                <w:sz w:val="20"/>
                <w:szCs w:val="20"/>
              </w:rPr>
              <w:t xml:space="preserve">Completed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133F2A">
              <w:rPr>
                <w:sz w:val="20"/>
                <w:szCs w:val="20"/>
              </w:rPr>
            </w:r>
            <w:r w:rsidR="00133F2A">
              <w:rPr>
                <w:sz w:val="20"/>
                <w:szCs w:val="20"/>
              </w:rPr>
              <w:fldChar w:fldCharType="separate"/>
            </w:r>
            <w:r w:rsidRPr="00FB4D5E">
              <w:rPr>
                <w:sz w:val="20"/>
                <w:szCs w:val="20"/>
              </w:rPr>
              <w:fldChar w:fldCharType="end"/>
            </w:r>
          </w:p>
          <w:p w:rsidR="00FB4D5E" w:rsidRPr="00FB4D5E" w:rsidRDefault="00FB4D5E" w:rsidP="00B64144">
            <w:pPr>
              <w:pStyle w:val="ListParagraph"/>
              <w:ind w:left="0"/>
              <w:rPr>
                <w:rFonts w:ascii="Arial" w:hAnsi="Arial" w:cs="Arial"/>
                <w:color w:val="000000" w:themeColor="text1"/>
                <w:sz w:val="20"/>
                <w:szCs w:val="20"/>
              </w:rPr>
            </w:pPr>
          </w:p>
          <w:p w:rsidR="00FB4D5E" w:rsidRPr="00FB4D5E" w:rsidRDefault="00FB4D5E" w:rsidP="00B64144">
            <w:pPr>
              <w:rPr>
                <w:sz w:val="20"/>
                <w:szCs w:val="20"/>
              </w:rPr>
            </w:pPr>
            <w:r w:rsidRPr="00FB4D5E">
              <w:rPr>
                <w:rFonts w:ascii="Arial" w:hAnsi="Arial" w:cs="Arial"/>
                <w:color w:val="000000" w:themeColor="text1"/>
                <w:sz w:val="20"/>
                <w:szCs w:val="20"/>
              </w:rPr>
              <w:t xml:space="preserve">No longer applicable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133F2A">
              <w:rPr>
                <w:sz w:val="20"/>
                <w:szCs w:val="20"/>
              </w:rPr>
            </w:r>
            <w:r w:rsidR="00133F2A">
              <w:rPr>
                <w:sz w:val="20"/>
                <w:szCs w:val="20"/>
              </w:rPr>
              <w:fldChar w:fldCharType="separate"/>
            </w:r>
            <w:r w:rsidRPr="00FB4D5E">
              <w:rPr>
                <w:sz w:val="20"/>
                <w:szCs w:val="20"/>
              </w:rPr>
              <w:fldChar w:fldCharType="end"/>
            </w:r>
          </w:p>
          <w:p w:rsidR="00FB4D5E" w:rsidRPr="00FB4D5E" w:rsidRDefault="00FB4D5E" w:rsidP="00B64144">
            <w:pPr>
              <w:pStyle w:val="ListParagraph"/>
              <w:ind w:left="0"/>
              <w:rPr>
                <w:rFonts w:ascii="Arial" w:hAnsi="Arial" w:cs="Arial"/>
                <w:color w:val="000000" w:themeColor="text1"/>
                <w:sz w:val="20"/>
                <w:szCs w:val="20"/>
              </w:rPr>
            </w:pPr>
          </w:p>
        </w:tc>
        <w:tc>
          <w:tcPr>
            <w:tcW w:w="6480" w:type="dxa"/>
          </w:tcPr>
          <w:p w:rsidR="00FB4D5E" w:rsidRPr="00FB4D5E" w:rsidRDefault="00FB4D5E" w:rsidP="00B64144">
            <w:pPr>
              <w:rPr>
                <w:sz w:val="20"/>
                <w:szCs w:val="20"/>
              </w:rPr>
            </w:pPr>
          </w:p>
          <w:p w:rsidR="00FB4D5E" w:rsidRPr="00FB4D5E" w:rsidRDefault="00FB4D5E" w:rsidP="00B64144">
            <w:pPr>
              <w:rPr>
                <w:sz w:val="20"/>
                <w:szCs w:val="20"/>
              </w:rPr>
            </w:pPr>
          </w:p>
          <w:p w:rsidR="00FB4D5E" w:rsidRPr="00FB4D5E" w:rsidRDefault="00FB4D5E" w:rsidP="00B64144">
            <w:pPr>
              <w:rPr>
                <w:sz w:val="20"/>
                <w:szCs w:val="20"/>
              </w:rPr>
            </w:pPr>
          </w:p>
          <w:p w:rsidR="00FB4D5E" w:rsidRPr="00FB4D5E" w:rsidRDefault="00FB4D5E" w:rsidP="00B64144">
            <w:pPr>
              <w:rPr>
                <w:sz w:val="20"/>
                <w:szCs w:val="20"/>
              </w:rPr>
            </w:pPr>
          </w:p>
          <w:p w:rsidR="00FB4D5E" w:rsidRPr="00FB4D5E" w:rsidRDefault="00FB4D5E" w:rsidP="00B64144">
            <w:pPr>
              <w:rPr>
                <w:sz w:val="20"/>
                <w:szCs w:val="20"/>
              </w:rPr>
            </w:pPr>
          </w:p>
          <w:p w:rsidR="00FB4D5E" w:rsidRPr="00FB4D5E" w:rsidRDefault="00FB4D5E" w:rsidP="00B64144">
            <w:pPr>
              <w:rPr>
                <w:sz w:val="20"/>
                <w:szCs w:val="20"/>
              </w:rPr>
            </w:pPr>
          </w:p>
          <w:p w:rsidR="00FB4D5E" w:rsidRPr="00FB4D5E" w:rsidRDefault="00FB4D5E" w:rsidP="00B64144">
            <w:pPr>
              <w:rPr>
                <w:sz w:val="20"/>
                <w:szCs w:val="20"/>
              </w:rPr>
            </w:pPr>
          </w:p>
          <w:p w:rsidR="00FB4D5E" w:rsidRPr="00FB4D5E" w:rsidRDefault="00FB4D5E" w:rsidP="00B64144">
            <w:pPr>
              <w:rPr>
                <w:sz w:val="20"/>
                <w:szCs w:val="20"/>
              </w:rPr>
            </w:pPr>
          </w:p>
          <w:p w:rsidR="00FB4D5E" w:rsidRPr="00FB4D5E" w:rsidRDefault="00FB4D5E" w:rsidP="00B64144">
            <w:pPr>
              <w:rPr>
                <w:sz w:val="20"/>
                <w:szCs w:val="20"/>
              </w:rPr>
            </w:pPr>
          </w:p>
          <w:p w:rsidR="00FB4D5E" w:rsidRPr="00FB4D5E" w:rsidRDefault="00FB4D5E" w:rsidP="00B64144">
            <w:pPr>
              <w:rPr>
                <w:sz w:val="20"/>
                <w:szCs w:val="20"/>
              </w:rPr>
            </w:pPr>
          </w:p>
          <w:p w:rsidR="00FB4D5E" w:rsidRPr="00FB4D5E" w:rsidRDefault="00FB4D5E" w:rsidP="00B64144">
            <w:pPr>
              <w:rPr>
                <w:sz w:val="20"/>
                <w:szCs w:val="20"/>
              </w:rPr>
            </w:pPr>
          </w:p>
          <w:p w:rsidR="00FB4D5E" w:rsidRDefault="00FB4D5E" w:rsidP="00B64144">
            <w:pPr>
              <w:rPr>
                <w:sz w:val="20"/>
                <w:szCs w:val="20"/>
              </w:rPr>
            </w:pPr>
            <w:r w:rsidRPr="00FB4D5E">
              <w:rPr>
                <w:sz w:val="20"/>
                <w:szCs w:val="20"/>
              </w:rPr>
              <w:t>Complete</w:t>
            </w:r>
            <w:r w:rsidR="00407AC7">
              <w:rPr>
                <w:sz w:val="20"/>
                <w:szCs w:val="20"/>
              </w:rPr>
              <w:t>.  A recent survey taken by students in the final chemistry course indicated they felt positive about the knowledge and capabilities gained during their Sinclair chemistry experience.  Students responded to the following statements with a rating from 1 to 5, 5 being the highest:</w:t>
            </w:r>
          </w:p>
          <w:p w:rsidR="00407AC7" w:rsidRDefault="00407AC7" w:rsidP="00407AC7">
            <w:pPr>
              <w:pStyle w:val="ListParagraph"/>
              <w:numPr>
                <w:ilvl w:val="0"/>
                <w:numId w:val="27"/>
              </w:numPr>
              <w:ind w:left="492" w:hanging="270"/>
              <w:rPr>
                <w:sz w:val="20"/>
                <w:szCs w:val="20"/>
              </w:rPr>
            </w:pPr>
            <w:r>
              <w:rPr>
                <w:sz w:val="20"/>
                <w:szCs w:val="20"/>
              </w:rPr>
              <w:t>I have become more confident performing laboratory procedures (4.3)</w:t>
            </w:r>
          </w:p>
          <w:p w:rsidR="00407AC7" w:rsidRDefault="00407AC7" w:rsidP="00407AC7">
            <w:pPr>
              <w:pStyle w:val="ListParagraph"/>
              <w:numPr>
                <w:ilvl w:val="0"/>
                <w:numId w:val="27"/>
              </w:numPr>
              <w:ind w:left="492" w:hanging="270"/>
              <w:rPr>
                <w:sz w:val="20"/>
                <w:szCs w:val="20"/>
              </w:rPr>
            </w:pPr>
            <w:r>
              <w:rPr>
                <w:sz w:val="20"/>
                <w:szCs w:val="20"/>
              </w:rPr>
              <w:t>I have gained better study skills (4.0)</w:t>
            </w:r>
          </w:p>
          <w:p w:rsidR="00407AC7" w:rsidRDefault="00407AC7" w:rsidP="00407AC7">
            <w:pPr>
              <w:pStyle w:val="ListParagraph"/>
              <w:numPr>
                <w:ilvl w:val="0"/>
                <w:numId w:val="27"/>
              </w:numPr>
              <w:ind w:left="492" w:hanging="270"/>
              <w:rPr>
                <w:sz w:val="20"/>
                <w:szCs w:val="20"/>
              </w:rPr>
            </w:pPr>
            <w:r>
              <w:rPr>
                <w:sz w:val="20"/>
                <w:szCs w:val="20"/>
              </w:rPr>
              <w:t>I have learned to communicate written lab results (4.4)</w:t>
            </w:r>
          </w:p>
          <w:p w:rsidR="00407AC7" w:rsidRDefault="00407AC7" w:rsidP="00407AC7">
            <w:pPr>
              <w:pStyle w:val="ListParagraph"/>
              <w:numPr>
                <w:ilvl w:val="0"/>
                <w:numId w:val="27"/>
              </w:numPr>
              <w:ind w:left="492" w:hanging="270"/>
              <w:rPr>
                <w:sz w:val="20"/>
                <w:szCs w:val="20"/>
              </w:rPr>
            </w:pPr>
            <w:r>
              <w:rPr>
                <w:sz w:val="20"/>
                <w:szCs w:val="20"/>
              </w:rPr>
              <w:t>I have improved my ability to think analytically (4.3)</w:t>
            </w:r>
          </w:p>
          <w:p w:rsidR="00407AC7" w:rsidRPr="00407AC7" w:rsidRDefault="00407AC7" w:rsidP="00407AC7">
            <w:pPr>
              <w:pStyle w:val="ListParagraph"/>
              <w:numPr>
                <w:ilvl w:val="0"/>
                <w:numId w:val="27"/>
              </w:numPr>
              <w:ind w:left="492" w:hanging="270"/>
              <w:rPr>
                <w:sz w:val="20"/>
                <w:szCs w:val="20"/>
              </w:rPr>
            </w:pPr>
            <w:r>
              <w:rPr>
                <w:sz w:val="20"/>
                <w:szCs w:val="20"/>
              </w:rPr>
              <w:t>I have gained knowledge to better understand how chemicals affect my daily life and their relationship to health (4.0)</w:t>
            </w:r>
          </w:p>
          <w:p w:rsidR="00FB4D5E" w:rsidRPr="00FB4D5E" w:rsidRDefault="00FB4D5E" w:rsidP="00B64144">
            <w:pPr>
              <w:rPr>
                <w:sz w:val="20"/>
                <w:szCs w:val="20"/>
              </w:rPr>
            </w:pPr>
            <w:r w:rsidRPr="00FB4D5E">
              <w:rPr>
                <w:sz w:val="20"/>
                <w:szCs w:val="20"/>
              </w:rPr>
              <w:t>This assertion is supported by the following data.  This data is specific for Introductory Chemistry, but we would expect to see similar data for General Chemistry.</w:t>
            </w:r>
          </w:p>
          <w:p w:rsidR="00FB4D5E" w:rsidRPr="00FB4D5E" w:rsidRDefault="00FB4D5E" w:rsidP="00B64144">
            <w:pPr>
              <w:rPr>
                <w:sz w:val="20"/>
                <w:szCs w:val="20"/>
              </w:rPr>
            </w:pPr>
            <w:r w:rsidRPr="00FB4D5E">
              <w:rPr>
                <w:sz w:val="20"/>
                <w:szCs w:val="20"/>
              </w:rPr>
              <w:t xml:space="preserve">  #1: Completed DEV 108 before taking CHE 120</w:t>
            </w:r>
          </w:p>
          <w:p w:rsidR="00FB4D5E" w:rsidRPr="00FB4D5E" w:rsidRDefault="00FB4D5E" w:rsidP="00B64144">
            <w:pPr>
              <w:rPr>
                <w:sz w:val="20"/>
                <w:szCs w:val="20"/>
              </w:rPr>
            </w:pPr>
            <w:r w:rsidRPr="00FB4D5E">
              <w:rPr>
                <w:sz w:val="20"/>
                <w:szCs w:val="20"/>
              </w:rPr>
              <w:t xml:space="preserve">  #2; Did not complete DEV 108 before taking CHE 120</w:t>
            </w:r>
          </w:p>
          <w:p w:rsidR="00FB4D5E" w:rsidRPr="00FB4D5E" w:rsidRDefault="00FB4D5E" w:rsidP="00B64144">
            <w:pPr>
              <w:spacing w:after="120"/>
              <w:rPr>
                <w:sz w:val="20"/>
                <w:szCs w:val="20"/>
              </w:rPr>
            </w:pPr>
            <w:r w:rsidRPr="00FB4D5E">
              <w:rPr>
                <w:sz w:val="20"/>
                <w:szCs w:val="20"/>
              </w:rPr>
              <w:t xml:space="preserve">  #3: Did not need to take DEV 108</w:t>
            </w:r>
          </w:p>
          <w:p w:rsidR="00FB4D5E" w:rsidRPr="00FB4D5E" w:rsidRDefault="00FB4D5E" w:rsidP="00B64144">
            <w:pPr>
              <w:rPr>
                <w:sz w:val="20"/>
                <w:szCs w:val="20"/>
              </w:rPr>
            </w:pPr>
            <w:r w:rsidRPr="00FB4D5E">
              <w:rPr>
                <w:sz w:val="20"/>
                <w:szCs w:val="20"/>
              </w:rPr>
              <w:t>% Success Rates for CHE 120 (now CHE 1111)</w:t>
            </w:r>
          </w:p>
          <w:tbl>
            <w:tblPr>
              <w:tblStyle w:val="TableGrid"/>
              <w:tblW w:w="0" w:type="auto"/>
              <w:tblLayout w:type="fixed"/>
              <w:tblLook w:val="04A0" w:firstRow="1" w:lastRow="0" w:firstColumn="1" w:lastColumn="0" w:noHBand="0" w:noVBand="1"/>
            </w:tblPr>
            <w:tblGrid>
              <w:gridCol w:w="891"/>
              <w:gridCol w:w="891"/>
              <w:gridCol w:w="891"/>
              <w:gridCol w:w="891"/>
              <w:gridCol w:w="892"/>
              <w:gridCol w:w="892"/>
              <w:gridCol w:w="892"/>
            </w:tblGrid>
            <w:tr w:rsidR="00FB4D5E" w:rsidRPr="00FB4D5E" w:rsidTr="00B64144">
              <w:tc>
                <w:tcPr>
                  <w:tcW w:w="891" w:type="dxa"/>
                </w:tcPr>
                <w:p w:rsidR="00FB4D5E" w:rsidRPr="00FB4D5E" w:rsidRDefault="00FB4D5E" w:rsidP="00B64144">
                  <w:pPr>
                    <w:rPr>
                      <w:sz w:val="20"/>
                      <w:szCs w:val="20"/>
                    </w:rPr>
                  </w:pPr>
                </w:p>
              </w:tc>
              <w:tc>
                <w:tcPr>
                  <w:tcW w:w="891" w:type="dxa"/>
                </w:tcPr>
                <w:p w:rsidR="00FB4D5E" w:rsidRPr="00FB4D5E" w:rsidRDefault="00FB4D5E" w:rsidP="00B64144">
                  <w:pPr>
                    <w:rPr>
                      <w:sz w:val="20"/>
                      <w:szCs w:val="20"/>
                    </w:rPr>
                  </w:pPr>
                  <w:r w:rsidRPr="00FB4D5E">
                    <w:rPr>
                      <w:sz w:val="20"/>
                      <w:szCs w:val="20"/>
                    </w:rPr>
                    <w:t>2006-07</w:t>
                  </w:r>
                </w:p>
              </w:tc>
              <w:tc>
                <w:tcPr>
                  <w:tcW w:w="891" w:type="dxa"/>
                </w:tcPr>
                <w:p w:rsidR="00FB4D5E" w:rsidRPr="00FB4D5E" w:rsidRDefault="00FB4D5E" w:rsidP="00B64144">
                  <w:pPr>
                    <w:rPr>
                      <w:sz w:val="20"/>
                      <w:szCs w:val="20"/>
                    </w:rPr>
                  </w:pPr>
                  <w:r w:rsidRPr="00FB4D5E">
                    <w:rPr>
                      <w:sz w:val="20"/>
                      <w:szCs w:val="20"/>
                    </w:rPr>
                    <w:t>2007-08</w:t>
                  </w:r>
                </w:p>
              </w:tc>
              <w:tc>
                <w:tcPr>
                  <w:tcW w:w="891" w:type="dxa"/>
                </w:tcPr>
                <w:p w:rsidR="00FB4D5E" w:rsidRPr="00FB4D5E" w:rsidRDefault="00FB4D5E" w:rsidP="00B64144">
                  <w:pPr>
                    <w:rPr>
                      <w:sz w:val="20"/>
                      <w:szCs w:val="20"/>
                    </w:rPr>
                  </w:pPr>
                  <w:r w:rsidRPr="00FB4D5E">
                    <w:rPr>
                      <w:sz w:val="20"/>
                      <w:szCs w:val="20"/>
                    </w:rPr>
                    <w:t>2008-09</w:t>
                  </w:r>
                </w:p>
              </w:tc>
              <w:tc>
                <w:tcPr>
                  <w:tcW w:w="892" w:type="dxa"/>
                </w:tcPr>
                <w:p w:rsidR="00FB4D5E" w:rsidRPr="00FB4D5E" w:rsidRDefault="00FB4D5E" w:rsidP="00B64144">
                  <w:pPr>
                    <w:rPr>
                      <w:sz w:val="20"/>
                      <w:szCs w:val="20"/>
                    </w:rPr>
                  </w:pPr>
                  <w:r w:rsidRPr="00FB4D5E">
                    <w:rPr>
                      <w:sz w:val="20"/>
                      <w:szCs w:val="20"/>
                    </w:rPr>
                    <w:t>2009-10</w:t>
                  </w:r>
                </w:p>
              </w:tc>
              <w:tc>
                <w:tcPr>
                  <w:tcW w:w="892" w:type="dxa"/>
                </w:tcPr>
                <w:p w:rsidR="00FB4D5E" w:rsidRPr="00FB4D5E" w:rsidRDefault="00FB4D5E" w:rsidP="00B64144">
                  <w:pPr>
                    <w:rPr>
                      <w:sz w:val="20"/>
                      <w:szCs w:val="20"/>
                    </w:rPr>
                  </w:pPr>
                  <w:r w:rsidRPr="00FB4D5E">
                    <w:rPr>
                      <w:sz w:val="20"/>
                      <w:szCs w:val="20"/>
                    </w:rPr>
                    <w:t>2010-11</w:t>
                  </w:r>
                </w:p>
              </w:tc>
              <w:tc>
                <w:tcPr>
                  <w:tcW w:w="892" w:type="dxa"/>
                </w:tcPr>
                <w:p w:rsidR="00FB4D5E" w:rsidRPr="00FB4D5E" w:rsidRDefault="00FB4D5E" w:rsidP="00B64144">
                  <w:pPr>
                    <w:rPr>
                      <w:sz w:val="20"/>
                      <w:szCs w:val="20"/>
                    </w:rPr>
                  </w:pPr>
                  <w:r w:rsidRPr="00FB4D5E">
                    <w:rPr>
                      <w:sz w:val="20"/>
                      <w:szCs w:val="20"/>
                    </w:rPr>
                    <w:t>2011-12</w:t>
                  </w:r>
                </w:p>
              </w:tc>
            </w:tr>
            <w:tr w:rsidR="00FB4D5E" w:rsidRPr="00FB4D5E" w:rsidTr="00B64144">
              <w:tc>
                <w:tcPr>
                  <w:tcW w:w="891" w:type="dxa"/>
                </w:tcPr>
                <w:p w:rsidR="00FB4D5E" w:rsidRPr="00FB4D5E" w:rsidRDefault="00FB4D5E" w:rsidP="00B64144">
                  <w:pPr>
                    <w:rPr>
                      <w:sz w:val="20"/>
                      <w:szCs w:val="20"/>
                    </w:rPr>
                  </w:pPr>
                  <w:r w:rsidRPr="00FB4D5E">
                    <w:rPr>
                      <w:sz w:val="20"/>
                      <w:szCs w:val="20"/>
                    </w:rPr>
                    <w:t>#1</w:t>
                  </w:r>
                </w:p>
              </w:tc>
              <w:tc>
                <w:tcPr>
                  <w:tcW w:w="891" w:type="dxa"/>
                </w:tcPr>
                <w:p w:rsidR="00FB4D5E" w:rsidRPr="00FB4D5E" w:rsidRDefault="00FB4D5E" w:rsidP="00B64144">
                  <w:pPr>
                    <w:rPr>
                      <w:sz w:val="20"/>
                      <w:szCs w:val="20"/>
                    </w:rPr>
                  </w:pPr>
                  <w:r w:rsidRPr="00FB4D5E">
                    <w:rPr>
                      <w:sz w:val="20"/>
                      <w:szCs w:val="20"/>
                    </w:rPr>
                    <w:t>75%</w:t>
                  </w:r>
                </w:p>
              </w:tc>
              <w:tc>
                <w:tcPr>
                  <w:tcW w:w="891" w:type="dxa"/>
                </w:tcPr>
                <w:p w:rsidR="00FB4D5E" w:rsidRPr="00FB4D5E" w:rsidRDefault="00FB4D5E" w:rsidP="00B64144">
                  <w:pPr>
                    <w:rPr>
                      <w:sz w:val="20"/>
                      <w:szCs w:val="20"/>
                    </w:rPr>
                  </w:pPr>
                  <w:r w:rsidRPr="00FB4D5E">
                    <w:rPr>
                      <w:sz w:val="20"/>
                      <w:szCs w:val="20"/>
                    </w:rPr>
                    <w:t>70%</w:t>
                  </w:r>
                </w:p>
              </w:tc>
              <w:tc>
                <w:tcPr>
                  <w:tcW w:w="891" w:type="dxa"/>
                </w:tcPr>
                <w:p w:rsidR="00FB4D5E" w:rsidRPr="00FB4D5E" w:rsidRDefault="00FB4D5E" w:rsidP="00B64144">
                  <w:pPr>
                    <w:rPr>
                      <w:sz w:val="20"/>
                      <w:szCs w:val="20"/>
                    </w:rPr>
                  </w:pPr>
                  <w:r w:rsidRPr="00FB4D5E">
                    <w:rPr>
                      <w:sz w:val="20"/>
                      <w:szCs w:val="20"/>
                    </w:rPr>
                    <w:t>62.9%</w:t>
                  </w:r>
                </w:p>
              </w:tc>
              <w:tc>
                <w:tcPr>
                  <w:tcW w:w="892" w:type="dxa"/>
                </w:tcPr>
                <w:p w:rsidR="00FB4D5E" w:rsidRPr="00FB4D5E" w:rsidRDefault="00FB4D5E" w:rsidP="00B64144">
                  <w:pPr>
                    <w:rPr>
                      <w:sz w:val="20"/>
                      <w:szCs w:val="20"/>
                    </w:rPr>
                  </w:pPr>
                  <w:r w:rsidRPr="00FB4D5E">
                    <w:rPr>
                      <w:sz w:val="20"/>
                      <w:szCs w:val="20"/>
                    </w:rPr>
                    <w:t>61%</w:t>
                  </w:r>
                </w:p>
              </w:tc>
              <w:tc>
                <w:tcPr>
                  <w:tcW w:w="892" w:type="dxa"/>
                </w:tcPr>
                <w:p w:rsidR="00FB4D5E" w:rsidRPr="00FB4D5E" w:rsidRDefault="00FB4D5E" w:rsidP="00B64144">
                  <w:pPr>
                    <w:rPr>
                      <w:sz w:val="20"/>
                      <w:szCs w:val="20"/>
                    </w:rPr>
                  </w:pPr>
                  <w:r w:rsidRPr="00FB4D5E">
                    <w:rPr>
                      <w:sz w:val="20"/>
                      <w:szCs w:val="20"/>
                    </w:rPr>
                    <w:t>54.6%</w:t>
                  </w:r>
                </w:p>
              </w:tc>
              <w:tc>
                <w:tcPr>
                  <w:tcW w:w="892" w:type="dxa"/>
                </w:tcPr>
                <w:p w:rsidR="00FB4D5E" w:rsidRPr="00FB4D5E" w:rsidRDefault="00FB4D5E" w:rsidP="00B64144">
                  <w:pPr>
                    <w:rPr>
                      <w:sz w:val="20"/>
                      <w:szCs w:val="20"/>
                    </w:rPr>
                  </w:pPr>
                  <w:r w:rsidRPr="00FB4D5E">
                    <w:rPr>
                      <w:sz w:val="20"/>
                      <w:szCs w:val="20"/>
                    </w:rPr>
                    <w:t>59.5%</w:t>
                  </w:r>
                </w:p>
              </w:tc>
            </w:tr>
            <w:tr w:rsidR="00FB4D5E" w:rsidRPr="00FB4D5E" w:rsidTr="00B64144">
              <w:tc>
                <w:tcPr>
                  <w:tcW w:w="891" w:type="dxa"/>
                </w:tcPr>
                <w:p w:rsidR="00FB4D5E" w:rsidRPr="00FB4D5E" w:rsidRDefault="00FB4D5E" w:rsidP="00B64144">
                  <w:pPr>
                    <w:rPr>
                      <w:sz w:val="20"/>
                      <w:szCs w:val="20"/>
                    </w:rPr>
                  </w:pPr>
                  <w:r w:rsidRPr="00FB4D5E">
                    <w:rPr>
                      <w:sz w:val="20"/>
                      <w:szCs w:val="20"/>
                    </w:rPr>
                    <w:t>#2</w:t>
                  </w:r>
                </w:p>
              </w:tc>
              <w:tc>
                <w:tcPr>
                  <w:tcW w:w="891" w:type="dxa"/>
                </w:tcPr>
                <w:p w:rsidR="00FB4D5E" w:rsidRPr="00FB4D5E" w:rsidRDefault="00FB4D5E" w:rsidP="00B64144">
                  <w:pPr>
                    <w:rPr>
                      <w:sz w:val="20"/>
                      <w:szCs w:val="20"/>
                    </w:rPr>
                  </w:pPr>
                  <w:r w:rsidRPr="00FB4D5E">
                    <w:rPr>
                      <w:sz w:val="20"/>
                      <w:szCs w:val="20"/>
                    </w:rPr>
                    <w:t>61.4%</w:t>
                  </w:r>
                </w:p>
              </w:tc>
              <w:tc>
                <w:tcPr>
                  <w:tcW w:w="891" w:type="dxa"/>
                </w:tcPr>
                <w:p w:rsidR="00FB4D5E" w:rsidRPr="00FB4D5E" w:rsidRDefault="00FB4D5E" w:rsidP="00B64144">
                  <w:pPr>
                    <w:rPr>
                      <w:sz w:val="20"/>
                      <w:szCs w:val="20"/>
                    </w:rPr>
                  </w:pPr>
                  <w:r w:rsidRPr="00FB4D5E">
                    <w:rPr>
                      <w:sz w:val="20"/>
                      <w:szCs w:val="20"/>
                    </w:rPr>
                    <w:t>61.3%</w:t>
                  </w:r>
                </w:p>
              </w:tc>
              <w:tc>
                <w:tcPr>
                  <w:tcW w:w="891" w:type="dxa"/>
                </w:tcPr>
                <w:p w:rsidR="00FB4D5E" w:rsidRPr="00FB4D5E" w:rsidRDefault="00FB4D5E" w:rsidP="00B64144">
                  <w:pPr>
                    <w:rPr>
                      <w:sz w:val="20"/>
                      <w:szCs w:val="20"/>
                    </w:rPr>
                  </w:pPr>
                  <w:r w:rsidRPr="00FB4D5E">
                    <w:rPr>
                      <w:sz w:val="20"/>
                      <w:szCs w:val="20"/>
                    </w:rPr>
                    <w:t>56.0%</w:t>
                  </w:r>
                </w:p>
              </w:tc>
              <w:tc>
                <w:tcPr>
                  <w:tcW w:w="892" w:type="dxa"/>
                </w:tcPr>
                <w:p w:rsidR="00FB4D5E" w:rsidRPr="00FB4D5E" w:rsidRDefault="00FB4D5E" w:rsidP="00B64144">
                  <w:pPr>
                    <w:rPr>
                      <w:sz w:val="20"/>
                      <w:szCs w:val="20"/>
                    </w:rPr>
                  </w:pPr>
                  <w:r w:rsidRPr="00FB4D5E">
                    <w:rPr>
                      <w:sz w:val="20"/>
                      <w:szCs w:val="20"/>
                    </w:rPr>
                    <w:t>53.4%</w:t>
                  </w:r>
                </w:p>
              </w:tc>
              <w:tc>
                <w:tcPr>
                  <w:tcW w:w="892" w:type="dxa"/>
                </w:tcPr>
                <w:p w:rsidR="00FB4D5E" w:rsidRPr="00FB4D5E" w:rsidRDefault="00FB4D5E" w:rsidP="00B64144">
                  <w:pPr>
                    <w:rPr>
                      <w:sz w:val="20"/>
                      <w:szCs w:val="20"/>
                    </w:rPr>
                  </w:pPr>
                  <w:r w:rsidRPr="00FB4D5E">
                    <w:rPr>
                      <w:sz w:val="20"/>
                      <w:szCs w:val="20"/>
                    </w:rPr>
                    <w:t>51.1%</w:t>
                  </w:r>
                </w:p>
              </w:tc>
              <w:tc>
                <w:tcPr>
                  <w:tcW w:w="892" w:type="dxa"/>
                </w:tcPr>
                <w:p w:rsidR="00FB4D5E" w:rsidRPr="00FB4D5E" w:rsidRDefault="00FB4D5E" w:rsidP="00B64144">
                  <w:pPr>
                    <w:rPr>
                      <w:sz w:val="20"/>
                      <w:szCs w:val="20"/>
                    </w:rPr>
                  </w:pPr>
                  <w:r w:rsidRPr="00FB4D5E">
                    <w:rPr>
                      <w:sz w:val="20"/>
                      <w:szCs w:val="20"/>
                    </w:rPr>
                    <w:t>53.6%</w:t>
                  </w:r>
                </w:p>
              </w:tc>
            </w:tr>
            <w:tr w:rsidR="00FB4D5E" w:rsidRPr="00FB4D5E" w:rsidTr="00B64144">
              <w:tc>
                <w:tcPr>
                  <w:tcW w:w="891" w:type="dxa"/>
                </w:tcPr>
                <w:p w:rsidR="00FB4D5E" w:rsidRPr="00FB4D5E" w:rsidRDefault="00FB4D5E" w:rsidP="00B64144">
                  <w:pPr>
                    <w:rPr>
                      <w:sz w:val="20"/>
                      <w:szCs w:val="20"/>
                    </w:rPr>
                  </w:pPr>
                  <w:r w:rsidRPr="00FB4D5E">
                    <w:rPr>
                      <w:sz w:val="20"/>
                      <w:szCs w:val="20"/>
                    </w:rPr>
                    <w:t>#3</w:t>
                  </w:r>
                </w:p>
              </w:tc>
              <w:tc>
                <w:tcPr>
                  <w:tcW w:w="891" w:type="dxa"/>
                </w:tcPr>
                <w:p w:rsidR="00FB4D5E" w:rsidRPr="00FB4D5E" w:rsidRDefault="00FB4D5E" w:rsidP="00B64144">
                  <w:pPr>
                    <w:rPr>
                      <w:sz w:val="20"/>
                      <w:szCs w:val="20"/>
                    </w:rPr>
                  </w:pPr>
                  <w:r w:rsidRPr="00FB4D5E">
                    <w:rPr>
                      <w:sz w:val="20"/>
                      <w:szCs w:val="20"/>
                    </w:rPr>
                    <w:t>67.85</w:t>
                  </w:r>
                </w:p>
              </w:tc>
              <w:tc>
                <w:tcPr>
                  <w:tcW w:w="891" w:type="dxa"/>
                </w:tcPr>
                <w:p w:rsidR="00FB4D5E" w:rsidRPr="00FB4D5E" w:rsidRDefault="00FB4D5E" w:rsidP="00B64144">
                  <w:pPr>
                    <w:rPr>
                      <w:sz w:val="20"/>
                      <w:szCs w:val="20"/>
                    </w:rPr>
                  </w:pPr>
                  <w:r w:rsidRPr="00FB4D5E">
                    <w:rPr>
                      <w:sz w:val="20"/>
                      <w:szCs w:val="20"/>
                    </w:rPr>
                    <w:t>69.1%</w:t>
                  </w:r>
                </w:p>
              </w:tc>
              <w:tc>
                <w:tcPr>
                  <w:tcW w:w="891" w:type="dxa"/>
                </w:tcPr>
                <w:p w:rsidR="00FB4D5E" w:rsidRPr="00FB4D5E" w:rsidRDefault="00FB4D5E" w:rsidP="00B64144">
                  <w:pPr>
                    <w:rPr>
                      <w:sz w:val="20"/>
                      <w:szCs w:val="20"/>
                    </w:rPr>
                  </w:pPr>
                  <w:r w:rsidRPr="00FB4D5E">
                    <w:rPr>
                      <w:sz w:val="20"/>
                      <w:szCs w:val="20"/>
                    </w:rPr>
                    <w:t>70.6%</w:t>
                  </w:r>
                </w:p>
              </w:tc>
              <w:tc>
                <w:tcPr>
                  <w:tcW w:w="892" w:type="dxa"/>
                </w:tcPr>
                <w:p w:rsidR="00FB4D5E" w:rsidRPr="00FB4D5E" w:rsidRDefault="00FB4D5E" w:rsidP="00B64144">
                  <w:pPr>
                    <w:rPr>
                      <w:sz w:val="20"/>
                      <w:szCs w:val="20"/>
                    </w:rPr>
                  </w:pPr>
                  <w:r w:rsidRPr="00FB4D5E">
                    <w:rPr>
                      <w:sz w:val="20"/>
                      <w:szCs w:val="20"/>
                    </w:rPr>
                    <w:t>67.5%</w:t>
                  </w:r>
                </w:p>
              </w:tc>
              <w:tc>
                <w:tcPr>
                  <w:tcW w:w="892" w:type="dxa"/>
                </w:tcPr>
                <w:p w:rsidR="00FB4D5E" w:rsidRPr="00FB4D5E" w:rsidRDefault="00FB4D5E" w:rsidP="00B64144">
                  <w:pPr>
                    <w:rPr>
                      <w:sz w:val="20"/>
                      <w:szCs w:val="20"/>
                    </w:rPr>
                  </w:pPr>
                  <w:r w:rsidRPr="00FB4D5E">
                    <w:rPr>
                      <w:sz w:val="20"/>
                      <w:szCs w:val="20"/>
                    </w:rPr>
                    <w:t>65.2%</w:t>
                  </w:r>
                </w:p>
              </w:tc>
              <w:tc>
                <w:tcPr>
                  <w:tcW w:w="892" w:type="dxa"/>
                </w:tcPr>
                <w:p w:rsidR="00FB4D5E" w:rsidRPr="00FB4D5E" w:rsidRDefault="00FB4D5E" w:rsidP="00B64144">
                  <w:pPr>
                    <w:rPr>
                      <w:sz w:val="20"/>
                      <w:szCs w:val="20"/>
                    </w:rPr>
                  </w:pPr>
                  <w:r w:rsidRPr="00FB4D5E">
                    <w:rPr>
                      <w:sz w:val="20"/>
                      <w:szCs w:val="20"/>
                    </w:rPr>
                    <w:t>73.9%</w:t>
                  </w:r>
                </w:p>
              </w:tc>
            </w:tr>
            <w:tr w:rsidR="00FB4D5E" w:rsidRPr="00FB4D5E" w:rsidTr="00B64144">
              <w:tc>
                <w:tcPr>
                  <w:tcW w:w="891" w:type="dxa"/>
                </w:tcPr>
                <w:p w:rsidR="00FB4D5E" w:rsidRPr="00FB4D5E" w:rsidRDefault="00FB4D5E" w:rsidP="00B64144">
                  <w:pPr>
                    <w:rPr>
                      <w:sz w:val="20"/>
                      <w:szCs w:val="20"/>
                    </w:rPr>
                  </w:pPr>
                  <w:r w:rsidRPr="00FB4D5E">
                    <w:rPr>
                      <w:sz w:val="20"/>
                      <w:szCs w:val="20"/>
                    </w:rPr>
                    <w:lastRenderedPageBreak/>
                    <w:t>Overall</w:t>
                  </w:r>
                </w:p>
              </w:tc>
              <w:tc>
                <w:tcPr>
                  <w:tcW w:w="891" w:type="dxa"/>
                </w:tcPr>
                <w:p w:rsidR="00FB4D5E" w:rsidRPr="00FB4D5E" w:rsidRDefault="00FB4D5E" w:rsidP="00B64144">
                  <w:pPr>
                    <w:rPr>
                      <w:sz w:val="20"/>
                      <w:szCs w:val="20"/>
                    </w:rPr>
                  </w:pPr>
                  <w:r w:rsidRPr="00FB4D5E">
                    <w:rPr>
                      <w:sz w:val="20"/>
                      <w:szCs w:val="20"/>
                    </w:rPr>
                    <w:t>65.9%</w:t>
                  </w:r>
                </w:p>
              </w:tc>
              <w:tc>
                <w:tcPr>
                  <w:tcW w:w="891" w:type="dxa"/>
                </w:tcPr>
                <w:p w:rsidR="00FB4D5E" w:rsidRPr="00FB4D5E" w:rsidRDefault="00FB4D5E" w:rsidP="00B64144">
                  <w:pPr>
                    <w:rPr>
                      <w:sz w:val="20"/>
                      <w:szCs w:val="20"/>
                    </w:rPr>
                  </w:pPr>
                  <w:r w:rsidRPr="00FB4D5E">
                    <w:rPr>
                      <w:sz w:val="20"/>
                      <w:szCs w:val="20"/>
                    </w:rPr>
                    <w:t>67/2%</w:t>
                  </w:r>
                </w:p>
              </w:tc>
              <w:tc>
                <w:tcPr>
                  <w:tcW w:w="891" w:type="dxa"/>
                </w:tcPr>
                <w:p w:rsidR="00FB4D5E" w:rsidRPr="00FB4D5E" w:rsidRDefault="00FB4D5E" w:rsidP="00B64144">
                  <w:pPr>
                    <w:rPr>
                      <w:sz w:val="20"/>
                      <w:szCs w:val="20"/>
                    </w:rPr>
                  </w:pPr>
                  <w:r w:rsidRPr="00FB4D5E">
                    <w:rPr>
                      <w:sz w:val="20"/>
                      <w:szCs w:val="20"/>
                    </w:rPr>
                    <w:t>66.5%</w:t>
                  </w:r>
                </w:p>
              </w:tc>
              <w:tc>
                <w:tcPr>
                  <w:tcW w:w="892" w:type="dxa"/>
                </w:tcPr>
                <w:p w:rsidR="00FB4D5E" w:rsidRPr="00FB4D5E" w:rsidRDefault="00FB4D5E" w:rsidP="00B64144">
                  <w:pPr>
                    <w:rPr>
                      <w:sz w:val="20"/>
                      <w:szCs w:val="20"/>
                    </w:rPr>
                  </w:pPr>
                  <w:r w:rsidRPr="00FB4D5E">
                    <w:rPr>
                      <w:sz w:val="20"/>
                      <w:szCs w:val="20"/>
                    </w:rPr>
                    <w:t>63.1%</w:t>
                  </w:r>
                </w:p>
              </w:tc>
              <w:tc>
                <w:tcPr>
                  <w:tcW w:w="892" w:type="dxa"/>
                </w:tcPr>
                <w:p w:rsidR="00FB4D5E" w:rsidRPr="00FB4D5E" w:rsidRDefault="00FB4D5E" w:rsidP="00B64144">
                  <w:pPr>
                    <w:rPr>
                      <w:sz w:val="20"/>
                      <w:szCs w:val="20"/>
                    </w:rPr>
                  </w:pPr>
                  <w:r w:rsidRPr="00FB4D5E">
                    <w:rPr>
                      <w:sz w:val="20"/>
                      <w:szCs w:val="20"/>
                    </w:rPr>
                    <w:t>60.3%</w:t>
                  </w:r>
                </w:p>
              </w:tc>
              <w:tc>
                <w:tcPr>
                  <w:tcW w:w="892" w:type="dxa"/>
                </w:tcPr>
                <w:p w:rsidR="00FB4D5E" w:rsidRPr="00FB4D5E" w:rsidRDefault="00FB4D5E" w:rsidP="00B64144">
                  <w:pPr>
                    <w:rPr>
                      <w:sz w:val="20"/>
                      <w:szCs w:val="20"/>
                    </w:rPr>
                  </w:pPr>
                  <w:r w:rsidRPr="00FB4D5E">
                    <w:rPr>
                      <w:sz w:val="20"/>
                      <w:szCs w:val="20"/>
                    </w:rPr>
                    <w:t>66/6%</w:t>
                  </w:r>
                </w:p>
              </w:tc>
            </w:tr>
          </w:tbl>
          <w:p w:rsidR="00C57BCF" w:rsidRDefault="00FB4D5E" w:rsidP="00B64144">
            <w:pPr>
              <w:rPr>
                <w:sz w:val="20"/>
                <w:szCs w:val="20"/>
              </w:rPr>
            </w:pPr>
            <w:r w:rsidRPr="00FB4D5E">
              <w:rPr>
                <w:sz w:val="20"/>
                <w:szCs w:val="20"/>
              </w:rPr>
              <w:t>From this data, it is clear that students who do not have the prerequisite background are not as successful as those who have demonstrated the necessary mathematical ability.  This data is rather old, but we expect that these observations still exist and wil</w:t>
            </w:r>
            <w:r w:rsidR="00252C1A">
              <w:rPr>
                <w:sz w:val="20"/>
                <w:szCs w:val="20"/>
              </w:rPr>
              <w:t>l collect more recent data.  A survey of the General Chemistry instructors supports this assertion and we will work with RAR in the coming year to collect more recent data for both first-year courses.</w:t>
            </w:r>
          </w:p>
          <w:p w:rsidR="00FB4D5E" w:rsidRPr="00FB4D5E" w:rsidRDefault="00FB4D5E" w:rsidP="00B64144">
            <w:pPr>
              <w:rPr>
                <w:sz w:val="20"/>
                <w:szCs w:val="20"/>
              </w:rPr>
            </w:pPr>
            <w:r w:rsidRPr="00FB4D5E">
              <w:rPr>
                <w:sz w:val="20"/>
                <w:szCs w:val="20"/>
              </w:rPr>
              <w:t>In progress</w:t>
            </w:r>
            <w:r w:rsidR="00C57BCF">
              <w:rPr>
                <w:sz w:val="20"/>
                <w:szCs w:val="20"/>
              </w:rPr>
              <w:t xml:space="preserve">.  Success rates are being tallied and compared among adjuncts and full-time faculty.  Initial results </w:t>
            </w:r>
            <w:r w:rsidR="00BD5614">
              <w:rPr>
                <w:sz w:val="20"/>
                <w:szCs w:val="20"/>
              </w:rPr>
              <w:t>support this assertion to some degree; there are more complaints generated by students of adjunct faculty than are produced by students of full-time faculty.  However, we have several adjuncts whose students have given high marks for their classroom presentations.  In this next year, we will enlist the aid of RAR to gather more substantive data.</w:t>
            </w:r>
          </w:p>
          <w:p w:rsidR="00FB4D5E" w:rsidRPr="00FB4D5E" w:rsidRDefault="00FB4D5E" w:rsidP="00B64144">
            <w:pPr>
              <w:rPr>
                <w:sz w:val="20"/>
                <w:szCs w:val="20"/>
              </w:rPr>
            </w:pPr>
          </w:p>
          <w:p w:rsidR="001D69E9" w:rsidRDefault="001D69E9" w:rsidP="00B64144">
            <w:pPr>
              <w:rPr>
                <w:sz w:val="20"/>
                <w:szCs w:val="20"/>
              </w:rPr>
            </w:pPr>
          </w:p>
          <w:p w:rsidR="00FB4D5E" w:rsidRPr="00FB4D5E" w:rsidRDefault="00FB4D5E" w:rsidP="00B64144">
            <w:pPr>
              <w:rPr>
                <w:sz w:val="20"/>
                <w:szCs w:val="20"/>
              </w:rPr>
            </w:pPr>
            <w:r w:rsidRPr="00FB4D5E">
              <w:rPr>
                <w:sz w:val="20"/>
                <w:szCs w:val="20"/>
              </w:rPr>
              <w:t xml:space="preserve">One of the challenges faced by the department is the development of adjunct faculty.  </w:t>
            </w:r>
            <w:r w:rsidR="00BD5614">
              <w:rPr>
                <w:sz w:val="20"/>
                <w:szCs w:val="20"/>
              </w:rPr>
              <w:t>Most</w:t>
            </w:r>
            <w:r w:rsidRPr="00FB4D5E">
              <w:rPr>
                <w:sz w:val="20"/>
                <w:szCs w:val="20"/>
              </w:rPr>
              <w:t xml:space="preserve"> of the adjunct faculty have full-time jobs elsewhere, so finding the time for them to attend workshops and other training is a challenge.  We continue to monitor their work and offer suggestions and intervention where needed and appropriate.</w:t>
            </w:r>
          </w:p>
          <w:p w:rsidR="00FB4D5E" w:rsidRPr="00FB4D5E" w:rsidRDefault="00FB4D5E" w:rsidP="00B64144">
            <w:pPr>
              <w:rPr>
                <w:sz w:val="20"/>
                <w:szCs w:val="20"/>
              </w:rPr>
            </w:pPr>
          </w:p>
          <w:p w:rsidR="00794390" w:rsidRDefault="00794390" w:rsidP="00B64144">
            <w:pPr>
              <w:rPr>
                <w:sz w:val="20"/>
                <w:szCs w:val="20"/>
              </w:rPr>
            </w:pPr>
            <w:r>
              <w:rPr>
                <w:sz w:val="20"/>
                <w:szCs w:val="20"/>
              </w:rPr>
              <w:t>In progress.</w:t>
            </w:r>
          </w:p>
          <w:p w:rsidR="00FB4D5E" w:rsidRDefault="00724C4B" w:rsidP="00B64144">
            <w:pPr>
              <w:rPr>
                <w:sz w:val="20"/>
                <w:szCs w:val="20"/>
              </w:rPr>
            </w:pPr>
            <w:r>
              <w:rPr>
                <w:sz w:val="20"/>
                <w:szCs w:val="20"/>
              </w:rPr>
              <w:t xml:space="preserve">We currently have two Chemistry courses offered online.  One of these has online labs.  We are exploring the possibility of increasing the number of courses offered online, but are skeptical of including the lab component online.  It is the feeling of the department that, for the </w:t>
            </w:r>
            <w:r w:rsidR="00794390">
              <w:rPr>
                <w:sz w:val="20"/>
                <w:szCs w:val="20"/>
              </w:rPr>
              <w:t>labs associated with the health-related chemistry and the beginning course for chemistry majors, the students need</w:t>
            </w:r>
            <w:r w:rsidR="006C3C31">
              <w:rPr>
                <w:sz w:val="20"/>
                <w:szCs w:val="20"/>
              </w:rPr>
              <w:t xml:space="preserve"> to learn to properly use lab equipment, something not easily done without the immediate feedback in a normal lab setting that is</w:t>
            </w:r>
            <w:r w:rsidR="00794390">
              <w:rPr>
                <w:sz w:val="20"/>
                <w:szCs w:val="20"/>
              </w:rPr>
              <w:t xml:space="preserve"> not readily available in an online format.</w:t>
            </w:r>
            <w:r>
              <w:rPr>
                <w:sz w:val="20"/>
                <w:szCs w:val="20"/>
              </w:rPr>
              <w:t xml:space="preserve"> </w:t>
            </w:r>
            <w:r w:rsidR="006C3C31">
              <w:rPr>
                <w:sz w:val="20"/>
                <w:szCs w:val="20"/>
              </w:rPr>
              <w:t xml:space="preserve"> </w:t>
            </w:r>
          </w:p>
          <w:p w:rsidR="00794390" w:rsidRDefault="00794390" w:rsidP="00B64144">
            <w:pPr>
              <w:rPr>
                <w:sz w:val="20"/>
                <w:szCs w:val="20"/>
              </w:rPr>
            </w:pPr>
          </w:p>
          <w:p w:rsidR="0055333B" w:rsidRDefault="0055333B" w:rsidP="00B64144">
            <w:pPr>
              <w:rPr>
                <w:sz w:val="20"/>
                <w:szCs w:val="20"/>
              </w:rPr>
            </w:pPr>
          </w:p>
          <w:p w:rsidR="0055333B" w:rsidRDefault="0055333B" w:rsidP="00B64144">
            <w:pPr>
              <w:rPr>
                <w:sz w:val="20"/>
                <w:szCs w:val="20"/>
              </w:rPr>
            </w:pPr>
          </w:p>
          <w:p w:rsidR="00794390" w:rsidRPr="00FB4D5E" w:rsidRDefault="00794390" w:rsidP="00B64144">
            <w:pPr>
              <w:rPr>
                <w:sz w:val="20"/>
                <w:szCs w:val="20"/>
              </w:rPr>
            </w:pPr>
            <w:r>
              <w:rPr>
                <w:sz w:val="20"/>
                <w:szCs w:val="20"/>
              </w:rPr>
              <w:t>Geology is exploring a hybrid format for their beginning geology course.</w:t>
            </w:r>
          </w:p>
          <w:p w:rsidR="0055333B" w:rsidRDefault="0055333B" w:rsidP="00B64144">
            <w:pPr>
              <w:rPr>
                <w:sz w:val="20"/>
                <w:szCs w:val="20"/>
              </w:rPr>
            </w:pPr>
          </w:p>
          <w:p w:rsidR="0055333B" w:rsidRDefault="0055333B" w:rsidP="00B64144">
            <w:pPr>
              <w:rPr>
                <w:sz w:val="20"/>
                <w:szCs w:val="20"/>
              </w:rPr>
            </w:pPr>
          </w:p>
          <w:p w:rsidR="00FB4D5E" w:rsidRPr="00FB4D5E" w:rsidRDefault="00FB4D5E" w:rsidP="005C13E0">
            <w:pPr>
              <w:rPr>
                <w:sz w:val="20"/>
                <w:szCs w:val="20"/>
              </w:rPr>
            </w:pPr>
            <w:r w:rsidRPr="00FB4D5E">
              <w:rPr>
                <w:sz w:val="20"/>
                <w:szCs w:val="20"/>
              </w:rPr>
              <w:t xml:space="preserve">This is a college-wide issue.  We have not been able to systematically contact previous students except as they visit Sinclair or make contact with Sinclair instructors.  Generally speaking, each previous student has expressed </w:t>
            </w:r>
            <w:r w:rsidRPr="00FB4D5E">
              <w:rPr>
                <w:sz w:val="20"/>
                <w:szCs w:val="20"/>
              </w:rPr>
              <w:lastRenderedPageBreak/>
              <w:t xml:space="preserve">appreciation for the instruction received at Sinclair.  </w:t>
            </w:r>
            <w:r w:rsidR="005C13E0">
              <w:rPr>
                <w:sz w:val="20"/>
                <w:szCs w:val="20"/>
              </w:rPr>
              <w:t>We now have a list of recent graduates from whom we can obtain feedback.</w:t>
            </w:r>
          </w:p>
        </w:tc>
      </w:tr>
      <w:tr w:rsidR="00FB4D5E" w:rsidRPr="00FB4D5E" w:rsidTr="00B64144">
        <w:tc>
          <w:tcPr>
            <w:tcW w:w="3708" w:type="dxa"/>
          </w:tcPr>
          <w:p w:rsidR="00FB4D5E" w:rsidRPr="00FB4D5E" w:rsidRDefault="00FB4D5E" w:rsidP="00B64144">
            <w:pPr>
              <w:widowControl w:val="0"/>
              <w:tabs>
                <w:tab w:val="left" w:pos="720"/>
              </w:tabs>
              <w:autoSpaceDE w:val="0"/>
              <w:autoSpaceDN w:val="0"/>
              <w:adjustRightInd w:val="0"/>
              <w:rPr>
                <w:rFonts w:ascii="Arial" w:hAnsi="Arial" w:cs="Arial"/>
                <w:color w:val="000000"/>
                <w:sz w:val="20"/>
                <w:szCs w:val="20"/>
              </w:rPr>
            </w:pPr>
            <w:r w:rsidRPr="00FB4D5E">
              <w:rPr>
                <w:rFonts w:ascii="Arial" w:hAnsi="Arial" w:cs="Arial"/>
                <w:color w:val="000000"/>
                <w:sz w:val="20"/>
                <w:szCs w:val="20"/>
              </w:rPr>
              <w:lastRenderedPageBreak/>
              <w:t>Work with the Academic Staffing Coordinator to identify and implement a sustainable strategy to recruit part-time faculty members</w:t>
            </w:r>
          </w:p>
          <w:p w:rsidR="00FB4D5E" w:rsidRPr="00FB4D5E" w:rsidRDefault="00FB4D5E" w:rsidP="00B64144">
            <w:pPr>
              <w:rPr>
                <w:rFonts w:ascii="Arial" w:hAnsi="Arial" w:cs="Arial"/>
                <w:sz w:val="20"/>
                <w:szCs w:val="20"/>
              </w:rPr>
            </w:pPr>
          </w:p>
        </w:tc>
        <w:tc>
          <w:tcPr>
            <w:tcW w:w="2700" w:type="dxa"/>
          </w:tcPr>
          <w:p w:rsidR="00FB4D5E" w:rsidRPr="00FB4D5E" w:rsidRDefault="00FB4D5E" w:rsidP="00B64144">
            <w:pPr>
              <w:pStyle w:val="ListParagraph"/>
              <w:ind w:left="0"/>
              <w:rPr>
                <w:rFonts w:ascii="Arial" w:hAnsi="Arial" w:cs="Arial"/>
                <w:color w:val="000000" w:themeColor="text1"/>
                <w:sz w:val="20"/>
                <w:szCs w:val="20"/>
              </w:rPr>
            </w:pPr>
          </w:p>
          <w:p w:rsidR="00FB4D5E" w:rsidRPr="00FB4D5E" w:rsidRDefault="00FB4D5E" w:rsidP="00B64144">
            <w:pPr>
              <w:pStyle w:val="ListParagraph"/>
              <w:ind w:left="0"/>
              <w:rPr>
                <w:rFonts w:ascii="Arial" w:hAnsi="Arial" w:cs="Arial"/>
                <w:color w:val="000000" w:themeColor="text1"/>
                <w:sz w:val="20"/>
                <w:szCs w:val="20"/>
              </w:rPr>
            </w:pPr>
            <w:r w:rsidRPr="00FB4D5E">
              <w:rPr>
                <w:rFonts w:ascii="Arial" w:hAnsi="Arial" w:cs="Arial"/>
                <w:color w:val="000000" w:themeColor="text1"/>
                <w:sz w:val="20"/>
                <w:szCs w:val="20"/>
              </w:rPr>
              <w:t xml:space="preserve">In progress </w:t>
            </w:r>
            <w:r w:rsidRPr="00FB4D5E">
              <w:rPr>
                <w:sz w:val="20"/>
                <w:szCs w:val="20"/>
              </w:rPr>
              <w:fldChar w:fldCharType="begin">
                <w:ffData>
                  <w:name w:val=""/>
                  <w:enabled/>
                  <w:calcOnExit w:val="0"/>
                  <w:checkBox>
                    <w:sizeAuto/>
                    <w:default w:val="1"/>
                  </w:checkBox>
                </w:ffData>
              </w:fldChar>
            </w:r>
            <w:r w:rsidRPr="00FB4D5E">
              <w:rPr>
                <w:sz w:val="20"/>
                <w:szCs w:val="20"/>
              </w:rPr>
              <w:instrText xml:space="preserve"> FORMCHECKBOX </w:instrText>
            </w:r>
            <w:r w:rsidR="00133F2A">
              <w:rPr>
                <w:sz w:val="20"/>
                <w:szCs w:val="20"/>
              </w:rPr>
            </w:r>
            <w:r w:rsidR="00133F2A">
              <w:rPr>
                <w:sz w:val="20"/>
                <w:szCs w:val="20"/>
              </w:rPr>
              <w:fldChar w:fldCharType="separate"/>
            </w:r>
            <w:r w:rsidRPr="00FB4D5E">
              <w:rPr>
                <w:sz w:val="20"/>
                <w:szCs w:val="20"/>
              </w:rPr>
              <w:fldChar w:fldCharType="end"/>
            </w:r>
          </w:p>
          <w:p w:rsidR="00FB4D5E" w:rsidRPr="00FB4D5E" w:rsidRDefault="00FB4D5E" w:rsidP="00B64144">
            <w:pPr>
              <w:pStyle w:val="ListParagraph"/>
              <w:ind w:left="0"/>
              <w:rPr>
                <w:rFonts w:ascii="Arial" w:hAnsi="Arial" w:cs="Arial"/>
                <w:color w:val="000000" w:themeColor="text1"/>
                <w:sz w:val="20"/>
                <w:szCs w:val="20"/>
              </w:rPr>
            </w:pPr>
          </w:p>
          <w:p w:rsidR="00FB4D5E" w:rsidRPr="00FB4D5E" w:rsidRDefault="00FB4D5E" w:rsidP="00B64144">
            <w:pPr>
              <w:pStyle w:val="ListParagraph"/>
              <w:ind w:left="0"/>
              <w:rPr>
                <w:sz w:val="20"/>
                <w:szCs w:val="20"/>
              </w:rPr>
            </w:pPr>
            <w:r w:rsidRPr="00FB4D5E">
              <w:rPr>
                <w:rFonts w:ascii="Arial" w:hAnsi="Arial" w:cs="Arial"/>
                <w:color w:val="000000" w:themeColor="text1"/>
                <w:sz w:val="20"/>
                <w:szCs w:val="20"/>
              </w:rPr>
              <w:t xml:space="preserve">Completed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133F2A">
              <w:rPr>
                <w:sz w:val="20"/>
                <w:szCs w:val="20"/>
              </w:rPr>
            </w:r>
            <w:r w:rsidR="00133F2A">
              <w:rPr>
                <w:sz w:val="20"/>
                <w:szCs w:val="20"/>
              </w:rPr>
              <w:fldChar w:fldCharType="separate"/>
            </w:r>
            <w:r w:rsidRPr="00FB4D5E">
              <w:rPr>
                <w:sz w:val="20"/>
                <w:szCs w:val="20"/>
              </w:rPr>
              <w:fldChar w:fldCharType="end"/>
            </w:r>
          </w:p>
          <w:p w:rsidR="00FB4D5E" w:rsidRPr="00FB4D5E" w:rsidRDefault="00FB4D5E" w:rsidP="00B64144">
            <w:pPr>
              <w:pStyle w:val="ListParagraph"/>
              <w:ind w:left="0"/>
              <w:rPr>
                <w:rFonts w:ascii="Arial" w:hAnsi="Arial" w:cs="Arial"/>
                <w:color w:val="000000" w:themeColor="text1"/>
                <w:sz w:val="20"/>
                <w:szCs w:val="20"/>
              </w:rPr>
            </w:pPr>
          </w:p>
          <w:p w:rsidR="00FB4D5E" w:rsidRPr="00FB4D5E" w:rsidRDefault="00FB4D5E" w:rsidP="005C13E0">
            <w:pPr>
              <w:rPr>
                <w:rFonts w:ascii="Arial" w:hAnsi="Arial" w:cs="Arial"/>
                <w:color w:val="000000" w:themeColor="text1"/>
                <w:sz w:val="20"/>
                <w:szCs w:val="20"/>
              </w:rPr>
            </w:pPr>
            <w:r w:rsidRPr="00FB4D5E">
              <w:rPr>
                <w:rFonts w:ascii="Arial" w:hAnsi="Arial" w:cs="Arial"/>
                <w:color w:val="000000" w:themeColor="text1"/>
                <w:sz w:val="20"/>
                <w:szCs w:val="20"/>
              </w:rPr>
              <w:t xml:space="preserve">No longer applicable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133F2A">
              <w:rPr>
                <w:sz w:val="20"/>
                <w:szCs w:val="20"/>
              </w:rPr>
            </w:r>
            <w:r w:rsidR="00133F2A">
              <w:rPr>
                <w:sz w:val="20"/>
                <w:szCs w:val="20"/>
              </w:rPr>
              <w:fldChar w:fldCharType="separate"/>
            </w:r>
            <w:r w:rsidRPr="00FB4D5E">
              <w:rPr>
                <w:sz w:val="20"/>
                <w:szCs w:val="20"/>
              </w:rPr>
              <w:fldChar w:fldCharType="end"/>
            </w:r>
          </w:p>
        </w:tc>
        <w:tc>
          <w:tcPr>
            <w:tcW w:w="6480" w:type="dxa"/>
          </w:tcPr>
          <w:p w:rsidR="00FB4D5E" w:rsidRPr="00FB4D5E" w:rsidRDefault="00FB4D5E" w:rsidP="00B64144">
            <w:pPr>
              <w:rPr>
                <w:sz w:val="20"/>
                <w:szCs w:val="20"/>
              </w:rPr>
            </w:pPr>
            <w:r w:rsidRPr="00FB4D5E">
              <w:rPr>
                <w:sz w:val="20"/>
                <w:szCs w:val="20"/>
              </w:rPr>
              <w:t>This is a major issue for both Chemistry and Geology.  It is quite difficult to find qualified instructors, with appropriate knowledge and teaching skill</w:t>
            </w:r>
            <w:r w:rsidR="00407B1E">
              <w:rPr>
                <w:sz w:val="20"/>
                <w:szCs w:val="20"/>
              </w:rPr>
              <w:t>s</w:t>
            </w:r>
            <w:r w:rsidRPr="00FB4D5E">
              <w:rPr>
                <w:sz w:val="20"/>
                <w:szCs w:val="20"/>
              </w:rPr>
              <w:t xml:space="preserve">, in both of these areas who are available at the times needed.  Numerous advertisements have been placed in the local papers with limited results, particularly in the Dayton area.  </w:t>
            </w:r>
            <w:r w:rsidR="00407B1E">
              <w:rPr>
                <w:sz w:val="20"/>
                <w:szCs w:val="20"/>
              </w:rPr>
              <w:t xml:space="preserve">In the past year we have hired several new adjunct faculty to replace those who have moved on.  </w:t>
            </w:r>
            <w:r w:rsidRPr="00FB4D5E">
              <w:rPr>
                <w:sz w:val="20"/>
                <w:szCs w:val="20"/>
              </w:rPr>
              <w:t>We will continue to pursue all leads to create a list of potential adjunct instructors.</w:t>
            </w:r>
          </w:p>
        </w:tc>
      </w:tr>
      <w:tr w:rsidR="00FB4D5E" w:rsidRPr="00FB4D5E" w:rsidTr="00B64144">
        <w:tc>
          <w:tcPr>
            <w:tcW w:w="3708" w:type="dxa"/>
          </w:tcPr>
          <w:p w:rsidR="00FB4D5E" w:rsidRPr="00FB4D5E" w:rsidRDefault="00FB4D5E" w:rsidP="00B64144">
            <w:pPr>
              <w:autoSpaceDE w:val="0"/>
              <w:autoSpaceDN w:val="0"/>
              <w:adjustRightInd w:val="0"/>
              <w:rPr>
                <w:rFonts w:ascii="Arial" w:hAnsi="Arial" w:cs="Arial"/>
                <w:color w:val="000000"/>
                <w:sz w:val="20"/>
                <w:szCs w:val="20"/>
              </w:rPr>
            </w:pPr>
            <w:r w:rsidRPr="00FB4D5E">
              <w:rPr>
                <w:rFonts w:ascii="Arial" w:hAnsi="Arial" w:cs="Arial"/>
                <w:color w:val="000000"/>
                <w:sz w:val="20"/>
                <w:szCs w:val="20"/>
              </w:rPr>
              <w:t>As experienced faculty members consider retirement, it is recommended that the department develop formal approaches for documenting their knowledge so that as much as possible is preserved before these faculty members transition out of the department.</w:t>
            </w:r>
          </w:p>
          <w:p w:rsidR="00FB4D5E" w:rsidRPr="00FB4D5E" w:rsidRDefault="00FB4D5E" w:rsidP="00B64144">
            <w:pPr>
              <w:rPr>
                <w:rFonts w:ascii="Arial" w:hAnsi="Arial" w:cs="Arial"/>
                <w:sz w:val="20"/>
                <w:szCs w:val="20"/>
              </w:rPr>
            </w:pPr>
          </w:p>
        </w:tc>
        <w:tc>
          <w:tcPr>
            <w:tcW w:w="2700" w:type="dxa"/>
          </w:tcPr>
          <w:p w:rsidR="00FB4D5E" w:rsidRPr="00FB4D5E" w:rsidRDefault="00FB4D5E" w:rsidP="00B64144">
            <w:pPr>
              <w:pStyle w:val="ListParagraph"/>
              <w:ind w:left="0"/>
              <w:rPr>
                <w:rFonts w:ascii="Arial" w:hAnsi="Arial" w:cs="Arial"/>
                <w:color w:val="000000" w:themeColor="text1"/>
                <w:sz w:val="20"/>
                <w:szCs w:val="20"/>
              </w:rPr>
            </w:pPr>
          </w:p>
          <w:p w:rsidR="00FB4D5E" w:rsidRPr="00FB4D5E" w:rsidRDefault="00FB4D5E" w:rsidP="00B64144">
            <w:pPr>
              <w:pStyle w:val="ListParagraph"/>
              <w:ind w:left="0"/>
              <w:rPr>
                <w:rFonts w:ascii="Arial" w:hAnsi="Arial" w:cs="Arial"/>
                <w:color w:val="000000" w:themeColor="text1"/>
                <w:sz w:val="20"/>
                <w:szCs w:val="20"/>
              </w:rPr>
            </w:pPr>
            <w:r w:rsidRPr="00FB4D5E">
              <w:rPr>
                <w:rFonts w:ascii="Arial" w:hAnsi="Arial" w:cs="Arial"/>
                <w:color w:val="000000" w:themeColor="text1"/>
                <w:sz w:val="20"/>
                <w:szCs w:val="20"/>
              </w:rPr>
              <w:t xml:space="preserve">In progress </w:t>
            </w:r>
            <w:r w:rsidRPr="00FB4D5E">
              <w:rPr>
                <w:sz w:val="20"/>
                <w:szCs w:val="20"/>
              </w:rPr>
              <w:fldChar w:fldCharType="begin">
                <w:ffData>
                  <w:name w:val=""/>
                  <w:enabled/>
                  <w:calcOnExit w:val="0"/>
                  <w:checkBox>
                    <w:sizeAuto/>
                    <w:default w:val="1"/>
                  </w:checkBox>
                </w:ffData>
              </w:fldChar>
            </w:r>
            <w:r w:rsidRPr="00FB4D5E">
              <w:rPr>
                <w:sz w:val="20"/>
                <w:szCs w:val="20"/>
              </w:rPr>
              <w:instrText xml:space="preserve"> FORMCHECKBOX </w:instrText>
            </w:r>
            <w:r w:rsidR="00133F2A">
              <w:rPr>
                <w:sz w:val="20"/>
                <w:szCs w:val="20"/>
              </w:rPr>
            </w:r>
            <w:r w:rsidR="00133F2A">
              <w:rPr>
                <w:sz w:val="20"/>
                <w:szCs w:val="20"/>
              </w:rPr>
              <w:fldChar w:fldCharType="separate"/>
            </w:r>
            <w:r w:rsidRPr="00FB4D5E">
              <w:rPr>
                <w:sz w:val="20"/>
                <w:szCs w:val="20"/>
              </w:rPr>
              <w:fldChar w:fldCharType="end"/>
            </w:r>
          </w:p>
          <w:p w:rsidR="00FB4D5E" w:rsidRPr="00FB4D5E" w:rsidRDefault="00FB4D5E" w:rsidP="00B64144">
            <w:pPr>
              <w:pStyle w:val="ListParagraph"/>
              <w:ind w:left="0"/>
              <w:rPr>
                <w:rFonts w:ascii="Arial" w:hAnsi="Arial" w:cs="Arial"/>
                <w:color w:val="000000" w:themeColor="text1"/>
                <w:sz w:val="20"/>
                <w:szCs w:val="20"/>
              </w:rPr>
            </w:pPr>
          </w:p>
          <w:p w:rsidR="00FB4D5E" w:rsidRPr="00FB4D5E" w:rsidRDefault="00407B1E" w:rsidP="00B64144">
            <w:pPr>
              <w:pStyle w:val="ListParagraph"/>
              <w:ind w:left="0"/>
              <w:rPr>
                <w:sz w:val="20"/>
                <w:szCs w:val="20"/>
              </w:rPr>
            </w:pPr>
            <w:r>
              <w:rPr>
                <w:rFonts w:ascii="Arial" w:hAnsi="Arial" w:cs="Arial"/>
                <w:color w:val="000000" w:themeColor="text1"/>
                <w:sz w:val="20"/>
                <w:szCs w:val="20"/>
              </w:rPr>
              <w:t>Some c</w:t>
            </w:r>
            <w:r w:rsidR="00FB4D5E" w:rsidRPr="00FB4D5E">
              <w:rPr>
                <w:rFonts w:ascii="Arial" w:hAnsi="Arial" w:cs="Arial"/>
                <w:color w:val="000000" w:themeColor="text1"/>
                <w:sz w:val="20"/>
                <w:szCs w:val="20"/>
              </w:rPr>
              <w:t xml:space="preserve">ompleted </w:t>
            </w:r>
            <w:r>
              <w:rPr>
                <w:sz w:val="20"/>
                <w:szCs w:val="20"/>
              </w:rPr>
              <w:fldChar w:fldCharType="begin">
                <w:ffData>
                  <w:name w:val=""/>
                  <w:enabled/>
                  <w:calcOnExit w:val="0"/>
                  <w:checkBox>
                    <w:sizeAuto/>
                    <w:default w:val="1"/>
                  </w:checkBox>
                </w:ffData>
              </w:fldChar>
            </w:r>
            <w:r>
              <w:rPr>
                <w:sz w:val="20"/>
                <w:szCs w:val="20"/>
              </w:rPr>
              <w:instrText xml:space="preserve"> FORMCHECKBOX </w:instrText>
            </w:r>
            <w:r w:rsidR="00133F2A">
              <w:rPr>
                <w:sz w:val="20"/>
                <w:szCs w:val="20"/>
              </w:rPr>
            </w:r>
            <w:r w:rsidR="00133F2A">
              <w:rPr>
                <w:sz w:val="20"/>
                <w:szCs w:val="20"/>
              </w:rPr>
              <w:fldChar w:fldCharType="separate"/>
            </w:r>
            <w:r>
              <w:rPr>
                <w:sz w:val="20"/>
                <w:szCs w:val="20"/>
              </w:rPr>
              <w:fldChar w:fldCharType="end"/>
            </w:r>
          </w:p>
          <w:p w:rsidR="00FB4D5E" w:rsidRPr="00FB4D5E" w:rsidRDefault="00FB4D5E" w:rsidP="00B64144">
            <w:pPr>
              <w:pStyle w:val="ListParagraph"/>
              <w:ind w:left="0"/>
              <w:rPr>
                <w:rFonts w:ascii="Arial" w:hAnsi="Arial" w:cs="Arial"/>
                <w:color w:val="000000" w:themeColor="text1"/>
                <w:sz w:val="20"/>
                <w:szCs w:val="20"/>
              </w:rPr>
            </w:pPr>
          </w:p>
          <w:p w:rsidR="00FB4D5E" w:rsidRPr="00FB4D5E" w:rsidRDefault="00FB4D5E" w:rsidP="00B64144">
            <w:pPr>
              <w:rPr>
                <w:sz w:val="20"/>
                <w:szCs w:val="20"/>
              </w:rPr>
            </w:pPr>
            <w:r w:rsidRPr="00FB4D5E">
              <w:rPr>
                <w:rFonts w:ascii="Arial" w:hAnsi="Arial" w:cs="Arial"/>
                <w:color w:val="000000" w:themeColor="text1"/>
                <w:sz w:val="20"/>
                <w:szCs w:val="20"/>
              </w:rPr>
              <w:t xml:space="preserve">No longer applicable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133F2A">
              <w:rPr>
                <w:sz w:val="20"/>
                <w:szCs w:val="20"/>
              </w:rPr>
            </w:r>
            <w:r w:rsidR="00133F2A">
              <w:rPr>
                <w:sz w:val="20"/>
                <w:szCs w:val="20"/>
              </w:rPr>
              <w:fldChar w:fldCharType="separate"/>
            </w:r>
            <w:r w:rsidRPr="00FB4D5E">
              <w:rPr>
                <w:sz w:val="20"/>
                <w:szCs w:val="20"/>
              </w:rPr>
              <w:fldChar w:fldCharType="end"/>
            </w:r>
          </w:p>
          <w:p w:rsidR="00FB4D5E" w:rsidRPr="00FB4D5E" w:rsidRDefault="00FB4D5E" w:rsidP="00B64144">
            <w:pPr>
              <w:pStyle w:val="ListParagraph"/>
              <w:ind w:left="0"/>
              <w:rPr>
                <w:rFonts w:ascii="Arial" w:hAnsi="Arial" w:cs="Arial"/>
                <w:color w:val="000000" w:themeColor="text1"/>
                <w:sz w:val="20"/>
                <w:szCs w:val="20"/>
              </w:rPr>
            </w:pPr>
          </w:p>
        </w:tc>
        <w:tc>
          <w:tcPr>
            <w:tcW w:w="6480" w:type="dxa"/>
          </w:tcPr>
          <w:p w:rsidR="00FB4D5E" w:rsidRPr="00FB4D5E" w:rsidRDefault="00FB4D5E" w:rsidP="00407B1E">
            <w:pPr>
              <w:rPr>
                <w:sz w:val="20"/>
                <w:szCs w:val="20"/>
              </w:rPr>
            </w:pPr>
            <w:r w:rsidRPr="00FB4D5E">
              <w:rPr>
                <w:sz w:val="20"/>
                <w:szCs w:val="20"/>
              </w:rPr>
              <w:t xml:space="preserve">We </w:t>
            </w:r>
            <w:r w:rsidR="00407B1E">
              <w:rPr>
                <w:sz w:val="20"/>
                <w:szCs w:val="20"/>
              </w:rPr>
              <w:t>now have</w:t>
            </w:r>
            <w:r w:rsidRPr="00FB4D5E">
              <w:rPr>
                <w:sz w:val="20"/>
                <w:szCs w:val="20"/>
              </w:rPr>
              <w:t xml:space="preserve"> documents for the first semester of Introductory and General Chemistry.  These documents define the concepts that must be completed by the end of the term, those that can be included at the instructor’s discretion, and topics considered to be beyond the scope of the course.  A list of available demonstration kits are included with each document as are other suggestions for concept presentation.  These documents will be made available to each instructor to guide their individual classroom preparation.  They are also expected to minimize the instructional variability between sections yet allow for some variation in emphasis based on the individual instructor's interests.</w:t>
            </w:r>
            <w:r w:rsidR="00407B1E">
              <w:rPr>
                <w:sz w:val="20"/>
                <w:szCs w:val="20"/>
              </w:rPr>
              <w:t xml:space="preserve">  We are now working on similar documents for the second semester of each of the above courses.  Implementation of similar documents for College Chemistry and Organic Chemistry are in the works.</w:t>
            </w:r>
          </w:p>
        </w:tc>
      </w:tr>
      <w:tr w:rsidR="00FB4D5E" w:rsidRPr="00FB4D5E" w:rsidTr="00B64144">
        <w:tc>
          <w:tcPr>
            <w:tcW w:w="3708" w:type="dxa"/>
          </w:tcPr>
          <w:p w:rsidR="00FB4D5E" w:rsidRPr="00FB4D5E" w:rsidRDefault="00FB4D5E" w:rsidP="00B64144">
            <w:pPr>
              <w:autoSpaceDE w:val="0"/>
              <w:autoSpaceDN w:val="0"/>
              <w:adjustRightInd w:val="0"/>
              <w:rPr>
                <w:rFonts w:ascii="Arial" w:hAnsi="Arial" w:cs="Arial"/>
                <w:color w:val="000000"/>
                <w:sz w:val="20"/>
                <w:szCs w:val="20"/>
              </w:rPr>
            </w:pPr>
            <w:r w:rsidRPr="00FB4D5E">
              <w:rPr>
                <w:rFonts w:ascii="Arial" w:hAnsi="Arial" w:cs="Arial"/>
                <w:color w:val="000000"/>
                <w:sz w:val="20"/>
                <w:szCs w:val="20"/>
              </w:rPr>
              <w:t xml:space="preserve">The Program Review is an opportunity to highlight department successes, innovations, and strengths – it was the sense of the review team that there are a number of impressive things the department is doing and a number of faculty achievements that were not communicated in the self-study.  The department should utilize the Program Review and Annual Update processes to spotlight its strengths.  Prior to future Annual Update and Program Review submissions, the department should engage in some deep reflection regarding successes that should be shared.  The review team also felt that </w:t>
            </w:r>
            <w:r w:rsidRPr="00FB4D5E">
              <w:rPr>
                <w:rFonts w:ascii="Arial" w:hAnsi="Arial" w:cs="Arial"/>
                <w:color w:val="000000"/>
                <w:sz w:val="20"/>
                <w:szCs w:val="20"/>
              </w:rPr>
              <w:lastRenderedPageBreak/>
              <w:t>there could have been more reflection regarding opportunities for improvement in the department.  While some challenges were mentioned, often solutions were not proposed or discussed in the self-study.  The review team requests that the department conduct a more extensive Strengths/Weaknesses/Opportunities/Threats analysis and share it with the Provost’s Office within the next three months to ensure that the department is able to benefit from the self-assessment and thoughtful reflection that are one of the major benefits of the Program Review process and that should guide the development of the self-study.   The self-study document isn’t really the end product of Program Review – the opportunity for departmental self-reflection and improvement is really what the process is designed to produce.</w:t>
            </w:r>
          </w:p>
          <w:p w:rsidR="00FB4D5E" w:rsidRPr="00FB4D5E" w:rsidRDefault="00FB4D5E" w:rsidP="00B64144">
            <w:pPr>
              <w:rPr>
                <w:rFonts w:ascii="Arial" w:hAnsi="Arial" w:cs="Arial"/>
                <w:sz w:val="20"/>
                <w:szCs w:val="20"/>
              </w:rPr>
            </w:pPr>
          </w:p>
        </w:tc>
        <w:tc>
          <w:tcPr>
            <w:tcW w:w="2700" w:type="dxa"/>
          </w:tcPr>
          <w:p w:rsidR="00FB4D5E" w:rsidRPr="00FB4D5E" w:rsidRDefault="00FB4D5E" w:rsidP="00B64144">
            <w:pPr>
              <w:pStyle w:val="ListParagraph"/>
              <w:ind w:left="0"/>
              <w:rPr>
                <w:rFonts w:ascii="Arial" w:hAnsi="Arial" w:cs="Arial"/>
                <w:color w:val="000000" w:themeColor="text1"/>
                <w:sz w:val="20"/>
                <w:szCs w:val="20"/>
              </w:rPr>
            </w:pPr>
          </w:p>
          <w:p w:rsidR="00FB4D5E" w:rsidRPr="00FB4D5E" w:rsidRDefault="00FB4D5E" w:rsidP="00B64144">
            <w:pPr>
              <w:pStyle w:val="ListParagraph"/>
              <w:ind w:left="0"/>
              <w:rPr>
                <w:rFonts w:ascii="Arial" w:hAnsi="Arial" w:cs="Arial"/>
                <w:color w:val="000000" w:themeColor="text1"/>
                <w:sz w:val="20"/>
                <w:szCs w:val="20"/>
              </w:rPr>
            </w:pPr>
            <w:r w:rsidRPr="00FB4D5E">
              <w:rPr>
                <w:rFonts w:ascii="Arial" w:hAnsi="Arial" w:cs="Arial"/>
                <w:color w:val="000000" w:themeColor="text1"/>
                <w:sz w:val="20"/>
                <w:szCs w:val="20"/>
              </w:rPr>
              <w:t xml:space="preserve">In progress </w:t>
            </w:r>
            <w:r w:rsidR="0055333B" w:rsidRPr="00FB4D5E">
              <w:rPr>
                <w:sz w:val="20"/>
                <w:szCs w:val="20"/>
              </w:rPr>
              <w:fldChar w:fldCharType="begin">
                <w:ffData>
                  <w:name w:val=""/>
                  <w:enabled/>
                  <w:calcOnExit w:val="0"/>
                  <w:checkBox>
                    <w:sizeAuto/>
                    <w:default w:val="1"/>
                  </w:checkBox>
                </w:ffData>
              </w:fldChar>
            </w:r>
            <w:r w:rsidR="0055333B" w:rsidRPr="00FB4D5E">
              <w:rPr>
                <w:sz w:val="20"/>
                <w:szCs w:val="20"/>
              </w:rPr>
              <w:instrText xml:space="preserve"> FORMCHECKBOX </w:instrText>
            </w:r>
            <w:r w:rsidR="00133F2A">
              <w:rPr>
                <w:sz w:val="20"/>
                <w:szCs w:val="20"/>
              </w:rPr>
            </w:r>
            <w:r w:rsidR="00133F2A">
              <w:rPr>
                <w:sz w:val="20"/>
                <w:szCs w:val="20"/>
              </w:rPr>
              <w:fldChar w:fldCharType="separate"/>
            </w:r>
            <w:r w:rsidR="0055333B" w:rsidRPr="00FB4D5E">
              <w:rPr>
                <w:sz w:val="20"/>
                <w:szCs w:val="20"/>
              </w:rPr>
              <w:fldChar w:fldCharType="end"/>
            </w:r>
          </w:p>
          <w:p w:rsidR="00FB4D5E" w:rsidRPr="00FB4D5E" w:rsidRDefault="00FB4D5E" w:rsidP="00B64144">
            <w:pPr>
              <w:pStyle w:val="ListParagraph"/>
              <w:ind w:left="0"/>
              <w:rPr>
                <w:rFonts w:ascii="Arial" w:hAnsi="Arial" w:cs="Arial"/>
                <w:color w:val="000000" w:themeColor="text1"/>
                <w:sz w:val="20"/>
                <w:szCs w:val="20"/>
              </w:rPr>
            </w:pPr>
          </w:p>
          <w:p w:rsidR="00FB4D5E" w:rsidRPr="00FB4D5E" w:rsidRDefault="00FB4D5E" w:rsidP="00B64144">
            <w:pPr>
              <w:pStyle w:val="ListParagraph"/>
              <w:ind w:left="0"/>
              <w:rPr>
                <w:sz w:val="20"/>
                <w:szCs w:val="20"/>
              </w:rPr>
            </w:pPr>
            <w:r w:rsidRPr="00FB4D5E">
              <w:rPr>
                <w:rFonts w:ascii="Arial" w:hAnsi="Arial" w:cs="Arial"/>
                <w:color w:val="000000" w:themeColor="text1"/>
                <w:sz w:val="20"/>
                <w:szCs w:val="20"/>
              </w:rPr>
              <w:t xml:space="preserve">Completed </w:t>
            </w:r>
            <w:r w:rsidR="0055333B" w:rsidRPr="00FB4D5E">
              <w:rPr>
                <w:sz w:val="20"/>
                <w:szCs w:val="20"/>
              </w:rPr>
              <w:fldChar w:fldCharType="begin">
                <w:ffData>
                  <w:name w:val="Check1"/>
                  <w:enabled/>
                  <w:calcOnExit w:val="0"/>
                  <w:checkBox>
                    <w:sizeAuto/>
                    <w:default w:val="0"/>
                  </w:checkBox>
                </w:ffData>
              </w:fldChar>
            </w:r>
            <w:r w:rsidR="0055333B" w:rsidRPr="00FB4D5E">
              <w:rPr>
                <w:sz w:val="20"/>
                <w:szCs w:val="20"/>
              </w:rPr>
              <w:instrText xml:space="preserve"> FORMCHECKBOX </w:instrText>
            </w:r>
            <w:r w:rsidR="00133F2A">
              <w:rPr>
                <w:sz w:val="20"/>
                <w:szCs w:val="20"/>
              </w:rPr>
            </w:r>
            <w:r w:rsidR="00133F2A">
              <w:rPr>
                <w:sz w:val="20"/>
                <w:szCs w:val="20"/>
              </w:rPr>
              <w:fldChar w:fldCharType="separate"/>
            </w:r>
            <w:r w:rsidR="0055333B" w:rsidRPr="00FB4D5E">
              <w:rPr>
                <w:sz w:val="20"/>
                <w:szCs w:val="20"/>
              </w:rPr>
              <w:fldChar w:fldCharType="end"/>
            </w:r>
          </w:p>
          <w:p w:rsidR="00FB4D5E" w:rsidRPr="00FB4D5E" w:rsidRDefault="00FB4D5E" w:rsidP="00B64144">
            <w:pPr>
              <w:pStyle w:val="ListParagraph"/>
              <w:ind w:left="0"/>
              <w:rPr>
                <w:rFonts w:ascii="Arial" w:hAnsi="Arial" w:cs="Arial"/>
                <w:color w:val="000000" w:themeColor="text1"/>
                <w:sz w:val="20"/>
                <w:szCs w:val="20"/>
              </w:rPr>
            </w:pPr>
          </w:p>
          <w:p w:rsidR="00FB4D5E" w:rsidRPr="00FB4D5E" w:rsidRDefault="00FB4D5E" w:rsidP="00B64144">
            <w:pPr>
              <w:rPr>
                <w:sz w:val="20"/>
                <w:szCs w:val="20"/>
              </w:rPr>
            </w:pPr>
            <w:r w:rsidRPr="00FB4D5E">
              <w:rPr>
                <w:rFonts w:ascii="Arial" w:hAnsi="Arial" w:cs="Arial"/>
                <w:color w:val="000000" w:themeColor="text1"/>
                <w:sz w:val="20"/>
                <w:szCs w:val="20"/>
              </w:rPr>
              <w:t xml:space="preserve">No longer applicable </w:t>
            </w:r>
            <w:r w:rsidRPr="00FB4D5E">
              <w:rPr>
                <w:sz w:val="20"/>
                <w:szCs w:val="20"/>
              </w:rPr>
              <w:fldChar w:fldCharType="begin">
                <w:ffData>
                  <w:name w:val="Check1"/>
                  <w:enabled/>
                  <w:calcOnExit w:val="0"/>
                  <w:checkBox>
                    <w:sizeAuto/>
                    <w:default w:val="0"/>
                  </w:checkBox>
                </w:ffData>
              </w:fldChar>
            </w:r>
            <w:r w:rsidRPr="00FB4D5E">
              <w:rPr>
                <w:sz w:val="20"/>
                <w:szCs w:val="20"/>
              </w:rPr>
              <w:instrText xml:space="preserve"> FORMCHECKBOX </w:instrText>
            </w:r>
            <w:r w:rsidR="00133F2A">
              <w:rPr>
                <w:sz w:val="20"/>
                <w:szCs w:val="20"/>
              </w:rPr>
            </w:r>
            <w:r w:rsidR="00133F2A">
              <w:rPr>
                <w:sz w:val="20"/>
                <w:szCs w:val="20"/>
              </w:rPr>
              <w:fldChar w:fldCharType="separate"/>
            </w:r>
            <w:r w:rsidRPr="00FB4D5E">
              <w:rPr>
                <w:sz w:val="20"/>
                <w:szCs w:val="20"/>
              </w:rPr>
              <w:fldChar w:fldCharType="end"/>
            </w:r>
          </w:p>
          <w:p w:rsidR="00FB4D5E" w:rsidRPr="00FB4D5E" w:rsidRDefault="00FB4D5E" w:rsidP="00B64144">
            <w:pPr>
              <w:pStyle w:val="ListParagraph"/>
              <w:ind w:left="0"/>
              <w:rPr>
                <w:rFonts w:ascii="Arial" w:hAnsi="Arial" w:cs="Arial"/>
                <w:color w:val="000000" w:themeColor="text1"/>
                <w:sz w:val="20"/>
                <w:szCs w:val="20"/>
              </w:rPr>
            </w:pPr>
          </w:p>
        </w:tc>
        <w:tc>
          <w:tcPr>
            <w:tcW w:w="6480" w:type="dxa"/>
          </w:tcPr>
          <w:p w:rsidR="00FB4D5E" w:rsidRPr="00FB4D5E" w:rsidRDefault="0055333B" w:rsidP="00B64144">
            <w:pPr>
              <w:rPr>
                <w:sz w:val="20"/>
                <w:szCs w:val="20"/>
              </w:rPr>
            </w:pPr>
            <w:r>
              <w:rPr>
                <w:sz w:val="20"/>
                <w:szCs w:val="20"/>
              </w:rPr>
              <w:t>This is still in discussion.</w:t>
            </w:r>
          </w:p>
        </w:tc>
      </w:tr>
    </w:tbl>
    <w:p w:rsidR="00E24D49" w:rsidRDefault="00E24D49">
      <w:r>
        <w:lastRenderedPageBreak/>
        <w:br w:type="page"/>
      </w:r>
    </w:p>
    <w:p w:rsidR="003C59D8" w:rsidRPr="000278A4" w:rsidRDefault="003C59D8" w:rsidP="003C59D8">
      <w:pPr>
        <w:rPr>
          <w:rFonts w:ascii="Arial" w:hAnsi="Arial" w:cs="Arial"/>
          <w:b/>
          <w:sz w:val="20"/>
          <w:szCs w:val="20"/>
          <w:u w:val="single"/>
        </w:rPr>
      </w:pPr>
      <w:r w:rsidRPr="000278A4">
        <w:rPr>
          <w:rFonts w:ascii="Arial" w:hAnsi="Arial" w:cs="Arial"/>
          <w:b/>
          <w:sz w:val="20"/>
          <w:szCs w:val="20"/>
          <w:u w:val="single"/>
        </w:rPr>
        <w:lastRenderedPageBreak/>
        <w:t>Section II: Assessment of General Education &amp; Degree Program Outcomes</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sz w:val="20"/>
          <w:szCs w:val="20"/>
        </w:rPr>
      </w:pPr>
      <w:r w:rsidRPr="000278A4">
        <w:rPr>
          <w:rFonts w:ascii="Arial" w:hAnsi="Arial" w:cs="Arial"/>
          <w:sz w:val="20"/>
          <w:szCs w:val="20"/>
        </w:rPr>
        <w:t xml:space="preserve">The Program Outcomes for the degrees are listed below.  </w:t>
      </w:r>
      <w:r w:rsidRPr="000278A4">
        <w:rPr>
          <w:rFonts w:ascii="Arial" w:hAnsi="Arial" w:cs="Arial"/>
          <w:b/>
          <w:sz w:val="20"/>
          <w:szCs w:val="20"/>
        </w:rPr>
        <w:t>All program outcomes must be assessed at least once during the 5 year Program Review cycle, and assessment of program outcomes must occur each year</w:t>
      </w:r>
      <w:r w:rsidRPr="000278A4">
        <w:rPr>
          <w:rFonts w:ascii="Arial" w:hAnsi="Arial" w:cs="Arial"/>
          <w:sz w:val="20"/>
          <w:szCs w:val="20"/>
        </w:rPr>
        <w:t xml:space="preserve">. </w:t>
      </w:r>
    </w:p>
    <w:p w:rsidR="003C59D8" w:rsidRPr="000278A4" w:rsidRDefault="003C59D8" w:rsidP="003C59D8">
      <w:pPr>
        <w:rPr>
          <w:rFonts w:ascii="Arial" w:hAnsi="Arial" w:cs="Arial"/>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NOTE – FOR THE PREVIOUS YEAR AND THIS YEAR, REPORTING OF GENERAL EDUCATION OUTCOME ASSESSMENT HAS BEEN TEMPORARILY POSTPONED.  WE WOULD ASK THAT IN THIS ANNUAL UPDATE YOU IDENTIFY AT LEAST ONE COURSE IN YOUR DEGREE PROGRAM(S) WHERE ASSESSEMENT AT THE MASTERY LEVEL WILL OCCUR FOR THE FOLLOWING GENERAL EDUCATION OUTCOME:</w:t>
      </w:r>
    </w:p>
    <w:p w:rsidR="003C59D8" w:rsidRPr="000278A4" w:rsidRDefault="003C59D8" w:rsidP="003C59D8">
      <w:pPr>
        <w:rPr>
          <w:rFonts w:ascii="Arial" w:hAnsi="Arial" w:cs="Arial"/>
          <w:b/>
          <w:sz w:val="20"/>
          <w:szCs w:val="20"/>
        </w:rPr>
      </w:pPr>
    </w:p>
    <w:p w:rsidR="003C59D8" w:rsidRPr="003C59D8" w:rsidRDefault="003C59D8" w:rsidP="003C59D8">
      <w:pPr>
        <w:pStyle w:val="ListParagraph"/>
        <w:numPr>
          <w:ilvl w:val="0"/>
          <w:numId w:val="18"/>
        </w:numPr>
        <w:rPr>
          <w:rFonts w:ascii="Arial" w:hAnsi="Arial" w:cs="Arial"/>
          <w:b/>
          <w:sz w:val="28"/>
          <w:szCs w:val="28"/>
        </w:rPr>
      </w:pPr>
      <w:r w:rsidRPr="003C59D8">
        <w:rPr>
          <w:rFonts w:ascii="Arial" w:hAnsi="Arial" w:cs="Arial"/>
          <w:b/>
          <w:sz w:val="28"/>
          <w:szCs w:val="28"/>
          <w:u w:val="single"/>
        </w:rPr>
        <w:t>Cultural Diversity &amp; Global Citizenship</w:t>
      </w:r>
      <w:r w:rsidRPr="003C59D8">
        <w:rPr>
          <w:rFonts w:ascii="Arial" w:hAnsi="Arial" w:cs="Arial"/>
          <w:b/>
          <w:sz w:val="28"/>
          <w:szCs w:val="28"/>
        </w:rPr>
        <w:t>: Apply knowledge of cultural diversity to real world context by acknowledging, understanding, and engaging constructively within the contemporary world.</w:t>
      </w:r>
    </w:p>
    <w:p w:rsidR="003C59D8" w:rsidRPr="000278A4" w:rsidRDefault="003C59D8" w:rsidP="003C59D8">
      <w:pPr>
        <w:pStyle w:val="ListParagraph"/>
        <w:ind w:left="1440"/>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PLEASE RESPOND TO THE FOLLOWING QUESTIONS:</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Do you have a </w:t>
      </w:r>
      <w:r w:rsidRPr="000278A4">
        <w:rPr>
          <w:rFonts w:ascii="Arial" w:hAnsi="Arial" w:cs="Arial"/>
          <w:b/>
          <w:sz w:val="20"/>
          <w:szCs w:val="20"/>
          <w:u w:val="single"/>
        </w:rPr>
        <w:t>required</w:t>
      </w:r>
      <w:r w:rsidRPr="000278A4">
        <w:rPr>
          <w:rFonts w:ascii="Arial" w:hAnsi="Arial" w:cs="Arial"/>
          <w:b/>
          <w:sz w:val="20"/>
          <w:szCs w:val="20"/>
        </w:rPr>
        <w:t xml:space="preserve"> course in your program curriculum where Cultural Diversity &amp; Global Citizenship could be assessed for mastery?     </w:t>
      </w:r>
    </w:p>
    <w:p w:rsidR="003C59D8" w:rsidRPr="000278A4" w:rsidRDefault="00133F2A" w:rsidP="003C59D8">
      <w:pPr>
        <w:ind w:firstLine="720"/>
        <w:rPr>
          <w:rFonts w:ascii="Arial" w:hAnsi="Arial" w:cs="Arial"/>
          <w:b/>
          <w:sz w:val="20"/>
          <w:szCs w:val="20"/>
        </w:rPr>
      </w:pPr>
      <w:sdt>
        <w:sdtPr>
          <w:rPr>
            <w:rFonts w:ascii="Arial" w:hAnsi="Arial" w:cs="Arial"/>
            <w:b/>
            <w:sz w:val="20"/>
            <w:szCs w:val="20"/>
          </w:rPr>
          <w:id w:val="-1336062823"/>
          <w14:checkbox>
            <w14:checked w14:val="0"/>
            <w14:checkedState w14:val="2612" w14:font="MS Gothic"/>
            <w14:uncheckedState w14:val="2610" w14:font="MS Gothic"/>
          </w14:checkbox>
        </w:sdtPr>
        <w:sdtEndPr/>
        <w:sdtContent>
          <w:r w:rsidR="00464EA9">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638496983"/>
          <w14:checkbox>
            <w14:checked w14:val="1"/>
            <w14:checkedState w14:val="2612" w14:font="MS Gothic"/>
            <w14:uncheckedState w14:val="2610" w14:font="MS Gothic"/>
          </w14:checkbox>
        </w:sdtPr>
        <w:sdtEndPr/>
        <w:sdtContent>
          <w:r w:rsidR="00A62E49">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735521443"/>
          <w:placeholder>
            <w:docPart w:val="5F3C28C3C1BA454EA4C5D9CC4EEADE3C"/>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 </w:t>
      </w:r>
      <w:r w:rsidRPr="000278A4">
        <w:rPr>
          <w:rFonts w:ascii="Arial" w:hAnsi="Arial" w:cs="Arial"/>
          <w:b/>
          <w:sz w:val="20"/>
          <w:szCs w:val="20"/>
          <w:u w:val="single"/>
        </w:rPr>
        <w:t>elective</w:t>
      </w:r>
      <w:r w:rsidRPr="000278A4">
        <w:rPr>
          <w:rFonts w:ascii="Arial" w:hAnsi="Arial" w:cs="Arial"/>
          <w:b/>
          <w:sz w:val="20"/>
          <w:szCs w:val="20"/>
        </w:rPr>
        <w:t xml:space="preserve"> course that is listed on your </w:t>
      </w:r>
      <w:r w:rsidRPr="000278A4">
        <w:rPr>
          <w:rFonts w:ascii="Arial" w:hAnsi="Arial" w:cs="Arial"/>
          <w:b/>
          <w:sz w:val="20"/>
          <w:szCs w:val="20"/>
          <w:u w:val="single"/>
        </w:rPr>
        <w:t>Preferred Program Pathway Template</w:t>
      </w:r>
      <w:r w:rsidRPr="000278A4">
        <w:rPr>
          <w:rFonts w:ascii="Arial" w:hAnsi="Arial" w:cs="Arial"/>
          <w:b/>
          <w:sz w:val="20"/>
          <w:szCs w:val="20"/>
        </w:rPr>
        <w:t xml:space="preserve"> where Cultural Diversity &amp; Global Citizenship could be assessed for mastery?     </w:t>
      </w:r>
    </w:p>
    <w:p w:rsidR="003C59D8" w:rsidRPr="000278A4" w:rsidRDefault="00133F2A" w:rsidP="003C59D8">
      <w:pPr>
        <w:ind w:firstLine="720"/>
        <w:rPr>
          <w:rFonts w:ascii="Arial" w:hAnsi="Arial" w:cs="Arial"/>
          <w:b/>
          <w:sz w:val="20"/>
          <w:szCs w:val="20"/>
        </w:rPr>
      </w:pPr>
      <w:sdt>
        <w:sdtPr>
          <w:rPr>
            <w:rFonts w:ascii="Arial" w:hAnsi="Arial" w:cs="Arial"/>
            <w:b/>
            <w:sz w:val="20"/>
            <w:szCs w:val="20"/>
          </w:rPr>
          <w:id w:val="-25953429"/>
          <w14:checkbox>
            <w14:checked w14:val="1"/>
            <w14:checkedState w14:val="2612" w14:font="MS Gothic"/>
            <w14:uncheckedState w14:val="2610" w14:font="MS Gothic"/>
          </w14:checkbox>
        </w:sdtPr>
        <w:sdtEndPr/>
        <w:sdtContent>
          <w:r w:rsidR="00A62E49">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74895123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1883592215"/>
          <w:placeholder>
            <w:docPart w:val="EB8E1AD1C64F4161A995F3248EC1F899"/>
          </w:placeholder>
        </w:sdtPr>
        <w:sdtEndPr/>
        <w:sdtContent>
          <w:r w:rsidR="00A62E49">
            <w:t>Intro. to Cultural Anthropology, SOC 1145</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If no, is there another </w:t>
      </w:r>
      <w:r w:rsidRPr="000278A4">
        <w:rPr>
          <w:rFonts w:ascii="Arial" w:hAnsi="Arial" w:cs="Arial"/>
          <w:b/>
          <w:sz w:val="20"/>
          <w:szCs w:val="20"/>
          <w:u w:val="single"/>
        </w:rPr>
        <w:t>elective</w:t>
      </w:r>
      <w:r w:rsidRPr="000278A4">
        <w:rPr>
          <w:rFonts w:ascii="Arial" w:hAnsi="Arial" w:cs="Arial"/>
          <w:b/>
          <w:sz w:val="20"/>
          <w:szCs w:val="20"/>
        </w:rPr>
        <w:t xml:space="preserve"> course that is an option in your program curriculum where Cultural Diversity &amp; Global Citizenship could be assessed for mastery?     </w:t>
      </w:r>
    </w:p>
    <w:p w:rsidR="003C59D8" w:rsidRPr="000278A4" w:rsidRDefault="00133F2A" w:rsidP="003C59D8">
      <w:pPr>
        <w:ind w:firstLine="720"/>
        <w:rPr>
          <w:rFonts w:ascii="Arial" w:hAnsi="Arial" w:cs="Arial"/>
          <w:b/>
          <w:sz w:val="20"/>
          <w:szCs w:val="20"/>
        </w:rPr>
      </w:pPr>
      <w:sdt>
        <w:sdtPr>
          <w:rPr>
            <w:rFonts w:ascii="Arial" w:hAnsi="Arial" w:cs="Arial"/>
            <w:b/>
            <w:sz w:val="20"/>
            <w:szCs w:val="20"/>
          </w:rPr>
          <w:id w:val="1850374340"/>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Yes   </w:t>
      </w:r>
      <w:sdt>
        <w:sdtPr>
          <w:rPr>
            <w:rFonts w:ascii="Arial" w:hAnsi="Arial" w:cs="Arial"/>
            <w:b/>
            <w:sz w:val="20"/>
            <w:szCs w:val="20"/>
          </w:rPr>
          <w:id w:val="1610005156"/>
          <w14:checkbox>
            <w14:checked w14:val="0"/>
            <w14:checkedState w14:val="2612" w14:font="MS Gothic"/>
            <w14:uncheckedState w14:val="2610" w14:font="MS Gothic"/>
          </w14:checkbox>
        </w:sdtPr>
        <w:sdtEndPr/>
        <w:sdtContent>
          <w:r w:rsidR="003C59D8" w:rsidRPr="000278A4">
            <w:rPr>
              <w:rFonts w:ascii="MS Gothic" w:eastAsia="MS Gothic" w:hAnsi="MS Gothic" w:cs="Arial" w:hint="eastAsia"/>
              <w:b/>
              <w:sz w:val="20"/>
              <w:szCs w:val="20"/>
            </w:rPr>
            <w:t>☐</w:t>
          </w:r>
        </w:sdtContent>
      </w:sdt>
      <w:r w:rsidR="003C59D8" w:rsidRPr="000278A4">
        <w:rPr>
          <w:rFonts w:ascii="Arial" w:hAnsi="Arial" w:cs="Arial"/>
          <w:b/>
          <w:sz w:val="20"/>
          <w:szCs w:val="20"/>
        </w:rPr>
        <w:t xml:space="preserve">No       If yes, please list the course: </w:t>
      </w:r>
      <w:sdt>
        <w:sdtPr>
          <w:rPr>
            <w:rFonts w:ascii="Arial" w:hAnsi="Arial" w:cs="Arial"/>
            <w:b/>
            <w:sz w:val="20"/>
            <w:szCs w:val="20"/>
          </w:rPr>
          <w:id w:val="-929891911"/>
          <w:placeholder>
            <w:docPart w:val="DC79411A006A446685E336E7193D0493"/>
          </w:placeholder>
          <w:showingPlcHdr/>
        </w:sdtPr>
        <w:sdtEndPr/>
        <w:sdtContent>
          <w:r w:rsidR="003C59D8" w:rsidRPr="000278A4">
            <w:rPr>
              <w:rStyle w:val="PlaceholderText"/>
              <w:rFonts w:eastAsiaTheme="minorHAnsi"/>
            </w:rPr>
            <w:t>Click here to enter text.</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If no, where do students master Cultural Diversity &amp; Global Citizenship in your program?  Do you need assistance incorporating this General Education outcome into your degree program?</w:t>
      </w:r>
    </w:p>
    <w:p w:rsidR="003C59D8" w:rsidRPr="000278A4" w:rsidRDefault="003C59D8" w:rsidP="003C59D8">
      <w:pPr>
        <w:rPr>
          <w:rFonts w:ascii="Arial" w:hAnsi="Arial" w:cs="Arial"/>
          <w:b/>
          <w:sz w:val="20"/>
          <w:szCs w:val="20"/>
        </w:rPr>
      </w:pPr>
    </w:p>
    <w:p w:rsidR="003C59D8" w:rsidRPr="000278A4" w:rsidRDefault="00133F2A" w:rsidP="003C59D8">
      <w:pPr>
        <w:rPr>
          <w:rFonts w:ascii="Arial" w:hAnsi="Arial" w:cs="Arial"/>
          <w:b/>
          <w:sz w:val="20"/>
          <w:szCs w:val="20"/>
        </w:rPr>
      </w:pPr>
      <w:sdt>
        <w:sdtPr>
          <w:rPr>
            <w:rFonts w:ascii="Arial" w:hAnsi="Arial" w:cs="Arial"/>
            <w:b/>
            <w:sz w:val="20"/>
            <w:szCs w:val="20"/>
          </w:rPr>
          <w:id w:val="-241185754"/>
          <w:placeholder>
            <w:docPart w:val="88C8126C81614E2DA0E2C84ECD62660B"/>
          </w:placeholder>
        </w:sdtPr>
        <w:sdtEndPr/>
        <w:sdtContent>
          <w:r w:rsidR="00A62E49">
            <w:rPr>
              <w:rFonts w:ascii="Arial" w:hAnsi="Arial" w:cs="Arial"/>
              <w:b/>
              <w:sz w:val="20"/>
              <w:szCs w:val="20"/>
            </w:rPr>
            <w:t>In our chemistry courses, instructors are expected to address this issue by using current issues, particularly as they relate to the environmental impact from the use of chemicals.  The intent is to raise awareness of how chemicals can affect, either positively or negatively, the biodiversity around us.  Currently, we have no good way to assess if students have mastered this competency and need to determine how best to do so.</w:t>
          </w:r>
        </w:sdtContent>
      </w:sdt>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b/>
          <w:sz w:val="20"/>
          <w:szCs w:val="20"/>
        </w:rPr>
      </w:pPr>
      <w:r w:rsidRPr="000278A4">
        <w:rPr>
          <w:rFonts w:ascii="Arial" w:hAnsi="Arial" w:cs="Arial"/>
          <w:b/>
          <w:sz w:val="20"/>
          <w:szCs w:val="20"/>
        </w:rPr>
        <w:t xml:space="preserve">NOTE THAT THERE WILL NEED TO BE AT LEAST ONE EXAM / ASSIGNMENT / ACTIVITY IN THIS COURSE THAT CAN BE USED TO ASSESS MASTERY OF THE COMPETENCY.  </w:t>
      </w:r>
    </w:p>
    <w:p w:rsidR="003C59D8" w:rsidRPr="000278A4" w:rsidRDefault="003C59D8" w:rsidP="003C59D8">
      <w:pPr>
        <w:rPr>
          <w:rFonts w:ascii="Arial" w:hAnsi="Arial" w:cs="Arial"/>
          <w:b/>
          <w:sz w:val="20"/>
          <w:szCs w:val="20"/>
        </w:rPr>
      </w:pPr>
    </w:p>
    <w:p w:rsidR="003C59D8" w:rsidRPr="000278A4" w:rsidRDefault="003C59D8" w:rsidP="003C59D8">
      <w:pPr>
        <w:rPr>
          <w:rFonts w:ascii="Arial" w:hAnsi="Arial" w:cs="Arial"/>
          <w:sz w:val="20"/>
          <w:szCs w:val="20"/>
        </w:rPr>
      </w:pPr>
      <w:r w:rsidRPr="000278A4">
        <w:rPr>
          <w:rFonts w:ascii="Arial" w:hAnsi="Arial" w:cs="Arial"/>
          <w:b/>
          <w:sz w:val="20"/>
          <w:szCs w:val="20"/>
        </w:rPr>
        <w:t xml:space="preserve">YOU MAY ALSO SUBMIT ASSESSMENT RESULTS FOR THIS GENERAL EDUCATION COMPETENCY IF YOU HAVE THEM, </w:t>
      </w:r>
      <w:r w:rsidRPr="00464EA9">
        <w:rPr>
          <w:rFonts w:ascii="Arial" w:hAnsi="Arial" w:cs="Arial"/>
          <w:b/>
          <w:sz w:val="20"/>
          <w:szCs w:val="20"/>
          <w:u w:val="single"/>
        </w:rPr>
        <w:t>BUT IT WILL BE CONSIDERED OPTIONAL</w:t>
      </w:r>
      <w:r w:rsidRPr="000278A4">
        <w:rPr>
          <w:rFonts w:ascii="Arial" w:hAnsi="Arial" w:cs="Arial"/>
          <w:sz w:val="20"/>
          <w:szCs w:val="20"/>
        </w:rPr>
        <w:t>.</w:t>
      </w:r>
    </w:p>
    <w:p w:rsidR="005F4B50" w:rsidRDefault="005F4B50" w:rsidP="00D708C3">
      <w:pPr>
        <w:rPr>
          <w:rFonts w:ascii="Arial" w:hAnsi="Arial" w:cs="Arial"/>
          <w:b/>
          <w:color w:val="000000" w:themeColor="text1"/>
          <w:u w:val="single"/>
        </w:rPr>
      </w:pPr>
    </w:p>
    <w:p w:rsidR="00B50E5D" w:rsidRPr="0060211D" w:rsidRDefault="0060211D" w:rsidP="00D708C3">
      <w:pPr>
        <w:rPr>
          <w:rFonts w:ascii="Arial" w:hAnsi="Arial" w:cs="Arial"/>
          <w:color w:val="000000" w:themeColor="text1"/>
          <w:sz w:val="22"/>
          <w:szCs w:val="22"/>
        </w:rPr>
      </w:pPr>
      <w:r w:rsidRPr="0060211D">
        <w:rPr>
          <w:rFonts w:ascii="Arial" w:hAnsi="Arial" w:cs="Arial"/>
          <w:color w:val="000000" w:themeColor="text1"/>
          <w:sz w:val="22"/>
          <w:szCs w:val="22"/>
        </w:rPr>
        <w:t xml:space="preserve">Note: </w:t>
      </w:r>
      <w:r>
        <w:rPr>
          <w:rFonts w:ascii="Arial" w:hAnsi="Arial" w:cs="Arial"/>
          <w:color w:val="000000" w:themeColor="text1"/>
          <w:sz w:val="22"/>
          <w:szCs w:val="22"/>
        </w:rPr>
        <w:t>In the last Program Review, the team encouraged our department to review the program outcomes that were then current.  This has been done and will be reassessed in the coming year.  A two-year Geology AS program has been implemented; program outcomes will be determined in the coming year and will be added to the next Annual Report.</w:t>
      </w:r>
    </w:p>
    <w:tbl>
      <w:tblPr>
        <w:tblStyle w:val="TableGrid"/>
        <w:tblW w:w="13158" w:type="dxa"/>
        <w:shd w:val="clear" w:color="auto" w:fill="FFFFFF"/>
        <w:tblLayout w:type="fixed"/>
        <w:tblCellMar>
          <w:left w:w="115" w:type="dxa"/>
          <w:right w:w="115" w:type="dxa"/>
        </w:tblCellMar>
        <w:tblLook w:val="01E0" w:firstRow="1" w:lastRow="1" w:firstColumn="1" w:lastColumn="1" w:noHBand="0" w:noVBand="0"/>
      </w:tblPr>
      <w:tblGrid>
        <w:gridCol w:w="3708"/>
        <w:gridCol w:w="1867"/>
        <w:gridCol w:w="1305"/>
        <w:gridCol w:w="2250"/>
        <w:gridCol w:w="4028"/>
      </w:tblGrid>
      <w:tr w:rsidR="00FB4D5E" w:rsidRPr="004C52FC" w:rsidTr="00B64144">
        <w:trPr>
          <w:trHeight w:val="274"/>
        </w:trPr>
        <w:tc>
          <w:tcPr>
            <w:tcW w:w="3708" w:type="dxa"/>
            <w:shd w:val="clear" w:color="auto" w:fill="FFFFFF"/>
            <w:vAlign w:val="center"/>
          </w:tcPr>
          <w:p w:rsidR="00FB4D5E" w:rsidRPr="004C52FC" w:rsidRDefault="00FB4D5E" w:rsidP="00B64144">
            <w:pPr>
              <w:jc w:val="center"/>
              <w:rPr>
                <w:rFonts w:asciiTheme="minorHAnsi" w:hAnsiTheme="minorHAnsi"/>
                <w:b/>
              </w:rPr>
            </w:pPr>
            <w:r w:rsidRPr="004C52FC">
              <w:rPr>
                <w:rFonts w:asciiTheme="minorHAnsi" w:hAnsiTheme="minorHAnsi"/>
                <w:b/>
              </w:rPr>
              <w:t>Program Outcomes</w:t>
            </w:r>
          </w:p>
        </w:tc>
        <w:tc>
          <w:tcPr>
            <w:tcW w:w="1867" w:type="dxa"/>
          </w:tcPr>
          <w:p w:rsidR="00FB4D5E" w:rsidRPr="004C52FC" w:rsidRDefault="00FB4D5E" w:rsidP="00B6414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To which </w:t>
            </w:r>
            <w:r>
              <w:rPr>
                <w:rFonts w:asciiTheme="minorHAnsi" w:hAnsiTheme="minorHAnsi" w:cs="Arial"/>
                <w:color w:val="000000" w:themeColor="text1"/>
                <w:sz w:val="20"/>
              </w:rPr>
              <w:t>course(</w:t>
            </w:r>
            <w:r w:rsidRPr="004C52FC">
              <w:rPr>
                <w:rFonts w:asciiTheme="minorHAnsi" w:hAnsiTheme="minorHAnsi" w:cs="Arial"/>
                <w:color w:val="000000" w:themeColor="text1"/>
                <w:sz w:val="20"/>
              </w:rPr>
              <w:t>s) is this program outcome related?</w:t>
            </w:r>
          </w:p>
        </w:tc>
        <w:tc>
          <w:tcPr>
            <w:tcW w:w="1305" w:type="dxa"/>
            <w:shd w:val="clear" w:color="auto" w:fill="auto"/>
          </w:tcPr>
          <w:p w:rsidR="00FB4D5E" w:rsidRPr="004C52FC" w:rsidRDefault="00FB4D5E" w:rsidP="00B6414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Year assessed or to be assessed.</w:t>
            </w:r>
          </w:p>
        </w:tc>
        <w:tc>
          <w:tcPr>
            <w:tcW w:w="2250" w:type="dxa"/>
          </w:tcPr>
          <w:p w:rsidR="00FB4D5E" w:rsidRPr="004C52FC" w:rsidRDefault="00FB4D5E" w:rsidP="00B6414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Assessment Methods</w:t>
            </w:r>
          </w:p>
          <w:p w:rsidR="00FB4D5E" w:rsidRPr="004C52FC" w:rsidRDefault="00FB4D5E" w:rsidP="00B6414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Used</w:t>
            </w:r>
          </w:p>
          <w:p w:rsidR="00FB4D5E" w:rsidRPr="004C52FC" w:rsidRDefault="00FB4D5E" w:rsidP="00B64144">
            <w:pPr>
              <w:jc w:val="center"/>
              <w:rPr>
                <w:rFonts w:asciiTheme="minorHAnsi" w:hAnsiTheme="minorHAnsi" w:cs="Arial"/>
                <w:color w:val="000000" w:themeColor="text1"/>
                <w:sz w:val="20"/>
              </w:rPr>
            </w:pPr>
          </w:p>
        </w:tc>
        <w:tc>
          <w:tcPr>
            <w:tcW w:w="4028" w:type="dxa"/>
          </w:tcPr>
          <w:p w:rsidR="00FB4D5E" w:rsidRPr="004C52FC" w:rsidRDefault="00FB4D5E" w:rsidP="00B6414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What were the assessment results?</w:t>
            </w:r>
          </w:p>
          <w:p w:rsidR="00FB4D5E" w:rsidRPr="004C52FC" w:rsidRDefault="00FB4D5E" w:rsidP="00B64144">
            <w:pPr>
              <w:jc w:val="center"/>
              <w:rPr>
                <w:rFonts w:asciiTheme="minorHAnsi" w:hAnsiTheme="minorHAnsi" w:cs="Arial"/>
                <w:color w:val="000000" w:themeColor="text1"/>
                <w:sz w:val="20"/>
              </w:rPr>
            </w:pPr>
            <w:r w:rsidRPr="004C52FC">
              <w:rPr>
                <w:rFonts w:asciiTheme="minorHAnsi" w:hAnsiTheme="minorHAnsi" w:cs="Arial"/>
                <w:color w:val="000000" w:themeColor="text1"/>
                <w:sz w:val="20"/>
              </w:rPr>
              <w:t xml:space="preserve"> (Please provide </w:t>
            </w:r>
            <w:r w:rsidRPr="004C52FC">
              <w:rPr>
                <w:rFonts w:asciiTheme="minorHAnsi" w:hAnsiTheme="minorHAnsi" w:cs="Arial"/>
                <w:color w:val="000000" w:themeColor="text1"/>
                <w:sz w:val="20"/>
                <w:u w:val="single"/>
              </w:rPr>
              <w:t>brief</w:t>
            </w:r>
            <w:r w:rsidRPr="004C52FC">
              <w:rPr>
                <w:rFonts w:asciiTheme="minorHAnsi" w:hAnsiTheme="minorHAnsi" w:cs="Arial"/>
                <w:color w:val="000000" w:themeColor="text1"/>
                <w:sz w:val="20"/>
              </w:rPr>
              <w:t xml:space="preserve"> summary data)</w:t>
            </w:r>
          </w:p>
        </w:tc>
      </w:tr>
      <w:tr w:rsidR="00FB4D5E" w:rsidRPr="004C52FC" w:rsidTr="00B64144">
        <w:trPr>
          <w:trHeight w:val="274"/>
        </w:trPr>
        <w:tc>
          <w:tcPr>
            <w:tcW w:w="3708" w:type="dxa"/>
            <w:shd w:val="clear" w:color="auto" w:fill="FFFFFF"/>
          </w:tcPr>
          <w:p w:rsidR="00FB4D5E" w:rsidRDefault="0060211D" w:rsidP="00B64144">
            <w:pPr>
              <w:rPr>
                <w:rFonts w:ascii="Calibri" w:hAnsi="Calibri" w:cs="Calibri"/>
                <w:color w:val="000000"/>
              </w:rPr>
            </w:pPr>
            <w:r>
              <w:t>Demonstrate a foundational knowledge of inorganic and organic chemical principles, theories, and concepts.</w:t>
            </w:r>
          </w:p>
        </w:tc>
        <w:tc>
          <w:tcPr>
            <w:tcW w:w="1867" w:type="dxa"/>
          </w:tcPr>
          <w:p w:rsidR="002A0235" w:rsidRDefault="002A0235" w:rsidP="002A0235">
            <w:pPr>
              <w:rPr>
                <w:rFonts w:ascii="Calibri" w:hAnsi="Calibri" w:cs="Calibri"/>
                <w:color w:val="000000"/>
              </w:rPr>
            </w:pPr>
            <w:r>
              <w:rPr>
                <w:rFonts w:ascii="Calibri" w:hAnsi="Calibri" w:cs="Calibri"/>
                <w:color w:val="000000"/>
              </w:rPr>
              <w:t>CHE 1211/1251</w:t>
            </w:r>
          </w:p>
          <w:p w:rsidR="002A0235" w:rsidRDefault="002A0235" w:rsidP="002A0235">
            <w:pPr>
              <w:rPr>
                <w:rFonts w:ascii="Calibri" w:hAnsi="Calibri" w:cs="Calibri"/>
                <w:color w:val="000000"/>
              </w:rPr>
            </w:pPr>
            <w:r>
              <w:rPr>
                <w:rFonts w:ascii="Calibri" w:hAnsi="Calibri" w:cs="Calibri"/>
                <w:color w:val="000000"/>
              </w:rPr>
              <w:t>CHE 1221/1261</w:t>
            </w:r>
          </w:p>
          <w:p w:rsidR="002A0235" w:rsidRDefault="00FB4D5E" w:rsidP="002A0235">
            <w:pPr>
              <w:rPr>
                <w:rFonts w:ascii="Calibri" w:hAnsi="Calibri" w:cs="Calibri"/>
                <w:color w:val="000000"/>
              </w:rPr>
            </w:pPr>
            <w:r>
              <w:rPr>
                <w:rFonts w:ascii="Calibri" w:hAnsi="Calibri" w:cs="Calibri"/>
                <w:color w:val="000000"/>
              </w:rPr>
              <w:t>CHE 2111/2151 CHE 2121/2161</w:t>
            </w:r>
          </w:p>
        </w:tc>
        <w:tc>
          <w:tcPr>
            <w:tcW w:w="1305" w:type="dxa"/>
            <w:shd w:val="clear" w:color="auto" w:fill="auto"/>
          </w:tcPr>
          <w:p w:rsidR="00FB4D5E" w:rsidRPr="004C52FC" w:rsidRDefault="00FB4D5E" w:rsidP="00B64144">
            <w:pPr>
              <w:rPr>
                <w:rFonts w:asciiTheme="minorHAnsi" w:hAnsiTheme="minorHAnsi" w:cs="Arial"/>
                <w:color w:val="000000" w:themeColor="text1"/>
              </w:rPr>
            </w:pPr>
            <w:r>
              <w:rPr>
                <w:rFonts w:ascii="Arial" w:hAnsi="Arial" w:cs="Arial"/>
                <w:color w:val="000000" w:themeColor="text1"/>
              </w:rPr>
              <w:t>2015-2016</w:t>
            </w:r>
          </w:p>
        </w:tc>
        <w:tc>
          <w:tcPr>
            <w:tcW w:w="2250" w:type="dxa"/>
          </w:tcPr>
          <w:p w:rsidR="00FB4D5E" w:rsidRPr="004C52FC" w:rsidRDefault="002A1C61" w:rsidP="00195D7D">
            <w:pPr>
              <w:pStyle w:val="ListParagraph"/>
              <w:tabs>
                <w:tab w:val="left" w:pos="5040"/>
              </w:tabs>
              <w:ind w:left="20"/>
              <w:rPr>
                <w:rFonts w:asciiTheme="minorHAnsi" w:hAnsiTheme="minorHAnsi" w:cs="Arial"/>
                <w:color w:val="000000" w:themeColor="text1"/>
              </w:rPr>
            </w:pPr>
            <w:r>
              <w:rPr>
                <w:rFonts w:asciiTheme="minorHAnsi" w:hAnsiTheme="minorHAnsi" w:cs="Arial"/>
                <w:color w:val="000000" w:themeColor="text1"/>
              </w:rPr>
              <w:t>The department uses comprehensive final exams for all these courses.  Expected passing rate is 70%.</w:t>
            </w:r>
          </w:p>
        </w:tc>
        <w:tc>
          <w:tcPr>
            <w:tcW w:w="4028" w:type="dxa"/>
          </w:tcPr>
          <w:p w:rsidR="00FB4D5E" w:rsidRPr="004C52FC" w:rsidRDefault="00FB4D5E" w:rsidP="00B64144">
            <w:pPr>
              <w:ind w:left="72"/>
              <w:rPr>
                <w:rFonts w:asciiTheme="minorHAnsi" w:hAnsiTheme="minorHAnsi" w:cs="Arial"/>
                <w:color w:val="000000" w:themeColor="text1"/>
              </w:rPr>
            </w:pPr>
          </w:p>
        </w:tc>
      </w:tr>
      <w:tr w:rsidR="002A0235" w:rsidRPr="004C52FC" w:rsidTr="00B64144">
        <w:trPr>
          <w:trHeight w:val="72"/>
        </w:trPr>
        <w:tc>
          <w:tcPr>
            <w:tcW w:w="3708" w:type="dxa"/>
            <w:shd w:val="clear" w:color="auto" w:fill="FFFFFF"/>
          </w:tcPr>
          <w:p w:rsidR="002A0235" w:rsidRDefault="0060211D" w:rsidP="002A0235">
            <w:pPr>
              <w:rPr>
                <w:rFonts w:ascii="Calibri" w:hAnsi="Calibri" w:cs="Calibri"/>
                <w:color w:val="000000"/>
              </w:rPr>
            </w:pPr>
            <w:r>
              <w:t>Apply chemical concepts, mathematical techniques, and critical thinking skills to solve chemical problems.</w:t>
            </w:r>
          </w:p>
        </w:tc>
        <w:tc>
          <w:tcPr>
            <w:tcW w:w="1867" w:type="dxa"/>
          </w:tcPr>
          <w:p w:rsidR="002A0235" w:rsidRDefault="002A0235" w:rsidP="002A0235">
            <w:pPr>
              <w:rPr>
                <w:rFonts w:ascii="Calibri" w:hAnsi="Calibri" w:cs="Calibri"/>
                <w:color w:val="000000"/>
              </w:rPr>
            </w:pPr>
            <w:r>
              <w:rPr>
                <w:rFonts w:ascii="Calibri" w:hAnsi="Calibri" w:cs="Calibri"/>
                <w:color w:val="000000"/>
              </w:rPr>
              <w:t>CHE 1211/1251</w:t>
            </w:r>
          </w:p>
          <w:p w:rsidR="002A0235" w:rsidRDefault="002A0235" w:rsidP="002A0235">
            <w:pPr>
              <w:rPr>
                <w:rFonts w:ascii="Calibri" w:hAnsi="Calibri" w:cs="Calibri"/>
                <w:color w:val="000000"/>
              </w:rPr>
            </w:pPr>
            <w:r>
              <w:rPr>
                <w:rFonts w:ascii="Calibri" w:hAnsi="Calibri" w:cs="Calibri"/>
                <w:color w:val="000000"/>
              </w:rPr>
              <w:t>CHE 1221/1261</w:t>
            </w:r>
          </w:p>
          <w:p w:rsidR="002A0235" w:rsidRDefault="002A0235" w:rsidP="002A0235">
            <w:pPr>
              <w:rPr>
                <w:rFonts w:ascii="Calibri" w:hAnsi="Calibri" w:cs="Calibri"/>
                <w:color w:val="000000"/>
              </w:rPr>
            </w:pPr>
            <w:r>
              <w:rPr>
                <w:rFonts w:ascii="Calibri" w:hAnsi="Calibri" w:cs="Calibri"/>
                <w:color w:val="000000"/>
              </w:rPr>
              <w:t>CHE 2111/2151 CHE 2121/2161</w:t>
            </w:r>
          </w:p>
        </w:tc>
        <w:tc>
          <w:tcPr>
            <w:tcW w:w="1305" w:type="dxa"/>
            <w:shd w:val="clear" w:color="auto" w:fill="auto"/>
          </w:tcPr>
          <w:p w:rsidR="002A0235" w:rsidRPr="004C52FC" w:rsidRDefault="002A0235" w:rsidP="002A0235">
            <w:pPr>
              <w:rPr>
                <w:rFonts w:asciiTheme="minorHAnsi" w:hAnsiTheme="minorHAnsi" w:cs="Arial"/>
                <w:color w:val="000000" w:themeColor="text1"/>
              </w:rPr>
            </w:pPr>
            <w:r>
              <w:rPr>
                <w:rFonts w:ascii="Arial" w:hAnsi="Arial" w:cs="Arial"/>
                <w:color w:val="000000" w:themeColor="text1"/>
              </w:rPr>
              <w:t>2016-2017</w:t>
            </w:r>
          </w:p>
        </w:tc>
        <w:tc>
          <w:tcPr>
            <w:tcW w:w="2250" w:type="dxa"/>
          </w:tcPr>
          <w:p w:rsidR="002A0235" w:rsidRPr="004C52FC" w:rsidRDefault="002A0235" w:rsidP="00195D7D">
            <w:pPr>
              <w:spacing w:line="256" w:lineRule="auto"/>
              <w:rPr>
                <w:rFonts w:asciiTheme="minorHAnsi" w:hAnsiTheme="minorHAnsi" w:cs="Arial"/>
                <w:color w:val="000000" w:themeColor="text1"/>
              </w:rPr>
            </w:pPr>
            <w:r>
              <w:rPr>
                <w:rFonts w:ascii="Calibri" w:hAnsi="Calibri" w:cs="Arial"/>
                <w:color w:val="000000"/>
              </w:rPr>
              <w:t>Nearly 80% of the final exams for the General Chemistry sequence (CHE 1211/1221) requires critical thinking/problem solving skills.  This increases to 100% for the Organic Chemistry courses.</w:t>
            </w:r>
          </w:p>
        </w:tc>
        <w:tc>
          <w:tcPr>
            <w:tcW w:w="4028" w:type="dxa"/>
          </w:tcPr>
          <w:p w:rsidR="002A0235" w:rsidRPr="004C52FC" w:rsidRDefault="002A0235" w:rsidP="002A0235">
            <w:pPr>
              <w:pStyle w:val="ListParagraph"/>
              <w:tabs>
                <w:tab w:val="left" w:pos="5040"/>
              </w:tabs>
              <w:ind w:left="0"/>
              <w:rPr>
                <w:rFonts w:asciiTheme="minorHAnsi" w:hAnsiTheme="minorHAnsi" w:cs="Arial"/>
                <w:color w:val="000000" w:themeColor="text1"/>
              </w:rPr>
            </w:pPr>
            <w:r>
              <w:rPr>
                <w:rFonts w:asciiTheme="minorHAnsi" w:hAnsiTheme="minorHAnsi" w:cs="Arial"/>
                <w:color w:val="000000" w:themeColor="text1"/>
              </w:rPr>
              <w:t>83% of the students in the General Chemistry sequence exhibited mastery of this skill.</w:t>
            </w:r>
          </w:p>
        </w:tc>
      </w:tr>
      <w:tr w:rsidR="002A0235" w:rsidRPr="004C52FC" w:rsidTr="00B64144">
        <w:trPr>
          <w:trHeight w:val="72"/>
        </w:trPr>
        <w:tc>
          <w:tcPr>
            <w:tcW w:w="3708" w:type="dxa"/>
            <w:shd w:val="clear" w:color="auto" w:fill="FFFFFF"/>
          </w:tcPr>
          <w:p w:rsidR="002A0235" w:rsidRDefault="0060211D" w:rsidP="002A0235">
            <w:pPr>
              <w:rPr>
                <w:rFonts w:ascii="Calibri" w:hAnsi="Calibri" w:cs="Calibri"/>
                <w:color w:val="000000"/>
              </w:rPr>
            </w:pPr>
            <w:r>
              <w:t xml:space="preserve">Demonstrate an ability to use scientific methods, and scientific reasoning in the laboratory to make observations, gather and analyze data, and evaluate and interpret </w:t>
            </w:r>
            <w:r>
              <w:lastRenderedPageBreak/>
              <w:t>experimental results from wet chemical and instrumentation methods.</w:t>
            </w:r>
          </w:p>
        </w:tc>
        <w:tc>
          <w:tcPr>
            <w:tcW w:w="1867" w:type="dxa"/>
          </w:tcPr>
          <w:p w:rsidR="002A0235" w:rsidRDefault="002A0235" w:rsidP="002A0235">
            <w:pPr>
              <w:rPr>
                <w:rFonts w:ascii="Calibri" w:hAnsi="Calibri" w:cs="Calibri"/>
                <w:color w:val="000000"/>
              </w:rPr>
            </w:pPr>
            <w:r>
              <w:rPr>
                <w:rFonts w:ascii="Calibri" w:hAnsi="Calibri" w:cs="Calibri"/>
                <w:color w:val="000000"/>
              </w:rPr>
              <w:lastRenderedPageBreak/>
              <w:t>CHE 1251</w:t>
            </w:r>
          </w:p>
          <w:p w:rsidR="002A0235" w:rsidRDefault="002A0235" w:rsidP="002A0235">
            <w:pPr>
              <w:rPr>
                <w:rFonts w:ascii="Calibri" w:hAnsi="Calibri" w:cs="Calibri"/>
                <w:color w:val="000000"/>
              </w:rPr>
            </w:pPr>
            <w:r>
              <w:rPr>
                <w:rFonts w:ascii="Calibri" w:hAnsi="Calibri" w:cs="Calibri"/>
                <w:color w:val="000000"/>
              </w:rPr>
              <w:t>CHE 1261</w:t>
            </w:r>
          </w:p>
          <w:p w:rsidR="002A0235" w:rsidRDefault="002A0235" w:rsidP="002A0235">
            <w:pPr>
              <w:rPr>
                <w:rFonts w:ascii="Calibri" w:hAnsi="Calibri" w:cs="Calibri"/>
                <w:color w:val="000000"/>
              </w:rPr>
            </w:pPr>
            <w:r>
              <w:rPr>
                <w:rFonts w:ascii="Calibri" w:hAnsi="Calibri" w:cs="Calibri"/>
                <w:color w:val="000000"/>
              </w:rPr>
              <w:t>CHE 2151</w:t>
            </w:r>
          </w:p>
          <w:p w:rsidR="002A0235" w:rsidRDefault="002A0235" w:rsidP="002A0235">
            <w:pPr>
              <w:rPr>
                <w:rFonts w:ascii="Calibri" w:hAnsi="Calibri" w:cs="Calibri"/>
                <w:color w:val="000000"/>
              </w:rPr>
            </w:pPr>
            <w:r>
              <w:rPr>
                <w:rFonts w:ascii="Calibri" w:hAnsi="Calibri" w:cs="Calibri"/>
                <w:color w:val="000000"/>
              </w:rPr>
              <w:t xml:space="preserve">CHE 2161                          </w:t>
            </w:r>
          </w:p>
        </w:tc>
        <w:tc>
          <w:tcPr>
            <w:tcW w:w="1305" w:type="dxa"/>
            <w:shd w:val="clear" w:color="auto" w:fill="auto"/>
          </w:tcPr>
          <w:p w:rsidR="002A0235" w:rsidRPr="004C52FC" w:rsidRDefault="002A0235" w:rsidP="002A0235">
            <w:pPr>
              <w:rPr>
                <w:rFonts w:asciiTheme="minorHAnsi" w:hAnsiTheme="minorHAnsi" w:cs="Arial"/>
                <w:color w:val="000000" w:themeColor="text1"/>
              </w:rPr>
            </w:pPr>
            <w:r>
              <w:rPr>
                <w:rFonts w:ascii="Arial" w:hAnsi="Arial" w:cs="Arial"/>
                <w:color w:val="000000" w:themeColor="text1"/>
              </w:rPr>
              <w:t>2017-2018</w:t>
            </w:r>
          </w:p>
        </w:tc>
        <w:tc>
          <w:tcPr>
            <w:tcW w:w="2250" w:type="dxa"/>
          </w:tcPr>
          <w:p w:rsidR="002A0235" w:rsidRPr="004C52FC" w:rsidRDefault="001D69E9" w:rsidP="00195D7D">
            <w:pPr>
              <w:spacing w:line="256" w:lineRule="auto"/>
              <w:rPr>
                <w:rFonts w:asciiTheme="minorHAnsi" w:hAnsiTheme="minorHAnsi" w:cs="Arial"/>
                <w:color w:val="000000" w:themeColor="text1"/>
              </w:rPr>
            </w:pPr>
            <w:r>
              <w:rPr>
                <w:rFonts w:asciiTheme="minorHAnsi" w:hAnsiTheme="minorHAnsi" w:cs="Arial"/>
                <w:color w:val="000000" w:themeColor="text1"/>
              </w:rPr>
              <w:t xml:space="preserve">Both sequences expect students to collect and analyze data.  Reports are </w:t>
            </w:r>
            <w:r>
              <w:rPr>
                <w:rFonts w:asciiTheme="minorHAnsi" w:hAnsiTheme="minorHAnsi" w:cs="Arial"/>
                <w:color w:val="000000" w:themeColor="text1"/>
              </w:rPr>
              <w:lastRenderedPageBreak/>
              <w:t>graded on completeness, accuracy, and correct analysis.  Passing is 70% or higher.</w:t>
            </w:r>
          </w:p>
        </w:tc>
        <w:tc>
          <w:tcPr>
            <w:tcW w:w="4028" w:type="dxa"/>
          </w:tcPr>
          <w:p w:rsidR="002A0235" w:rsidRPr="004C52FC" w:rsidRDefault="002A0235" w:rsidP="002A0235">
            <w:pPr>
              <w:pStyle w:val="ListParagraph"/>
              <w:tabs>
                <w:tab w:val="left" w:pos="5040"/>
              </w:tabs>
              <w:ind w:left="0"/>
              <w:rPr>
                <w:rFonts w:asciiTheme="minorHAnsi" w:hAnsiTheme="minorHAnsi" w:cs="Arial"/>
                <w:color w:val="000000" w:themeColor="text1"/>
              </w:rPr>
            </w:pPr>
          </w:p>
        </w:tc>
      </w:tr>
    </w:tbl>
    <w:p w:rsidR="00BF3561" w:rsidRDefault="00BF3561"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p w:rsidR="003C59D8" w:rsidRDefault="003C59D8" w:rsidP="001D736E">
      <w:pPr>
        <w:pStyle w:val="ListParagraph"/>
        <w:tabs>
          <w:tab w:val="left" w:pos="5040"/>
        </w:tabs>
        <w:ind w:left="360"/>
        <w:rPr>
          <w:rFonts w:ascii="Arial" w:hAnsi="Arial" w:cs="Arial"/>
          <w:color w:val="000000" w:themeColor="text1"/>
        </w:rPr>
      </w:pPr>
    </w:p>
    <w:tbl>
      <w:tblPr>
        <w:tblStyle w:val="TableGrid"/>
        <w:tblW w:w="13275" w:type="dxa"/>
        <w:tblLayout w:type="fixed"/>
        <w:tblCellMar>
          <w:left w:w="115" w:type="dxa"/>
          <w:right w:w="115" w:type="dxa"/>
        </w:tblCellMar>
        <w:tblLook w:val="04A0" w:firstRow="1" w:lastRow="0" w:firstColumn="1" w:lastColumn="0" w:noHBand="0" w:noVBand="1"/>
      </w:tblPr>
      <w:tblGrid>
        <w:gridCol w:w="3741"/>
        <w:gridCol w:w="9534"/>
      </w:tblGrid>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Are changes planned as a result of the assessment of program outcomes?  If so, what are those changes?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B02892" w:rsidRDefault="00D27F86" w:rsidP="00B02892">
            <w:pPr>
              <w:pStyle w:val="ListParagraph"/>
              <w:tabs>
                <w:tab w:val="left" w:pos="5040"/>
              </w:tabs>
              <w:ind w:left="0"/>
              <w:rPr>
                <w:color w:val="000000" w:themeColor="text1"/>
              </w:rPr>
            </w:pPr>
          </w:p>
        </w:tc>
      </w:tr>
      <w:tr w:rsidR="00D27F86" w:rsidTr="00D27F86">
        <w:trPr>
          <w:trHeight w:val="72"/>
        </w:trPr>
        <w:tc>
          <w:tcPr>
            <w:tcW w:w="370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Default="00D27F86">
            <w:pPr>
              <w:tabs>
                <w:tab w:val="left" w:pos="5040"/>
              </w:tabs>
              <w:rPr>
                <w:rFonts w:ascii="Arial" w:hAnsi="Arial" w:cs="Arial"/>
                <w:b/>
                <w:color w:val="000000" w:themeColor="text1"/>
              </w:rPr>
            </w:pPr>
            <w:r>
              <w:rPr>
                <w:rFonts w:ascii="Arial" w:hAnsi="Arial" w:cs="Arial"/>
                <w:b/>
                <w:color w:val="000000" w:themeColor="text1"/>
              </w:rPr>
              <w:t xml:space="preserve">How will you determine whether those changes had an impact? </w:t>
            </w:r>
          </w:p>
          <w:p w:rsidR="00D27F86" w:rsidRDefault="00D27F86">
            <w:pPr>
              <w:rPr>
                <w:rFonts w:ascii="Calibri" w:hAnsi="Calibri" w:cs="Calibri"/>
                <w:color w:val="000000"/>
              </w:rPr>
            </w:pPr>
          </w:p>
        </w:tc>
        <w:tc>
          <w:tcPr>
            <w:tcW w:w="94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DBDB" w:themeFill="accent2" w:themeFillTint="33"/>
          </w:tcPr>
          <w:p w:rsidR="00D27F86" w:rsidRPr="00E11916" w:rsidRDefault="00D27F86">
            <w:pPr>
              <w:pStyle w:val="ListParagraph"/>
              <w:tabs>
                <w:tab w:val="left" w:pos="5040"/>
              </w:tabs>
              <w:ind w:left="0"/>
              <w:rPr>
                <w:color w:val="000000" w:themeColor="text1"/>
              </w:rPr>
            </w:pPr>
          </w:p>
        </w:tc>
      </w:tr>
    </w:tbl>
    <w:p w:rsidR="003C59D8" w:rsidRDefault="003C59D8" w:rsidP="00FA24D1">
      <w:pPr>
        <w:pStyle w:val="ListParagraph"/>
        <w:tabs>
          <w:tab w:val="left" w:pos="5040"/>
        </w:tabs>
        <w:rPr>
          <w:rFonts w:ascii="Arial" w:hAnsi="Arial" w:cs="Arial"/>
          <w:b/>
          <w:color w:val="000000" w:themeColor="text1"/>
        </w:rPr>
      </w:pPr>
    </w:p>
    <w:p w:rsidR="003C59D8" w:rsidRDefault="003C59D8" w:rsidP="00FA24D1">
      <w:pPr>
        <w:pStyle w:val="ListParagraph"/>
        <w:tabs>
          <w:tab w:val="left" w:pos="5040"/>
        </w:tabs>
        <w:rPr>
          <w:rFonts w:ascii="Arial" w:hAnsi="Arial" w:cs="Arial"/>
          <w:b/>
          <w:color w:val="000000" w:themeColor="text1"/>
        </w:rPr>
      </w:pPr>
    </w:p>
    <w:p w:rsidR="0060211D" w:rsidRDefault="0060211D" w:rsidP="0060211D">
      <w:pPr>
        <w:rPr>
          <w:sz w:val="22"/>
          <w:szCs w:val="22"/>
        </w:rPr>
      </w:pPr>
      <w:r>
        <w:t xml:space="preserve">PLO#1: Demonstrate a foundational knowledge of inorganic and organic chemical principles, theories, and concepts. </w:t>
      </w:r>
    </w:p>
    <w:p w:rsidR="0060211D" w:rsidRDefault="0060211D" w:rsidP="0060211D">
      <w:r>
        <w:t>PLO#2: Apply chemical concepts, mathematical techniques, and critical thinking skills to solve chemical problems.</w:t>
      </w:r>
    </w:p>
    <w:p w:rsidR="0060211D" w:rsidRDefault="0060211D" w:rsidP="0060211D">
      <w:r>
        <w:t xml:space="preserve">PLO#3: Demonstrate an ability to use scientific methods, and scientific reasoning in the laboratory to make observations, gather and analyze data, and evaluate and interpret experimental results from wet chemical and instrumentation methods. </w:t>
      </w:r>
    </w:p>
    <w:p w:rsidR="003C59D8" w:rsidRDefault="003C59D8" w:rsidP="00FA24D1">
      <w:pPr>
        <w:pStyle w:val="ListParagraph"/>
        <w:tabs>
          <w:tab w:val="left" w:pos="5040"/>
        </w:tabs>
        <w:rPr>
          <w:rFonts w:ascii="Arial" w:hAnsi="Arial" w:cs="Arial"/>
          <w:b/>
          <w:color w:val="000000" w:themeColor="text1"/>
        </w:rPr>
      </w:pPr>
    </w:p>
    <w:sectPr w:rsidR="003C59D8" w:rsidSect="002672D3">
      <w:footerReference w:type="default" r:id="rId8"/>
      <w:pgSz w:w="15840" w:h="12240" w:orient="landscape"/>
      <w:pgMar w:top="1440" w:right="1152" w:bottom="1440" w:left="1152"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3F2A" w:rsidRDefault="00133F2A" w:rsidP="0094204C">
      <w:r>
        <w:separator/>
      </w:r>
    </w:p>
  </w:endnote>
  <w:endnote w:type="continuationSeparator" w:id="0">
    <w:p w:rsidR="00133F2A" w:rsidRDefault="00133F2A" w:rsidP="00942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2159078"/>
      <w:docPartObj>
        <w:docPartGallery w:val="Page Numbers (Bottom of Page)"/>
        <w:docPartUnique/>
      </w:docPartObj>
    </w:sdtPr>
    <w:sdtEndPr/>
    <w:sdtContent>
      <w:p w:rsidR="00517849" w:rsidRDefault="00517849">
        <w:pPr>
          <w:pStyle w:val="Footer"/>
          <w:jc w:val="right"/>
        </w:pPr>
        <w:r>
          <w:fldChar w:fldCharType="begin"/>
        </w:r>
        <w:r>
          <w:instrText xml:space="preserve"> PAGE   \* MERGEFORMAT </w:instrText>
        </w:r>
        <w:r>
          <w:fldChar w:fldCharType="separate"/>
        </w:r>
        <w:r w:rsidR="00900C41">
          <w:rPr>
            <w:noProof/>
          </w:rPr>
          <w:t>5</w:t>
        </w:r>
        <w:r>
          <w:rPr>
            <w:noProof/>
          </w:rPr>
          <w:fldChar w:fldCharType="end"/>
        </w:r>
      </w:p>
    </w:sdtContent>
  </w:sdt>
  <w:p w:rsidR="00517849" w:rsidRDefault="005178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3F2A" w:rsidRDefault="00133F2A" w:rsidP="0094204C">
      <w:r>
        <w:separator/>
      </w:r>
    </w:p>
  </w:footnote>
  <w:footnote w:type="continuationSeparator" w:id="0">
    <w:p w:rsidR="00133F2A" w:rsidRDefault="00133F2A" w:rsidP="00942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91A29"/>
    <w:multiLevelType w:val="hybridMultilevel"/>
    <w:tmpl w:val="0CA6A0D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nsid w:val="067D1E3C"/>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9A415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5A4F41"/>
    <w:multiLevelType w:val="hybridMultilevel"/>
    <w:tmpl w:val="14AC8B2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5D2477E"/>
    <w:multiLevelType w:val="hybridMultilevel"/>
    <w:tmpl w:val="F4786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19106F"/>
    <w:multiLevelType w:val="hybridMultilevel"/>
    <w:tmpl w:val="33A499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A37643"/>
    <w:multiLevelType w:val="hybridMultilevel"/>
    <w:tmpl w:val="F70E759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21C4996"/>
    <w:multiLevelType w:val="hybridMultilevel"/>
    <w:tmpl w:val="97B20F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76C0327"/>
    <w:multiLevelType w:val="hybridMultilevel"/>
    <w:tmpl w:val="3C1A1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BA6107"/>
    <w:multiLevelType w:val="hybridMultilevel"/>
    <w:tmpl w:val="A9F80A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0A204CD"/>
    <w:multiLevelType w:val="hybridMultilevel"/>
    <w:tmpl w:val="E99A4096"/>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1">
    <w:nsid w:val="32245B57"/>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8773C8"/>
    <w:multiLevelType w:val="hybridMultilevel"/>
    <w:tmpl w:val="784EA36E"/>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A080841"/>
    <w:multiLevelType w:val="hybridMultilevel"/>
    <w:tmpl w:val="A030CE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61A2809"/>
    <w:multiLevelType w:val="hybridMultilevel"/>
    <w:tmpl w:val="A9F80A0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AD34CB6"/>
    <w:multiLevelType w:val="hybridMultilevel"/>
    <w:tmpl w:val="6F9E6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7A519B"/>
    <w:multiLevelType w:val="hybridMultilevel"/>
    <w:tmpl w:val="A9022D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5187633D"/>
    <w:multiLevelType w:val="hybridMultilevel"/>
    <w:tmpl w:val="4E5451FC"/>
    <w:lvl w:ilvl="0" w:tplc="FE768044">
      <w:start w:val="1"/>
      <w:numFmt w:val="upperLetter"/>
      <w:lvlText w:val="%1."/>
      <w:lvlJc w:val="left"/>
      <w:pPr>
        <w:ind w:left="5400" w:hanging="360"/>
      </w:pPr>
      <w:rPr>
        <w:rFonts w:hint="default"/>
      </w:r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18">
    <w:nsid w:val="669664D4"/>
    <w:multiLevelType w:val="hybridMultilevel"/>
    <w:tmpl w:val="C75ED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13D45"/>
    <w:multiLevelType w:val="hybridMultilevel"/>
    <w:tmpl w:val="77661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DC020E8"/>
    <w:multiLevelType w:val="hybridMultilevel"/>
    <w:tmpl w:val="9AE86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F662F3"/>
    <w:multiLevelType w:val="hybridMultilevel"/>
    <w:tmpl w:val="A1305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18F4D5E"/>
    <w:multiLevelType w:val="hybridMultilevel"/>
    <w:tmpl w:val="4B36C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30A0D76"/>
    <w:multiLevelType w:val="hybridMultilevel"/>
    <w:tmpl w:val="51B4D06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24">
    <w:nsid w:val="74C87163"/>
    <w:multiLevelType w:val="hybridMultilevel"/>
    <w:tmpl w:val="428A16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BAA72E6"/>
    <w:multiLevelType w:val="hybridMultilevel"/>
    <w:tmpl w:val="C74E6E3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9"/>
  </w:num>
  <w:num w:numId="4">
    <w:abstractNumId w:val="14"/>
  </w:num>
  <w:num w:numId="5">
    <w:abstractNumId w:val="2"/>
  </w:num>
  <w:num w:numId="6">
    <w:abstractNumId w:val="11"/>
  </w:num>
  <w:num w:numId="7">
    <w:abstractNumId w:val="20"/>
  </w:num>
  <w:num w:numId="8">
    <w:abstractNumId w:val="17"/>
  </w:num>
  <w:num w:numId="9">
    <w:abstractNumId w:val="1"/>
  </w:num>
  <w:num w:numId="10">
    <w:abstractNumId w:val="22"/>
  </w:num>
  <w:num w:numId="11">
    <w:abstractNumId w:val="0"/>
  </w:num>
  <w:num w:numId="12">
    <w:abstractNumId w:val="19"/>
  </w:num>
  <w:num w:numId="13">
    <w:abstractNumId w:val="13"/>
  </w:num>
  <w:num w:numId="14">
    <w:abstractNumId w:val="4"/>
  </w:num>
  <w:num w:numId="15">
    <w:abstractNumId w:val="3"/>
  </w:num>
  <w:num w:numId="16">
    <w:abstractNumId w:val="10"/>
  </w:num>
  <w:num w:numId="17">
    <w:abstractNumId w:val="24"/>
  </w:num>
  <w:num w:numId="18">
    <w:abstractNumId w:val="5"/>
  </w:num>
  <w:num w:numId="19">
    <w:abstractNumId w:val="15"/>
  </w:num>
  <w:num w:numId="20">
    <w:abstractNumId w:val="5"/>
  </w:num>
  <w:num w:numId="21">
    <w:abstractNumId w:val="8"/>
  </w:num>
  <w:num w:numId="22">
    <w:abstractNumId w:val="18"/>
  </w:num>
  <w:num w:numId="23">
    <w:abstractNumId w:val="7"/>
  </w:num>
  <w:num w:numId="24">
    <w:abstractNumId w:val="21"/>
  </w:num>
  <w:num w:numId="25">
    <w:abstractNumId w:val="23"/>
  </w:num>
  <w:num w:numId="26">
    <w:abstractNumId w:val="16"/>
  </w:num>
  <w:num w:numId="27">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129"/>
    <w:rsid w:val="000008AF"/>
    <w:rsid w:val="0000419F"/>
    <w:rsid w:val="00004CAC"/>
    <w:rsid w:val="00010B07"/>
    <w:rsid w:val="00015E26"/>
    <w:rsid w:val="00025CDE"/>
    <w:rsid w:val="000279EB"/>
    <w:rsid w:val="00033358"/>
    <w:rsid w:val="000337E6"/>
    <w:rsid w:val="00033A23"/>
    <w:rsid w:val="00034CE6"/>
    <w:rsid w:val="00036DF9"/>
    <w:rsid w:val="00054BFD"/>
    <w:rsid w:val="0005621A"/>
    <w:rsid w:val="00056964"/>
    <w:rsid w:val="000616F3"/>
    <w:rsid w:val="00063778"/>
    <w:rsid w:val="00064D57"/>
    <w:rsid w:val="00065129"/>
    <w:rsid w:val="000738FE"/>
    <w:rsid w:val="00074BD5"/>
    <w:rsid w:val="00080933"/>
    <w:rsid w:val="000936F6"/>
    <w:rsid w:val="00095265"/>
    <w:rsid w:val="00097843"/>
    <w:rsid w:val="000A089D"/>
    <w:rsid w:val="000A2A44"/>
    <w:rsid w:val="000A4EE0"/>
    <w:rsid w:val="000B0D23"/>
    <w:rsid w:val="000B261C"/>
    <w:rsid w:val="000C66EB"/>
    <w:rsid w:val="000D1111"/>
    <w:rsid w:val="000D3A39"/>
    <w:rsid w:val="000E207F"/>
    <w:rsid w:val="000E215A"/>
    <w:rsid w:val="000E2F79"/>
    <w:rsid w:val="000E4EFE"/>
    <w:rsid w:val="000E6D72"/>
    <w:rsid w:val="000F0AF3"/>
    <w:rsid w:val="000F154F"/>
    <w:rsid w:val="000F1823"/>
    <w:rsid w:val="000F21F2"/>
    <w:rsid w:val="000F2F76"/>
    <w:rsid w:val="000F4249"/>
    <w:rsid w:val="000F6BCD"/>
    <w:rsid w:val="0010227C"/>
    <w:rsid w:val="001026AA"/>
    <w:rsid w:val="00115E77"/>
    <w:rsid w:val="001201D5"/>
    <w:rsid w:val="00120277"/>
    <w:rsid w:val="00120E81"/>
    <w:rsid w:val="001240D0"/>
    <w:rsid w:val="001244E2"/>
    <w:rsid w:val="001324D2"/>
    <w:rsid w:val="00133F2A"/>
    <w:rsid w:val="0014175E"/>
    <w:rsid w:val="00142776"/>
    <w:rsid w:val="001429D4"/>
    <w:rsid w:val="00152170"/>
    <w:rsid w:val="001532B7"/>
    <w:rsid w:val="00157936"/>
    <w:rsid w:val="0016139D"/>
    <w:rsid w:val="001628B1"/>
    <w:rsid w:val="00167A2B"/>
    <w:rsid w:val="00174C4B"/>
    <w:rsid w:val="001803A0"/>
    <w:rsid w:val="00181457"/>
    <w:rsid w:val="00183806"/>
    <w:rsid w:val="00183A7F"/>
    <w:rsid w:val="00184AE5"/>
    <w:rsid w:val="0018798A"/>
    <w:rsid w:val="00190F5C"/>
    <w:rsid w:val="0019135D"/>
    <w:rsid w:val="00191DA6"/>
    <w:rsid w:val="00195B7B"/>
    <w:rsid w:val="00195D7D"/>
    <w:rsid w:val="001A1B67"/>
    <w:rsid w:val="001A7AF7"/>
    <w:rsid w:val="001B6007"/>
    <w:rsid w:val="001C202C"/>
    <w:rsid w:val="001C42D0"/>
    <w:rsid w:val="001C5DC3"/>
    <w:rsid w:val="001C62EC"/>
    <w:rsid w:val="001D3E1D"/>
    <w:rsid w:val="001D5757"/>
    <w:rsid w:val="001D69E9"/>
    <w:rsid w:val="001D7080"/>
    <w:rsid w:val="001D736E"/>
    <w:rsid w:val="001E0171"/>
    <w:rsid w:val="001E0764"/>
    <w:rsid w:val="001E7137"/>
    <w:rsid w:val="001F4B9E"/>
    <w:rsid w:val="002026E9"/>
    <w:rsid w:val="00202DE8"/>
    <w:rsid w:val="0021031C"/>
    <w:rsid w:val="002105E7"/>
    <w:rsid w:val="00210FF3"/>
    <w:rsid w:val="00220B12"/>
    <w:rsid w:val="002245AB"/>
    <w:rsid w:val="00225B53"/>
    <w:rsid w:val="0022692B"/>
    <w:rsid w:val="002315EE"/>
    <w:rsid w:val="00251905"/>
    <w:rsid w:val="00252C1A"/>
    <w:rsid w:val="00254FF7"/>
    <w:rsid w:val="0025548D"/>
    <w:rsid w:val="00255C18"/>
    <w:rsid w:val="00255F7D"/>
    <w:rsid w:val="00256114"/>
    <w:rsid w:val="0025618C"/>
    <w:rsid w:val="00262914"/>
    <w:rsid w:val="00262EFB"/>
    <w:rsid w:val="00265A99"/>
    <w:rsid w:val="00266F2F"/>
    <w:rsid w:val="002672D3"/>
    <w:rsid w:val="0026791C"/>
    <w:rsid w:val="00276B75"/>
    <w:rsid w:val="00280C60"/>
    <w:rsid w:val="00281C63"/>
    <w:rsid w:val="0028603C"/>
    <w:rsid w:val="002909A0"/>
    <w:rsid w:val="002922CE"/>
    <w:rsid w:val="00293D8D"/>
    <w:rsid w:val="002965C3"/>
    <w:rsid w:val="002A0235"/>
    <w:rsid w:val="002A1C61"/>
    <w:rsid w:val="002A1D8C"/>
    <w:rsid w:val="002B7319"/>
    <w:rsid w:val="002C1797"/>
    <w:rsid w:val="002C56AC"/>
    <w:rsid w:val="002D1DFE"/>
    <w:rsid w:val="002D2748"/>
    <w:rsid w:val="002D3CAD"/>
    <w:rsid w:val="002D428E"/>
    <w:rsid w:val="002E175B"/>
    <w:rsid w:val="002E28B0"/>
    <w:rsid w:val="002E548B"/>
    <w:rsid w:val="002E6B01"/>
    <w:rsid w:val="002F63A2"/>
    <w:rsid w:val="00303041"/>
    <w:rsid w:val="003041DD"/>
    <w:rsid w:val="00305516"/>
    <w:rsid w:val="00305AE1"/>
    <w:rsid w:val="0030733F"/>
    <w:rsid w:val="00307A43"/>
    <w:rsid w:val="00315CE8"/>
    <w:rsid w:val="00320CDE"/>
    <w:rsid w:val="00320DF3"/>
    <w:rsid w:val="003233E7"/>
    <w:rsid w:val="003254BC"/>
    <w:rsid w:val="00326B9C"/>
    <w:rsid w:val="00330692"/>
    <w:rsid w:val="00336409"/>
    <w:rsid w:val="00337A3A"/>
    <w:rsid w:val="0034316E"/>
    <w:rsid w:val="00343C72"/>
    <w:rsid w:val="003454F6"/>
    <w:rsid w:val="00350D53"/>
    <w:rsid w:val="0035293D"/>
    <w:rsid w:val="003539C4"/>
    <w:rsid w:val="003641BA"/>
    <w:rsid w:val="00372B02"/>
    <w:rsid w:val="00373885"/>
    <w:rsid w:val="0037786D"/>
    <w:rsid w:val="00377D40"/>
    <w:rsid w:val="00380EAE"/>
    <w:rsid w:val="00396B7B"/>
    <w:rsid w:val="00396CC3"/>
    <w:rsid w:val="00396F2C"/>
    <w:rsid w:val="003A1DAE"/>
    <w:rsid w:val="003A298D"/>
    <w:rsid w:val="003B2034"/>
    <w:rsid w:val="003B5176"/>
    <w:rsid w:val="003B5F45"/>
    <w:rsid w:val="003B6EA6"/>
    <w:rsid w:val="003C0655"/>
    <w:rsid w:val="003C1C8E"/>
    <w:rsid w:val="003C3E54"/>
    <w:rsid w:val="003C59D8"/>
    <w:rsid w:val="003D2587"/>
    <w:rsid w:val="003D6946"/>
    <w:rsid w:val="003D6D6E"/>
    <w:rsid w:val="003E791C"/>
    <w:rsid w:val="00404810"/>
    <w:rsid w:val="00406228"/>
    <w:rsid w:val="00407AC7"/>
    <w:rsid w:val="00407B1E"/>
    <w:rsid w:val="00414645"/>
    <w:rsid w:val="00420480"/>
    <w:rsid w:val="00424E5D"/>
    <w:rsid w:val="00425F46"/>
    <w:rsid w:val="00427BB3"/>
    <w:rsid w:val="00434F56"/>
    <w:rsid w:val="004359FC"/>
    <w:rsid w:val="004467C4"/>
    <w:rsid w:val="0045262E"/>
    <w:rsid w:val="00455833"/>
    <w:rsid w:val="004604FB"/>
    <w:rsid w:val="00461386"/>
    <w:rsid w:val="00462D00"/>
    <w:rsid w:val="00464EA9"/>
    <w:rsid w:val="004654F4"/>
    <w:rsid w:val="004712EB"/>
    <w:rsid w:val="00473674"/>
    <w:rsid w:val="00473797"/>
    <w:rsid w:val="00476425"/>
    <w:rsid w:val="0048088F"/>
    <w:rsid w:val="00480BB2"/>
    <w:rsid w:val="004818E1"/>
    <w:rsid w:val="00481A7E"/>
    <w:rsid w:val="0048427F"/>
    <w:rsid w:val="00495C9D"/>
    <w:rsid w:val="004A14EC"/>
    <w:rsid w:val="004A45CE"/>
    <w:rsid w:val="004B7492"/>
    <w:rsid w:val="004C2B30"/>
    <w:rsid w:val="004C52FC"/>
    <w:rsid w:val="004C6F83"/>
    <w:rsid w:val="004C7DB2"/>
    <w:rsid w:val="004D3BE1"/>
    <w:rsid w:val="004D3C8C"/>
    <w:rsid w:val="004D3DC1"/>
    <w:rsid w:val="004E47AA"/>
    <w:rsid w:val="004E4BD6"/>
    <w:rsid w:val="004F0C1D"/>
    <w:rsid w:val="004F21E4"/>
    <w:rsid w:val="004F41D5"/>
    <w:rsid w:val="004F535D"/>
    <w:rsid w:val="00502A7D"/>
    <w:rsid w:val="005052FE"/>
    <w:rsid w:val="0051092B"/>
    <w:rsid w:val="0051294F"/>
    <w:rsid w:val="00516463"/>
    <w:rsid w:val="00517849"/>
    <w:rsid w:val="00520FBE"/>
    <w:rsid w:val="0052152C"/>
    <w:rsid w:val="00533519"/>
    <w:rsid w:val="005346A8"/>
    <w:rsid w:val="0054350A"/>
    <w:rsid w:val="005531E8"/>
    <w:rsid w:val="0055333B"/>
    <w:rsid w:val="0055523C"/>
    <w:rsid w:val="005674F9"/>
    <w:rsid w:val="00573ECD"/>
    <w:rsid w:val="00585766"/>
    <w:rsid w:val="005863ED"/>
    <w:rsid w:val="005864A4"/>
    <w:rsid w:val="005918B2"/>
    <w:rsid w:val="00597704"/>
    <w:rsid w:val="00597F85"/>
    <w:rsid w:val="005B20A0"/>
    <w:rsid w:val="005B2B58"/>
    <w:rsid w:val="005B4CD1"/>
    <w:rsid w:val="005C13E0"/>
    <w:rsid w:val="005C6F9A"/>
    <w:rsid w:val="005C761A"/>
    <w:rsid w:val="005D19D9"/>
    <w:rsid w:val="005E5598"/>
    <w:rsid w:val="005F4B50"/>
    <w:rsid w:val="005F5F7E"/>
    <w:rsid w:val="005F6B5B"/>
    <w:rsid w:val="005F7377"/>
    <w:rsid w:val="0060155C"/>
    <w:rsid w:val="0060211D"/>
    <w:rsid w:val="0061454F"/>
    <w:rsid w:val="0061712A"/>
    <w:rsid w:val="00624906"/>
    <w:rsid w:val="0062556E"/>
    <w:rsid w:val="006368CC"/>
    <w:rsid w:val="00637591"/>
    <w:rsid w:val="00640611"/>
    <w:rsid w:val="00643904"/>
    <w:rsid w:val="00651CF2"/>
    <w:rsid w:val="006532D6"/>
    <w:rsid w:val="0065453B"/>
    <w:rsid w:val="00654C15"/>
    <w:rsid w:val="006551C4"/>
    <w:rsid w:val="00660080"/>
    <w:rsid w:val="0066095F"/>
    <w:rsid w:val="0066285F"/>
    <w:rsid w:val="0066607A"/>
    <w:rsid w:val="00666164"/>
    <w:rsid w:val="00667251"/>
    <w:rsid w:val="0067184B"/>
    <w:rsid w:val="00677703"/>
    <w:rsid w:val="006835C1"/>
    <w:rsid w:val="00690A3D"/>
    <w:rsid w:val="006A0AB5"/>
    <w:rsid w:val="006A2AA3"/>
    <w:rsid w:val="006A6CE4"/>
    <w:rsid w:val="006B5D02"/>
    <w:rsid w:val="006B6194"/>
    <w:rsid w:val="006B6639"/>
    <w:rsid w:val="006C142B"/>
    <w:rsid w:val="006C28B1"/>
    <w:rsid w:val="006C3C31"/>
    <w:rsid w:val="006C4C0B"/>
    <w:rsid w:val="006C4F5E"/>
    <w:rsid w:val="006D67EB"/>
    <w:rsid w:val="006E3686"/>
    <w:rsid w:val="006F0183"/>
    <w:rsid w:val="00713F76"/>
    <w:rsid w:val="00716A26"/>
    <w:rsid w:val="00716A80"/>
    <w:rsid w:val="00724C4B"/>
    <w:rsid w:val="00740D35"/>
    <w:rsid w:val="00746675"/>
    <w:rsid w:val="00751FC5"/>
    <w:rsid w:val="007617E8"/>
    <w:rsid w:val="00781DA4"/>
    <w:rsid w:val="007825CC"/>
    <w:rsid w:val="007856A2"/>
    <w:rsid w:val="0078669D"/>
    <w:rsid w:val="00786F00"/>
    <w:rsid w:val="00791FF2"/>
    <w:rsid w:val="0079281D"/>
    <w:rsid w:val="00794390"/>
    <w:rsid w:val="00794EA2"/>
    <w:rsid w:val="0079565F"/>
    <w:rsid w:val="007A2E02"/>
    <w:rsid w:val="007A43CE"/>
    <w:rsid w:val="007A4B8E"/>
    <w:rsid w:val="007B26D8"/>
    <w:rsid w:val="007B695B"/>
    <w:rsid w:val="007C1FEF"/>
    <w:rsid w:val="007C46D3"/>
    <w:rsid w:val="007C564B"/>
    <w:rsid w:val="007C74F5"/>
    <w:rsid w:val="007D68EA"/>
    <w:rsid w:val="007E36F4"/>
    <w:rsid w:val="007F45E6"/>
    <w:rsid w:val="007F66F9"/>
    <w:rsid w:val="0080292B"/>
    <w:rsid w:val="008034BE"/>
    <w:rsid w:val="008056C5"/>
    <w:rsid w:val="00805C23"/>
    <w:rsid w:val="00807113"/>
    <w:rsid w:val="00817DDA"/>
    <w:rsid w:val="00821011"/>
    <w:rsid w:val="008258DA"/>
    <w:rsid w:val="00827AE5"/>
    <w:rsid w:val="00847243"/>
    <w:rsid w:val="008642E1"/>
    <w:rsid w:val="008672B0"/>
    <w:rsid w:val="00875A7C"/>
    <w:rsid w:val="00877383"/>
    <w:rsid w:val="00880686"/>
    <w:rsid w:val="008823C2"/>
    <w:rsid w:val="008836F4"/>
    <w:rsid w:val="00884AC0"/>
    <w:rsid w:val="008860C1"/>
    <w:rsid w:val="008909D4"/>
    <w:rsid w:val="008942FA"/>
    <w:rsid w:val="00897A68"/>
    <w:rsid w:val="008A700A"/>
    <w:rsid w:val="008B52A0"/>
    <w:rsid w:val="008B565C"/>
    <w:rsid w:val="008B5B2E"/>
    <w:rsid w:val="008D4D55"/>
    <w:rsid w:val="008E063A"/>
    <w:rsid w:val="008F3D47"/>
    <w:rsid w:val="008F41A6"/>
    <w:rsid w:val="008F6C19"/>
    <w:rsid w:val="00900C41"/>
    <w:rsid w:val="009108ED"/>
    <w:rsid w:val="00912C50"/>
    <w:rsid w:val="00912D18"/>
    <w:rsid w:val="00915CDA"/>
    <w:rsid w:val="009248F7"/>
    <w:rsid w:val="00925394"/>
    <w:rsid w:val="0092540D"/>
    <w:rsid w:val="009268A3"/>
    <w:rsid w:val="0094204C"/>
    <w:rsid w:val="009437A5"/>
    <w:rsid w:val="00952FA6"/>
    <w:rsid w:val="00963DD8"/>
    <w:rsid w:val="00967CBE"/>
    <w:rsid w:val="00971EB2"/>
    <w:rsid w:val="00981D62"/>
    <w:rsid w:val="00990D45"/>
    <w:rsid w:val="00993B62"/>
    <w:rsid w:val="009A2F4E"/>
    <w:rsid w:val="009A616E"/>
    <w:rsid w:val="009A69F0"/>
    <w:rsid w:val="009A7187"/>
    <w:rsid w:val="009B0BEA"/>
    <w:rsid w:val="009B6429"/>
    <w:rsid w:val="009C1092"/>
    <w:rsid w:val="009D4970"/>
    <w:rsid w:val="009E2519"/>
    <w:rsid w:val="009F2769"/>
    <w:rsid w:val="009F71F8"/>
    <w:rsid w:val="00A03C1A"/>
    <w:rsid w:val="00A06FCD"/>
    <w:rsid w:val="00A11155"/>
    <w:rsid w:val="00A11DB1"/>
    <w:rsid w:val="00A14B89"/>
    <w:rsid w:val="00A201E2"/>
    <w:rsid w:val="00A21E6E"/>
    <w:rsid w:val="00A279B7"/>
    <w:rsid w:val="00A316A8"/>
    <w:rsid w:val="00A341DF"/>
    <w:rsid w:val="00A36603"/>
    <w:rsid w:val="00A36DEE"/>
    <w:rsid w:val="00A51345"/>
    <w:rsid w:val="00A54831"/>
    <w:rsid w:val="00A6078F"/>
    <w:rsid w:val="00A62968"/>
    <w:rsid w:val="00A62E49"/>
    <w:rsid w:val="00A63ACE"/>
    <w:rsid w:val="00A670B9"/>
    <w:rsid w:val="00A8476F"/>
    <w:rsid w:val="00A93BDE"/>
    <w:rsid w:val="00AA4E64"/>
    <w:rsid w:val="00AC0386"/>
    <w:rsid w:val="00AC62F8"/>
    <w:rsid w:val="00AD4FA7"/>
    <w:rsid w:val="00AE4AD2"/>
    <w:rsid w:val="00AE5F43"/>
    <w:rsid w:val="00AF1271"/>
    <w:rsid w:val="00AF4B41"/>
    <w:rsid w:val="00AF6A23"/>
    <w:rsid w:val="00B02892"/>
    <w:rsid w:val="00B11028"/>
    <w:rsid w:val="00B11F28"/>
    <w:rsid w:val="00B166FB"/>
    <w:rsid w:val="00B27095"/>
    <w:rsid w:val="00B302F0"/>
    <w:rsid w:val="00B31728"/>
    <w:rsid w:val="00B34F9E"/>
    <w:rsid w:val="00B42C55"/>
    <w:rsid w:val="00B44B23"/>
    <w:rsid w:val="00B4625A"/>
    <w:rsid w:val="00B50E5D"/>
    <w:rsid w:val="00B57D15"/>
    <w:rsid w:val="00B608D5"/>
    <w:rsid w:val="00B61167"/>
    <w:rsid w:val="00B61D81"/>
    <w:rsid w:val="00B700A5"/>
    <w:rsid w:val="00B71307"/>
    <w:rsid w:val="00B75DD0"/>
    <w:rsid w:val="00B764F8"/>
    <w:rsid w:val="00B81607"/>
    <w:rsid w:val="00B8227E"/>
    <w:rsid w:val="00B90F20"/>
    <w:rsid w:val="00B91F1E"/>
    <w:rsid w:val="00B95331"/>
    <w:rsid w:val="00B95D4E"/>
    <w:rsid w:val="00B9789D"/>
    <w:rsid w:val="00BA3246"/>
    <w:rsid w:val="00BA411F"/>
    <w:rsid w:val="00BA4169"/>
    <w:rsid w:val="00BA527A"/>
    <w:rsid w:val="00BB272C"/>
    <w:rsid w:val="00BB28CF"/>
    <w:rsid w:val="00BB4ABC"/>
    <w:rsid w:val="00BB4C9F"/>
    <w:rsid w:val="00BB5574"/>
    <w:rsid w:val="00BC12BF"/>
    <w:rsid w:val="00BC374A"/>
    <w:rsid w:val="00BC5FF1"/>
    <w:rsid w:val="00BC6C11"/>
    <w:rsid w:val="00BD2C4F"/>
    <w:rsid w:val="00BD3EF3"/>
    <w:rsid w:val="00BD5614"/>
    <w:rsid w:val="00BE51FF"/>
    <w:rsid w:val="00BF3561"/>
    <w:rsid w:val="00BF556C"/>
    <w:rsid w:val="00C05015"/>
    <w:rsid w:val="00C05EFD"/>
    <w:rsid w:val="00C22083"/>
    <w:rsid w:val="00C24B8F"/>
    <w:rsid w:val="00C32DEA"/>
    <w:rsid w:val="00C45053"/>
    <w:rsid w:val="00C50A91"/>
    <w:rsid w:val="00C52D74"/>
    <w:rsid w:val="00C5365F"/>
    <w:rsid w:val="00C56C48"/>
    <w:rsid w:val="00C57BCF"/>
    <w:rsid w:val="00C616FD"/>
    <w:rsid w:val="00C638EE"/>
    <w:rsid w:val="00C63B58"/>
    <w:rsid w:val="00C67AC8"/>
    <w:rsid w:val="00C7001F"/>
    <w:rsid w:val="00C71F16"/>
    <w:rsid w:val="00C7460D"/>
    <w:rsid w:val="00C77723"/>
    <w:rsid w:val="00C800A9"/>
    <w:rsid w:val="00C80222"/>
    <w:rsid w:val="00C84DED"/>
    <w:rsid w:val="00C86826"/>
    <w:rsid w:val="00C86A70"/>
    <w:rsid w:val="00C86D2C"/>
    <w:rsid w:val="00C90C76"/>
    <w:rsid w:val="00CA10D7"/>
    <w:rsid w:val="00CB09E0"/>
    <w:rsid w:val="00CC0679"/>
    <w:rsid w:val="00CC66AD"/>
    <w:rsid w:val="00CC69E8"/>
    <w:rsid w:val="00CC6AF3"/>
    <w:rsid w:val="00CD2613"/>
    <w:rsid w:val="00CD2A1C"/>
    <w:rsid w:val="00CD526F"/>
    <w:rsid w:val="00CE06A2"/>
    <w:rsid w:val="00CE118B"/>
    <w:rsid w:val="00CF0112"/>
    <w:rsid w:val="00CF34BC"/>
    <w:rsid w:val="00D07030"/>
    <w:rsid w:val="00D14D2A"/>
    <w:rsid w:val="00D23E74"/>
    <w:rsid w:val="00D27F86"/>
    <w:rsid w:val="00D31DDA"/>
    <w:rsid w:val="00D44D7D"/>
    <w:rsid w:val="00D52828"/>
    <w:rsid w:val="00D52978"/>
    <w:rsid w:val="00D57E53"/>
    <w:rsid w:val="00D60F74"/>
    <w:rsid w:val="00D632DC"/>
    <w:rsid w:val="00D708C3"/>
    <w:rsid w:val="00D7099C"/>
    <w:rsid w:val="00D72CCC"/>
    <w:rsid w:val="00D73E22"/>
    <w:rsid w:val="00D817B9"/>
    <w:rsid w:val="00D9642E"/>
    <w:rsid w:val="00D976E2"/>
    <w:rsid w:val="00DA5E37"/>
    <w:rsid w:val="00DA7FA2"/>
    <w:rsid w:val="00DB041B"/>
    <w:rsid w:val="00DB17B2"/>
    <w:rsid w:val="00DC0672"/>
    <w:rsid w:val="00DC4DB9"/>
    <w:rsid w:val="00DC5CEE"/>
    <w:rsid w:val="00DC76F8"/>
    <w:rsid w:val="00DD42DB"/>
    <w:rsid w:val="00DF222A"/>
    <w:rsid w:val="00DF5973"/>
    <w:rsid w:val="00DF738A"/>
    <w:rsid w:val="00DF7501"/>
    <w:rsid w:val="00E11916"/>
    <w:rsid w:val="00E12A67"/>
    <w:rsid w:val="00E12CA9"/>
    <w:rsid w:val="00E12E4F"/>
    <w:rsid w:val="00E13C55"/>
    <w:rsid w:val="00E14C90"/>
    <w:rsid w:val="00E16205"/>
    <w:rsid w:val="00E16C56"/>
    <w:rsid w:val="00E24D49"/>
    <w:rsid w:val="00E25388"/>
    <w:rsid w:val="00E254D9"/>
    <w:rsid w:val="00E25ACC"/>
    <w:rsid w:val="00E4061E"/>
    <w:rsid w:val="00E47A53"/>
    <w:rsid w:val="00E501C6"/>
    <w:rsid w:val="00E55AD1"/>
    <w:rsid w:val="00E61F5A"/>
    <w:rsid w:val="00E642B3"/>
    <w:rsid w:val="00E66EBA"/>
    <w:rsid w:val="00E7049B"/>
    <w:rsid w:val="00E727F2"/>
    <w:rsid w:val="00E73A43"/>
    <w:rsid w:val="00E749F1"/>
    <w:rsid w:val="00E87116"/>
    <w:rsid w:val="00E90F22"/>
    <w:rsid w:val="00E93DF0"/>
    <w:rsid w:val="00E96021"/>
    <w:rsid w:val="00E97968"/>
    <w:rsid w:val="00EA7AFE"/>
    <w:rsid w:val="00EB1F1F"/>
    <w:rsid w:val="00EB3C20"/>
    <w:rsid w:val="00EC0B9E"/>
    <w:rsid w:val="00EC1EB5"/>
    <w:rsid w:val="00EC6B80"/>
    <w:rsid w:val="00ED0C45"/>
    <w:rsid w:val="00ED0CEE"/>
    <w:rsid w:val="00ED4142"/>
    <w:rsid w:val="00EF15CD"/>
    <w:rsid w:val="00EF585A"/>
    <w:rsid w:val="00EF5D1F"/>
    <w:rsid w:val="00EF6E21"/>
    <w:rsid w:val="00F0239E"/>
    <w:rsid w:val="00F07EFD"/>
    <w:rsid w:val="00F10F88"/>
    <w:rsid w:val="00F1164D"/>
    <w:rsid w:val="00F1200D"/>
    <w:rsid w:val="00F154DF"/>
    <w:rsid w:val="00F1676C"/>
    <w:rsid w:val="00F17C08"/>
    <w:rsid w:val="00F2478C"/>
    <w:rsid w:val="00F253BB"/>
    <w:rsid w:val="00F275B3"/>
    <w:rsid w:val="00F27B24"/>
    <w:rsid w:val="00F27D5C"/>
    <w:rsid w:val="00F340B8"/>
    <w:rsid w:val="00F37373"/>
    <w:rsid w:val="00F43F29"/>
    <w:rsid w:val="00F509AE"/>
    <w:rsid w:val="00F60941"/>
    <w:rsid w:val="00F60C52"/>
    <w:rsid w:val="00F60FAC"/>
    <w:rsid w:val="00F7110B"/>
    <w:rsid w:val="00F71912"/>
    <w:rsid w:val="00F81080"/>
    <w:rsid w:val="00F8191D"/>
    <w:rsid w:val="00F84F87"/>
    <w:rsid w:val="00F86156"/>
    <w:rsid w:val="00F87AE1"/>
    <w:rsid w:val="00F920EB"/>
    <w:rsid w:val="00F938A3"/>
    <w:rsid w:val="00F94D4D"/>
    <w:rsid w:val="00F95896"/>
    <w:rsid w:val="00FA24D1"/>
    <w:rsid w:val="00FA7DDB"/>
    <w:rsid w:val="00FB0E89"/>
    <w:rsid w:val="00FB231A"/>
    <w:rsid w:val="00FB4AA9"/>
    <w:rsid w:val="00FB4D5E"/>
    <w:rsid w:val="00FB5B51"/>
    <w:rsid w:val="00FC1435"/>
    <w:rsid w:val="00FC295E"/>
    <w:rsid w:val="00FC45CA"/>
    <w:rsid w:val="00FC49AB"/>
    <w:rsid w:val="00FC7F0C"/>
    <w:rsid w:val="00FD4866"/>
    <w:rsid w:val="00FE084D"/>
    <w:rsid w:val="00FF3007"/>
    <w:rsid w:val="00FF4BC4"/>
    <w:rsid w:val="00FF4BCA"/>
    <w:rsid w:val="00FF558C"/>
    <w:rsid w:val="00FF7279"/>
    <w:rsid w:val="00FF7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9BFD1B9-419B-467D-A89B-B81EAE783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7DD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5129"/>
    <w:pPr>
      <w:ind w:left="720"/>
      <w:contextualSpacing/>
    </w:pPr>
  </w:style>
  <w:style w:type="table" w:styleId="TableGrid">
    <w:name w:val="Table Grid"/>
    <w:basedOn w:val="TableNormal"/>
    <w:rsid w:val="004D3C8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4D3C8C"/>
    <w:rPr>
      <w:strike w:val="0"/>
      <w:dstrike w:val="0"/>
      <w:color w:val="275E94"/>
      <w:u w:val="none"/>
      <w:effect w:val="none"/>
    </w:rPr>
  </w:style>
  <w:style w:type="paragraph" w:styleId="Header">
    <w:name w:val="header"/>
    <w:basedOn w:val="Normal"/>
    <w:link w:val="HeaderChar"/>
    <w:uiPriority w:val="99"/>
    <w:semiHidden/>
    <w:unhideWhenUsed/>
    <w:rsid w:val="0094204C"/>
    <w:pPr>
      <w:tabs>
        <w:tab w:val="center" w:pos="4680"/>
        <w:tab w:val="right" w:pos="9360"/>
      </w:tabs>
    </w:pPr>
  </w:style>
  <w:style w:type="character" w:customStyle="1" w:styleId="HeaderChar">
    <w:name w:val="Header Char"/>
    <w:basedOn w:val="DefaultParagraphFont"/>
    <w:link w:val="Header"/>
    <w:uiPriority w:val="99"/>
    <w:semiHidden/>
    <w:rsid w:val="0094204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4204C"/>
    <w:pPr>
      <w:tabs>
        <w:tab w:val="center" w:pos="4680"/>
        <w:tab w:val="right" w:pos="9360"/>
      </w:tabs>
    </w:pPr>
  </w:style>
  <w:style w:type="character" w:customStyle="1" w:styleId="FooterChar">
    <w:name w:val="Footer Char"/>
    <w:basedOn w:val="DefaultParagraphFont"/>
    <w:link w:val="Footer"/>
    <w:uiPriority w:val="99"/>
    <w:rsid w:val="0094204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C66AD"/>
    <w:rPr>
      <w:rFonts w:ascii="Tahoma" w:hAnsi="Tahoma" w:cs="Tahoma"/>
      <w:sz w:val="16"/>
      <w:szCs w:val="16"/>
    </w:rPr>
  </w:style>
  <w:style w:type="character" w:customStyle="1" w:styleId="BalloonTextChar">
    <w:name w:val="Balloon Text Char"/>
    <w:basedOn w:val="DefaultParagraphFont"/>
    <w:link w:val="BalloonText"/>
    <w:uiPriority w:val="99"/>
    <w:semiHidden/>
    <w:rsid w:val="00CC66AD"/>
    <w:rPr>
      <w:rFonts w:ascii="Tahoma" w:eastAsia="Times New Roman" w:hAnsi="Tahoma" w:cs="Tahoma"/>
      <w:sz w:val="16"/>
      <w:szCs w:val="16"/>
    </w:rPr>
  </w:style>
  <w:style w:type="character" w:styleId="FollowedHyperlink">
    <w:name w:val="FollowedHyperlink"/>
    <w:basedOn w:val="DefaultParagraphFont"/>
    <w:uiPriority w:val="99"/>
    <w:semiHidden/>
    <w:unhideWhenUsed/>
    <w:rsid w:val="0054350A"/>
    <w:rPr>
      <w:color w:val="800080" w:themeColor="followedHyperlink"/>
      <w:u w:val="single"/>
    </w:rPr>
  </w:style>
  <w:style w:type="character" w:styleId="Strong">
    <w:name w:val="Strong"/>
    <w:basedOn w:val="DefaultParagraphFont"/>
    <w:uiPriority w:val="22"/>
    <w:qFormat/>
    <w:rsid w:val="008860C1"/>
    <w:rPr>
      <w:b/>
      <w:bCs/>
    </w:rPr>
  </w:style>
  <w:style w:type="character" w:styleId="CommentReference">
    <w:name w:val="annotation reference"/>
    <w:basedOn w:val="DefaultParagraphFont"/>
    <w:uiPriority w:val="99"/>
    <w:semiHidden/>
    <w:unhideWhenUsed/>
    <w:rsid w:val="001324D2"/>
    <w:rPr>
      <w:sz w:val="16"/>
      <w:szCs w:val="16"/>
    </w:rPr>
  </w:style>
  <w:style w:type="paragraph" w:styleId="CommentText">
    <w:name w:val="annotation text"/>
    <w:basedOn w:val="Normal"/>
    <w:link w:val="CommentTextChar"/>
    <w:uiPriority w:val="99"/>
    <w:semiHidden/>
    <w:unhideWhenUsed/>
    <w:rsid w:val="001324D2"/>
    <w:rPr>
      <w:sz w:val="20"/>
      <w:szCs w:val="20"/>
    </w:rPr>
  </w:style>
  <w:style w:type="character" w:customStyle="1" w:styleId="CommentTextChar">
    <w:name w:val="Comment Text Char"/>
    <w:basedOn w:val="DefaultParagraphFont"/>
    <w:link w:val="CommentText"/>
    <w:uiPriority w:val="99"/>
    <w:semiHidden/>
    <w:rsid w:val="001324D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324D2"/>
    <w:rPr>
      <w:b/>
      <w:bCs/>
    </w:rPr>
  </w:style>
  <w:style w:type="character" w:customStyle="1" w:styleId="CommentSubjectChar">
    <w:name w:val="Comment Subject Char"/>
    <w:basedOn w:val="CommentTextChar"/>
    <w:link w:val="CommentSubject"/>
    <w:uiPriority w:val="99"/>
    <w:semiHidden/>
    <w:rsid w:val="001324D2"/>
    <w:rPr>
      <w:rFonts w:ascii="Times New Roman" w:eastAsia="Times New Roman" w:hAnsi="Times New Roman" w:cs="Times New Roman"/>
      <w:b/>
      <w:bCs/>
      <w:sz w:val="20"/>
      <w:szCs w:val="20"/>
    </w:rPr>
  </w:style>
  <w:style w:type="character" w:styleId="Emphasis">
    <w:name w:val="Emphasis"/>
    <w:basedOn w:val="DefaultParagraphFont"/>
    <w:uiPriority w:val="20"/>
    <w:qFormat/>
    <w:rsid w:val="00FB0E89"/>
    <w:rPr>
      <w:b/>
      <w:bCs/>
      <w:i w:val="0"/>
      <w:iCs w:val="0"/>
    </w:rPr>
  </w:style>
  <w:style w:type="paragraph" w:styleId="Revision">
    <w:name w:val="Revision"/>
    <w:hidden/>
    <w:uiPriority w:val="99"/>
    <w:semiHidden/>
    <w:rsid w:val="004C7DB2"/>
    <w:pPr>
      <w:spacing w:after="0"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3C59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2259">
      <w:bodyDiv w:val="1"/>
      <w:marLeft w:val="0"/>
      <w:marRight w:val="0"/>
      <w:marTop w:val="0"/>
      <w:marBottom w:val="0"/>
      <w:divBdr>
        <w:top w:val="none" w:sz="0" w:space="0" w:color="auto"/>
        <w:left w:val="none" w:sz="0" w:space="0" w:color="auto"/>
        <w:bottom w:val="none" w:sz="0" w:space="0" w:color="auto"/>
        <w:right w:val="none" w:sz="0" w:space="0" w:color="auto"/>
      </w:divBdr>
    </w:div>
    <w:div w:id="98374985">
      <w:bodyDiv w:val="1"/>
      <w:marLeft w:val="0"/>
      <w:marRight w:val="0"/>
      <w:marTop w:val="0"/>
      <w:marBottom w:val="0"/>
      <w:divBdr>
        <w:top w:val="none" w:sz="0" w:space="0" w:color="auto"/>
        <w:left w:val="none" w:sz="0" w:space="0" w:color="auto"/>
        <w:bottom w:val="none" w:sz="0" w:space="0" w:color="auto"/>
        <w:right w:val="none" w:sz="0" w:space="0" w:color="auto"/>
      </w:divBdr>
    </w:div>
    <w:div w:id="131753549">
      <w:bodyDiv w:val="1"/>
      <w:marLeft w:val="0"/>
      <w:marRight w:val="0"/>
      <w:marTop w:val="0"/>
      <w:marBottom w:val="0"/>
      <w:divBdr>
        <w:top w:val="none" w:sz="0" w:space="0" w:color="auto"/>
        <w:left w:val="none" w:sz="0" w:space="0" w:color="auto"/>
        <w:bottom w:val="none" w:sz="0" w:space="0" w:color="auto"/>
        <w:right w:val="none" w:sz="0" w:space="0" w:color="auto"/>
      </w:divBdr>
    </w:div>
    <w:div w:id="151802744">
      <w:bodyDiv w:val="1"/>
      <w:marLeft w:val="0"/>
      <w:marRight w:val="0"/>
      <w:marTop w:val="0"/>
      <w:marBottom w:val="0"/>
      <w:divBdr>
        <w:top w:val="none" w:sz="0" w:space="0" w:color="auto"/>
        <w:left w:val="none" w:sz="0" w:space="0" w:color="auto"/>
        <w:bottom w:val="none" w:sz="0" w:space="0" w:color="auto"/>
        <w:right w:val="none" w:sz="0" w:space="0" w:color="auto"/>
      </w:divBdr>
    </w:div>
    <w:div w:id="281151798">
      <w:bodyDiv w:val="1"/>
      <w:marLeft w:val="0"/>
      <w:marRight w:val="0"/>
      <w:marTop w:val="0"/>
      <w:marBottom w:val="0"/>
      <w:divBdr>
        <w:top w:val="none" w:sz="0" w:space="0" w:color="auto"/>
        <w:left w:val="none" w:sz="0" w:space="0" w:color="auto"/>
        <w:bottom w:val="none" w:sz="0" w:space="0" w:color="auto"/>
        <w:right w:val="none" w:sz="0" w:space="0" w:color="auto"/>
      </w:divBdr>
    </w:div>
    <w:div w:id="285966291">
      <w:bodyDiv w:val="1"/>
      <w:marLeft w:val="0"/>
      <w:marRight w:val="0"/>
      <w:marTop w:val="0"/>
      <w:marBottom w:val="0"/>
      <w:divBdr>
        <w:top w:val="none" w:sz="0" w:space="0" w:color="auto"/>
        <w:left w:val="none" w:sz="0" w:space="0" w:color="auto"/>
        <w:bottom w:val="none" w:sz="0" w:space="0" w:color="auto"/>
        <w:right w:val="none" w:sz="0" w:space="0" w:color="auto"/>
      </w:divBdr>
    </w:div>
    <w:div w:id="330958366">
      <w:bodyDiv w:val="1"/>
      <w:marLeft w:val="0"/>
      <w:marRight w:val="0"/>
      <w:marTop w:val="0"/>
      <w:marBottom w:val="0"/>
      <w:divBdr>
        <w:top w:val="none" w:sz="0" w:space="0" w:color="auto"/>
        <w:left w:val="none" w:sz="0" w:space="0" w:color="auto"/>
        <w:bottom w:val="none" w:sz="0" w:space="0" w:color="auto"/>
        <w:right w:val="none" w:sz="0" w:space="0" w:color="auto"/>
      </w:divBdr>
    </w:div>
    <w:div w:id="333993931">
      <w:bodyDiv w:val="1"/>
      <w:marLeft w:val="0"/>
      <w:marRight w:val="0"/>
      <w:marTop w:val="0"/>
      <w:marBottom w:val="0"/>
      <w:divBdr>
        <w:top w:val="none" w:sz="0" w:space="0" w:color="auto"/>
        <w:left w:val="none" w:sz="0" w:space="0" w:color="auto"/>
        <w:bottom w:val="none" w:sz="0" w:space="0" w:color="auto"/>
        <w:right w:val="none" w:sz="0" w:space="0" w:color="auto"/>
      </w:divBdr>
    </w:div>
    <w:div w:id="340664306">
      <w:bodyDiv w:val="1"/>
      <w:marLeft w:val="0"/>
      <w:marRight w:val="0"/>
      <w:marTop w:val="0"/>
      <w:marBottom w:val="0"/>
      <w:divBdr>
        <w:top w:val="none" w:sz="0" w:space="0" w:color="auto"/>
        <w:left w:val="none" w:sz="0" w:space="0" w:color="auto"/>
        <w:bottom w:val="none" w:sz="0" w:space="0" w:color="auto"/>
        <w:right w:val="none" w:sz="0" w:space="0" w:color="auto"/>
      </w:divBdr>
    </w:div>
    <w:div w:id="615790268">
      <w:bodyDiv w:val="1"/>
      <w:marLeft w:val="0"/>
      <w:marRight w:val="0"/>
      <w:marTop w:val="0"/>
      <w:marBottom w:val="0"/>
      <w:divBdr>
        <w:top w:val="none" w:sz="0" w:space="0" w:color="auto"/>
        <w:left w:val="none" w:sz="0" w:space="0" w:color="auto"/>
        <w:bottom w:val="none" w:sz="0" w:space="0" w:color="auto"/>
        <w:right w:val="none" w:sz="0" w:space="0" w:color="auto"/>
      </w:divBdr>
    </w:div>
    <w:div w:id="711224658">
      <w:bodyDiv w:val="1"/>
      <w:marLeft w:val="0"/>
      <w:marRight w:val="0"/>
      <w:marTop w:val="0"/>
      <w:marBottom w:val="0"/>
      <w:divBdr>
        <w:top w:val="none" w:sz="0" w:space="0" w:color="auto"/>
        <w:left w:val="none" w:sz="0" w:space="0" w:color="auto"/>
        <w:bottom w:val="none" w:sz="0" w:space="0" w:color="auto"/>
        <w:right w:val="none" w:sz="0" w:space="0" w:color="auto"/>
      </w:divBdr>
    </w:div>
    <w:div w:id="824857814">
      <w:bodyDiv w:val="1"/>
      <w:marLeft w:val="0"/>
      <w:marRight w:val="0"/>
      <w:marTop w:val="0"/>
      <w:marBottom w:val="0"/>
      <w:divBdr>
        <w:top w:val="none" w:sz="0" w:space="0" w:color="auto"/>
        <w:left w:val="none" w:sz="0" w:space="0" w:color="auto"/>
        <w:bottom w:val="none" w:sz="0" w:space="0" w:color="auto"/>
        <w:right w:val="none" w:sz="0" w:space="0" w:color="auto"/>
      </w:divBdr>
    </w:div>
    <w:div w:id="843087406">
      <w:bodyDiv w:val="1"/>
      <w:marLeft w:val="0"/>
      <w:marRight w:val="0"/>
      <w:marTop w:val="0"/>
      <w:marBottom w:val="0"/>
      <w:divBdr>
        <w:top w:val="none" w:sz="0" w:space="0" w:color="auto"/>
        <w:left w:val="none" w:sz="0" w:space="0" w:color="auto"/>
        <w:bottom w:val="none" w:sz="0" w:space="0" w:color="auto"/>
        <w:right w:val="none" w:sz="0" w:space="0" w:color="auto"/>
      </w:divBdr>
    </w:div>
    <w:div w:id="915171446">
      <w:bodyDiv w:val="1"/>
      <w:marLeft w:val="0"/>
      <w:marRight w:val="0"/>
      <w:marTop w:val="0"/>
      <w:marBottom w:val="0"/>
      <w:divBdr>
        <w:top w:val="none" w:sz="0" w:space="0" w:color="auto"/>
        <w:left w:val="none" w:sz="0" w:space="0" w:color="auto"/>
        <w:bottom w:val="none" w:sz="0" w:space="0" w:color="auto"/>
        <w:right w:val="none" w:sz="0" w:space="0" w:color="auto"/>
      </w:divBdr>
    </w:div>
    <w:div w:id="928729782">
      <w:bodyDiv w:val="1"/>
      <w:marLeft w:val="0"/>
      <w:marRight w:val="0"/>
      <w:marTop w:val="0"/>
      <w:marBottom w:val="0"/>
      <w:divBdr>
        <w:top w:val="none" w:sz="0" w:space="0" w:color="auto"/>
        <w:left w:val="none" w:sz="0" w:space="0" w:color="auto"/>
        <w:bottom w:val="none" w:sz="0" w:space="0" w:color="auto"/>
        <w:right w:val="none" w:sz="0" w:space="0" w:color="auto"/>
      </w:divBdr>
    </w:div>
    <w:div w:id="1186599483">
      <w:bodyDiv w:val="1"/>
      <w:marLeft w:val="0"/>
      <w:marRight w:val="0"/>
      <w:marTop w:val="0"/>
      <w:marBottom w:val="0"/>
      <w:divBdr>
        <w:top w:val="none" w:sz="0" w:space="0" w:color="auto"/>
        <w:left w:val="none" w:sz="0" w:space="0" w:color="auto"/>
        <w:bottom w:val="none" w:sz="0" w:space="0" w:color="auto"/>
        <w:right w:val="none" w:sz="0" w:space="0" w:color="auto"/>
      </w:divBdr>
    </w:div>
    <w:div w:id="1249920261">
      <w:bodyDiv w:val="1"/>
      <w:marLeft w:val="0"/>
      <w:marRight w:val="0"/>
      <w:marTop w:val="0"/>
      <w:marBottom w:val="0"/>
      <w:divBdr>
        <w:top w:val="none" w:sz="0" w:space="0" w:color="auto"/>
        <w:left w:val="none" w:sz="0" w:space="0" w:color="auto"/>
        <w:bottom w:val="none" w:sz="0" w:space="0" w:color="auto"/>
        <w:right w:val="none" w:sz="0" w:space="0" w:color="auto"/>
      </w:divBdr>
    </w:div>
    <w:div w:id="1335840435">
      <w:bodyDiv w:val="1"/>
      <w:marLeft w:val="0"/>
      <w:marRight w:val="0"/>
      <w:marTop w:val="0"/>
      <w:marBottom w:val="0"/>
      <w:divBdr>
        <w:top w:val="none" w:sz="0" w:space="0" w:color="auto"/>
        <w:left w:val="none" w:sz="0" w:space="0" w:color="auto"/>
        <w:bottom w:val="none" w:sz="0" w:space="0" w:color="auto"/>
        <w:right w:val="none" w:sz="0" w:space="0" w:color="auto"/>
      </w:divBdr>
    </w:div>
    <w:div w:id="1500003218">
      <w:bodyDiv w:val="1"/>
      <w:marLeft w:val="0"/>
      <w:marRight w:val="0"/>
      <w:marTop w:val="0"/>
      <w:marBottom w:val="0"/>
      <w:divBdr>
        <w:top w:val="none" w:sz="0" w:space="0" w:color="auto"/>
        <w:left w:val="none" w:sz="0" w:space="0" w:color="auto"/>
        <w:bottom w:val="none" w:sz="0" w:space="0" w:color="auto"/>
        <w:right w:val="none" w:sz="0" w:space="0" w:color="auto"/>
      </w:divBdr>
    </w:div>
    <w:div w:id="1511064972">
      <w:bodyDiv w:val="1"/>
      <w:marLeft w:val="0"/>
      <w:marRight w:val="0"/>
      <w:marTop w:val="0"/>
      <w:marBottom w:val="0"/>
      <w:divBdr>
        <w:top w:val="none" w:sz="0" w:space="0" w:color="auto"/>
        <w:left w:val="none" w:sz="0" w:space="0" w:color="auto"/>
        <w:bottom w:val="none" w:sz="0" w:space="0" w:color="auto"/>
        <w:right w:val="none" w:sz="0" w:space="0" w:color="auto"/>
      </w:divBdr>
    </w:div>
    <w:div w:id="1521119309">
      <w:bodyDiv w:val="1"/>
      <w:marLeft w:val="0"/>
      <w:marRight w:val="0"/>
      <w:marTop w:val="0"/>
      <w:marBottom w:val="0"/>
      <w:divBdr>
        <w:top w:val="none" w:sz="0" w:space="0" w:color="auto"/>
        <w:left w:val="none" w:sz="0" w:space="0" w:color="auto"/>
        <w:bottom w:val="none" w:sz="0" w:space="0" w:color="auto"/>
        <w:right w:val="none" w:sz="0" w:space="0" w:color="auto"/>
      </w:divBdr>
    </w:div>
    <w:div w:id="1532955792">
      <w:bodyDiv w:val="1"/>
      <w:marLeft w:val="0"/>
      <w:marRight w:val="0"/>
      <w:marTop w:val="0"/>
      <w:marBottom w:val="0"/>
      <w:divBdr>
        <w:top w:val="none" w:sz="0" w:space="0" w:color="auto"/>
        <w:left w:val="none" w:sz="0" w:space="0" w:color="auto"/>
        <w:bottom w:val="none" w:sz="0" w:space="0" w:color="auto"/>
        <w:right w:val="none" w:sz="0" w:space="0" w:color="auto"/>
      </w:divBdr>
    </w:div>
    <w:div w:id="1571887557">
      <w:bodyDiv w:val="1"/>
      <w:marLeft w:val="0"/>
      <w:marRight w:val="0"/>
      <w:marTop w:val="0"/>
      <w:marBottom w:val="0"/>
      <w:divBdr>
        <w:top w:val="none" w:sz="0" w:space="0" w:color="auto"/>
        <w:left w:val="none" w:sz="0" w:space="0" w:color="auto"/>
        <w:bottom w:val="none" w:sz="0" w:space="0" w:color="auto"/>
        <w:right w:val="none" w:sz="0" w:space="0" w:color="auto"/>
      </w:divBdr>
    </w:div>
    <w:div w:id="1696466032">
      <w:bodyDiv w:val="1"/>
      <w:marLeft w:val="0"/>
      <w:marRight w:val="0"/>
      <w:marTop w:val="0"/>
      <w:marBottom w:val="0"/>
      <w:divBdr>
        <w:top w:val="none" w:sz="0" w:space="0" w:color="auto"/>
        <w:left w:val="none" w:sz="0" w:space="0" w:color="auto"/>
        <w:bottom w:val="none" w:sz="0" w:space="0" w:color="auto"/>
        <w:right w:val="none" w:sz="0" w:space="0" w:color="auto"/>
      </w:divBdr>
    </w:div>
    <w:div w:id="1855260892">
      <w:bodyDiv w:val="1"/>
      <w:marLeft w:val="0"/>
      <w:marRight w:val="0"/>
      <w:marTop w:val="0"/>
      <w:marBottom w:val="0"/>
      <w:divBdr>
        <w:top w:val="none" w:sz="0" w:space="0" w:color="auto"/>
        <w:left w:val="none" w:sz="0" w:space="0" w:color="auto"/>
        <w:bottom w:val="none" w:sz="0" w:space="0" w:color="auto"/>
        <w:right w:val="none" w:sz="0" w:space="0" w:color="auto"/>
      </w:divBdr>
    </w:div>
    <w:div w:id="1886872922">
      <w:bodyDiv w:val="1"/>
      <w:marLeft w:val="0"/>
      <w:marRight w:val="0"/>
      <w:marTop w:val="0"/>
      <w:marBottom w:val="0"/>
      <w:divBdr>
        <w:top w:val="none" w:sz="0" w:space="0" w:color="auto"/>
        <w:left w:val="none" w:sz="0" w:space="0" w:color="auto"/>
        <w:bottom w:val="none" w:sz="0" w:space="0" w:color="auto"/>
        <w:right w:val="none" w:sz="0" w:space="0" w:color="auto"/>
      </w:divBdr>
    </w:div>
    <w:div w:id="1961177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3C28C3C1BA454EA4C5D9CC4EEADE3C"/>
        <w:category>
          <w:name w:val="General"/>
          <w:gallery w:val="placeholder"/>
        </w:category>
        <w:types>
          <w:type w:val="bbPlcHdr"/>
        </w:types>
        <w:behaviors>
          <w:behavior w:val="content"/>
        </w:behaviors>
        <w:guid w:val="{154F260A-B5F2-48A5-9FCE-549F12D26FAB}"/>
      </w:docPartPr>
      <w:docPartBody>
        <w:p w:rsidR="00AD6C60" w:rsidRDefault="00C956B8" w:rsidP="00C956B8">
          <w:pPr>
            <w:pStyle w:val="5F3C28C3C1BA454EA4C5D9CC4EEADE3C"/>
          </w:pPr>
          <w:r w:rsidRPr="008A102A">
            <w:rPr>
              <w:rStyle w:val="PlaceholderText"/>
            </w:rPr>
            <w:t>Click here to enter text.</w:t>
          </w:r>
        </w:p>
      </w:docPartBody>
    </w:docPart>
    <w:docPart>
      <w:docPartPr>
        <w:name w:val="EB8E1AD1C64F4161A995F3248EC1F899"/>
        <w:category>
          <w:name w:val="General"/>
          <w:gallery w:val="placeholder"/>
        </w:category>
        <w:types>
          <w:type w:val="bbPlcHdr"/>
        </w:types>
        <w:behaviors>
          <w:behavior w:val="content"/>
        </w:behaviors>
        <w:guid w:val="{371FB202-FB94-47BF-AD41-2FF2152E2298}"/>
      </w:docPartPr>
      <w:docPartBody>
        <w:p w:rsidR="00AD6C60" w:rsidRDefault="00C956B8" w:rsidP="00C956B8">
          <w:pPr>
            <w:pStyle w:val="EB8E1AD1C64F4161A995F3248EC1F899"/>
          </w:pPr>
          <w:r w:rsidRPr="008A102A">
            <w:rPr>
              <w:rStyle w:val="PlaceholderText"/>
            </w:rPr>
            <w:t>Click here to enter text.</w:t>
          </w:r>
        </w:p>
      </w:docPartBody>
    </w:docPart>
    <w:docPart>
      <w:docPartPr>
        <w:name w:val="DC79411A006A446685E336E7193D0493"/>
        <w:category>
          <w:name w:val="General"/>
          <w:gallery w:val="placeholder"/>
        </w:category>
        <w:types>
          <w:type w:val="bbPlcHdr"/>
        </w:types>
        <w:behaviors>
          <w:behavior w:val="content"/>
        </w:behaviors>
        <w:guid w:val="{37ACD3E1-72FA-419A-AA7D-E2858B71DAF0}"/>
      </w:docPartPr>
      <w:docPartBody>
        <w:p w:rsidR="00AD6C60" w:rsidRDefault="00C956B8" w:rsidP="00C956B8">
          <w:pPr>
            <w:pStyle w:val="DC79411A006A446685E336E7193D0493"/>
          </w:pPr>
          <w:r w:rsidRPr="008A102A">
            <w:rPr>
              <w:rStyle w:val="PlaceholderText"/>
            </w:rPr>
            <w:t>Click here to enter text.</w:t>
          </w:r>
        </w:p>
      </w:docPartBody>
    </w:docPart>
    <w:docPart>
      <w:docPartPr>
        <w:name w:val="88C8126C81614E2DA0E2C84ECD62660B"/>
        <w:category>
          <w:name w:val="General"/>
          <w:gallery w:val="placeholder"/>
        </w:category>
        <w:types>
          <w:type w:val="bbPlcHdr"/>
        </w:types>
        <w:behaviors>
          <w:behavior w:val="content"/>
        </w:behaviors>
        <w:guid w:val="{49A6D7EF-9345-42E4-9ACE-2A239F8C3ED6}"/>
      </w:docPartPr>
      <w:docPartBody>
        <w:p w:rsidR="00AD6C60" w:rsidRDefault="00C956B8" w:rsidP="00C956B8">
          <w:pPr>
            <w:pStyle w:val="88C8126C81614E2DA0E2C84ECD62660B"/>
          </w:pPr>
          <w:r w:rsidRPr="008A102A">
            <w:rPr>
              <w:rStyle w:val="PlaceholderText"/>
            </w:rPr>
            <w:t>Click here to enter text.</w:t>
          </w:r>
        </w:p>
      </w:docPartBody>
    </w:docPart>
    <w:docPart>
      <w:docPartPr>
        <w:name w:val="5D929A487D8341AEA29F7DE2B132A45D"/>
        <w:category>
          <w:name w:val="General"/>
          <w:gallery w:val="placeholder"/>
        </w:category>
        <w:types>
          <w:type w:val="bbPlcHdr"/>
        </w:types>
        <w:behaviors>
          <w:behavior w:val="content"/>
        </w:behaviors>
        <w:guid w:val="{4873E934-798E-4325-A131-19357D4EE137}"/>
      </w:docPartPr>
      <w:docPartBody>
        <w:p w:rsidR="00AD6C60" w:rsidRDefault="00C956B8" w:rsidP="00C956B8">
          <w:pPr>
            <w:pStyle w:val="5D929A487D8341AEA29F7DE2B132A45D"/>
          </w:pPr>
          <w:r w:rsidRPr="008A102A">
            <w:rPr>
              <w:rStyle w:val="PlaceholderText"/>
            </w:rPr>
            <w:t>Click here to enter text.</w:t>
          </w:r>
        </w:p>
      </w:docPartBody>
    </w:docPart>
    <w:docPart>
      <w:docPartPr>
        <w:name w:val="AC6405246F89492EB3C6363DD9F07B24"/>
        <w:category>
          <w:name w:val="General"/>
          <w:gallery w:val="placeholder"/>
        </w:category>
        <w:types>
          <w:type w:val="bbPlcHdr"/>
        </w:types>
        <w:behaviors>
          <w:behavior w:val="content"/>
        </w:behaviors>
        <w:guid w:val="{97EE9CA6-B365-4991-84BF-843FB9F76982}"/>
      </w:docPartPr>
      <w:docPartBody>
        <w:p w:rsidR="00AD6C60" w:rsidRDefault="00C956B8" w:rsidP="00C956B8">
          <w:pPr>
            <w:pStyle w:val="AC6405246F89492EB3C6363DD9F07B24"/>
          </w:pPr>
          <w:r w:rsidRPr="008A102A">
            <w:rPr>
              <w:rStyle w:val="PlaceholderText"/>
            </w:rPr>
            <w:t>Click here to enter text.</w:t>
          </w:r>
        </w:p>
      </w:docPartBody>
    </w:docPart>
    <w:docPart>
      <w:docPartPr>
        <w:name w:val="6F32F4B890604D4DBFF0C9AC9C44F6DD"/>
        <w:category>
          <w:name w:val="General"/>
          <w:gallery w:val="placeholder"/>
        </w:category>
        <w:types>
          <w:type w:val="bbPlcHdr"/>
        </w:types>
        <w:behaviors>
          <w:behavior w:val="content"/>
        </w:behaviors>
        <w:guid w:val="{A7F14EC3-BD70-4875-9556-39C46F09F3A7}"/>
      </w:docPartPr>
      <w:docPartBody>
        <w:p w:rsidR="00AD6C60" w:rsidRDefault="00C956B8" w:rsidP="00C956B8">
          <w:pPr>
            <w:pStyle w:val="6F32F4B890604D4DBFF0C9AC9C44F6DD"/>
          </w:pPr>
          <w:r w:rsidRPr="008A102A">
            <w:rPr>
              <w:rStyle w:val="PlaceholderText"/>
            </w:rPr>
            <w:t>Click here to enter text.</w:t>
          </w:r>
        </w:p>
      </w:docPartBody>
    </w:docPart>
    <w:docPart>
      <w:docPartPr>
        <w:name w:val="141822FEB60F448BAEF4C69878758E90"/>
        <w:category>
          <w:name w:val="General"/>
          <w:gallery w:val="placeholder"/>
        </w:category>
        <w:types>
          <w:type w:val="bbPlcHdr"/>
        </w:types>
        <w:behaviors>
          <w:behavior w:val="content"/>
        </w:behaviors>
        <w:guid w:val="{26660296-7CCF-4FA8-A4E1-BB74352994FD}"/>
      </w:docPartPr>
      <w:docPartBody>
        <w:p w:rsidR="00AD6C60" w:rsidRDefault="00C956B8" w:rsidP="00C956B8">
          <w:pPr>
            <w:pStyle w:val="141822FEB60F448BAEF4C69878758E90"/>
          </w:pPr>
          <w:r w:rsidRPr="008A102A">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6B8"/>
    <w:rsid w:val="000F4D2A"/>
    <w:rsid w:val="00186CBB"/>
    <w:rsid w:val="009C67A5"/>
    <w:rsid w:val="00AD6C60"/>
    <w:rsid w:val="00C956B8"/>
    <w:rsid w:val="00E36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56B8"/>
    <w:rPr>
      <w:color w:val="808080"/>
    </w:rPr>
  </w:style>
  <w:style w:type="paragraph" w:customStyle="1" w:styleId="5F3C28C3C1BA454EA4C5D9CC4EEADE3C">
    <w:name w:val="5F3C28C3C1BA454EA4C5D9CC4EEADE3C"/>
    <w:rsid w:val="00C956B8"/>
  </w:style>
  <w:style w:type="paragraph" w:customStyle="1" w:styleId="EB8E1AD1C64F4161A995F3248EC1F899">
    <w:name w:val="EB8E1AD1C64F4161A995F3248EC1F899"/>
    <w:rsid w:val="00C956B8"/>
  </w:style>
  <w:style w:type="paragraph" w:customStyle="1" w:styleId="DC79411A006A446685E336E7193D0493">
    <w:name w:val="DC79411A006A446685E336E7193D0493"/>
    <w:rsid w:val="00C956B8"/>
  </w:style>
  <w:style w:type="paragraph" w:customStyle="1" w:styleId="88C8126C81614E2DA0E2C84ECD62660B">
    <w:name w:val="88C8126C81614E2DA0E2C84ECD62660B"/>
    <w:rsid w:val="00C956B8"/>
  </w:style>
  <w:style w:type="paragraph" w:customStyle="1" w:styleId="88D766757B03410E8AD3DBCD6B490F94">
    <w:name w:val="88D766757B03410E8AD3DBCD6B490F94"/>
    <w:rsid w:val="00C956B8"/>
  </w:style>
  <w:style w:type="paragraph" w:customStyle="1" w:styleId="FA0450E5EF9C45C98E2AC5D8D5CFE463">
    <w:name w:val="FA0450E5EF9C45C98E2AC5D8D5CFE463"/>
    <w:rsid w:val="00C956B8"/>
  </w:style>
  <w:style w:type="paragraph" w:customStyle="1" w:styleId="9BD98758EF2A42F79369266F6FA86C43">
    <w:name w:val="9BD98758EF2A42F79369266F6FA86C43"/>
    <w:rsid w:val="00C956B8"/>
  </w:style>
  <w:style w:type="paragraph" w:customStyle="1" w:styleId="5D929A487D8341AEA29F7DE2B132A45D">
    <w:name w:val="5D929A487D8341AEA29F7DE2B132A45D"/>
    <w:rsid w:val="00C956B8"/>
  </w:style>
  <w:style w:type="paragraph" w:customStyle="1" w:styleId="AC6405246F89492EB3C6363DD9F07B24">
    <w:name w:val="AC6405246F89492EB3C6363DD9F07B24"/>
    <w:rsid w:val="00C956B8"/>
  </w:style>
  <w:style w:type="paragraph" w:customStyle="1" w:styleId="6F32F4B890604D4DBFF0C9AC9C44F6DD">
    <w:name w:val="6F32F4B890604D4DBFF0C9AC9C44F6DD"/>
    <w:rsid w:val="00C956B8"/>
  </w:style>
  <w:style w:type="paragraph" w:customStyle="1" w:styleId="141822FEB60F448BAEF4C69878758E90">
    <w:name w:val="141822FEB60F448BAEF4C69878758E90"/>
    <w:rsid w:val="00C956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6ADE2-3B3C-4222-A6AB-901003805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3361</Words>
  <Characters>19158</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22475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Sinclair Community College</dc:creator>
  <cp:lastModifiedBy>Dorgan, Lonnie</cp:lastModifiedBy>
  <cp:revision>3</cp:revision>
  <cp:lastPrinted>2016-05-02T15:52:00Z</cp:lastPrinted>
  <dcterms:created xsi:type="dcterms:W3CDTF">2016-06-09T17:59:00Z</dcterms:created>
  <dcterms:modified xsi:type="dcterms:W3CDTF">2016-06-09T17:59:00Z</dcterms:modified>
</cp:coreProperties>
</file>