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3B7" w:rsidRPr="00F60941" w:rsidRDefault="00B363B7" w:rsidP="00B363B7">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B363B7" w:rsidRDefault="00B363B7" w:rsidP="00B363B7">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Pr>
          <w:rFonts w:ascii="Arial" w:hAnsi="Arial" w:cs="Arial"/>
          <w:b/>
          <w:color w:val="000000" w:themeColor="text1"/>
        </w:rPr>
        <w:t>2014-15</w:t>
      </w:r>
    </w:p>
    <w:p w:rsidR="00B363B7" w:rsidRDefault="00B363B7" w:rsidP="00B363B7">
      <w:pPr>
        <w:jc w:val="center"/>
        <w:rPr>
          <w:rFonts w:ascii="Arial" w:hAnsi="Arial" w:cs="Arial"/>
          <w:b/>
          <w:color w:val="000000" w:themeColor="text1"/>
        </w:rPr>
      </w:pPr>
    </w:p>
    <w:p w:rsidR="00B363B7" w:rsidRPr="00CD2613" w:rsidRDefault="00B363B7" w:rsidP="00B363B7">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rsidR="00B363B7" w:rsidRDefault="00B363B7" w:rsidP="00B363B7">
      <w:pPr>
        <w:jc w:val="center"/>
        <w:rPr>
          <w:rFonts w:ascii="Arial" w:hAnsi="Arial" w:cs="Arial"/>
          <w:b/>
          <w:color w:val="000000" w:themeColor="text1"/>
        </w:rPr>
      </w:pPr>
    </w:p>
    <w:p w:rsidR="00B363B7" w:rsidRPr="00CD2613" w:rsidRDefault="00B363B7" w:rsidP="00B363B7">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73CDD">
        <w:rPr>
          <w:rFonts w:ascii="Arial" w:hAnsi="Arial" w:cs="Arial"/>
          <w:color w:val="000000" w:themeColor="text1"/>
          <w:u w:val="single"/>
        </w:rPr>
        <w:t>0</w:t>
      </w:r>
      <w:r w:rsidR="00791E19">
        <w:rPr>
          <w:rFonts w:ascii="Arial" w:hAnsi="Arial" w:cs="Arial"/>
          <w:color w:val="000000" w:themeColor="text1"/>
          <w:u w:val="single"/>
        </w:rPr>
        <w:t>355</w:t>
      </w:r>
      <w:r w:rsidR="00673CDD">
        <w:rPr>
          <w:rFonts w:ascii="Arial" w:hAnsi="Arial" w:cs="Arial"/>
          <w:color w:val="000000" w:themeColor="text1"/>
          <w:u w:val="single"/>
        </w:rPr>
        <w:t xml:space="preserve"> –</w:t>
      </w:r>
      <w:r w:rsidR="00791E19">
        <w:rPr>
          <w:rFonts w:ascii="Arial" w:hAnsi="Arial" w:cs="Arial"/>
          <w:color w:val="000000" w:themeColor="text1"/>
          <w:u w:val="single"/>
        </w:rPr>
        <w:t xml:space="preserve"> </w:t>
      </w:r>
      <w:proofErr w:type="gramStart"/>
      <w:r w:rsidR="00791E19">
        <w:rPr>
          <w:rFonts w:ascii="Arial" w:hAnsi="Arial" w:cs="Arial"/>
          <w:color w:val="000000" w:themeColor="text1"/>
          <w:u w:val="single"/>
        </w:rPr>
        <w:t>Chemistry  0357</w:t>
      </w:r>
      <w:proofErr w:type="gramEnd"/>
      <w:r w:rsidR="00791E19">
        <w:rPr>
          <w:rFonts w:ascii="Arial" w:hAnsi="Arial" w:cs="Arial"/>
          <w:color w:val="000000" w:themeColor="text1"/>
          <w:u w:val="single"/>
        </w:rPr>
        <w:t xml:space="preserve"> Geology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2C39BF">
        <w:rPr>
          <w:rFonts w:ascii="Arial" w:hAnsi="Arial" w:cs="Arial"/>
          <w:color w:val="000000" w:themeColor="text1"/>
        </w:rPr>
        <w:t>12</w:t>
      </w:r>
      <w:r>
        <w:rPr>
          <w:rFonts w:ascii="Arial" w:hAnsi="Arial" w:cs="Arial"/>
          <w:color w:val="000000" w:themeColor="text1"/>
        </w:rPr>
        <w:t>-</w:t>
      </w:r>
      <w:r w:rsidR="001A2E6B">
        <w:rPr>
          <w:rFonts w:ascii="Arial" w:hAnsi="Arial" w:cs="Arial"/>
          <w:color w:val="000000" w:themeColor="text1"/>
        </w:rPr>
        <w:t>20</w:t>
      </w:r>
      <w:r w:rsidR="002C39BF">
        <w:rPr>
          <w:rFonts w:ascii="Arial" w:hAnsi="Arial" w:cs="Arial"/>
          <w:color w:val="000000" w:themeColor="text1"/>
        </w:rPr>
        <w:t>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73CDD">
        <w:rPr>
          <w:rFonts w:ascii="Arial" w:hAnsi="Arial" w:cs="Arial"/>
          <w:color w:val="000000" w:themeColor="text1"/>
        </w:rPr>
        <w:t>1</w:t>
      </w:r>
      <w:r w:rsidR="002C39BF">
        <w:rPr>
          <w:rFonts w:ascii="Arial" w:hAnsi="Arial" w:cs="Arial"/>
          <w:color w:val="000000" w:themeColor="text1"/>
        </w:rPr>
        <w:t>7</w:t>
      </w:r>
      <w:r>
        <w:rPr>
          <w:rFonts w:ascii="Arial" w:hAnsi="Arial" w:cs="Arial"/>
          <w:color w:val="000000" w:themeColor="text1"/>
        </w:rPr>
        <w:t>-201</w:t>
      </w:r>
      <w:r w:rsidR="002C39BF">
        <w:rPr>
          <w:rFonts w:ascii="Arial" w:hAnsi="Arial" w:cs="Arial"/>
          <w:color w:val="000000" w:themeColor="text1"/>
        </w:rPr>
        <w:t>8</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2A4CD9" w:rsidP="00585766">
      <w:pPr>
        <w:rPr>
          <w:rFonts w:ascii="Arial" w:hAnsi="Arial" w:cs="Arial"/>
          <w:noProof/>
          <w:color w:val="000000" w:themeColor="text1"/>
        </w:rPr>
      </w:pPr>
      <w:r>
        <w:rPr>
          <w:noProof/>
        </w:rPr>
        <w:drawing>
          <wp:inline distT="0" distB="0" distL="0" distR="0" wp14:anchorId="163BE56D" wp14:editId="4C0C9C72">
            <wp:extent cx="5857875" cy="2590800"/>
            <wp:effectExtent l="19050" t="1905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1A2E6B" w:rsidRDefault="001A2E6B" w:rsidP="009D4417">
      <w:pPr>
        <w:pStyle w:val="ListParagraph"/>
        <w:tabs>
          <w:tab w:val="left" w:pos="5040"/>
        </w:tabs>
        <w:ind w:left="0"/>
        <w:rPr>
          <w:rFonts w:ascii="Arial" w:hAnsi="Arial" w:cs="Arial"/>
          <w:color w:val="000000" w:themeColor="text1"/>
        </w:rPr>
      </w:pPr>
    </w:p>
    <w:p w:rsidR="00CB622F" w:rsidRPr="00BD01B6" w:rsidRDefault="00CB622F" w:rsidP="009D4417">
      <w:pPr>
        <w:pStyle w:val="ListParagraph"/>
        <w:tabs>
          <w:tab w:val="left" w:pos="5040"/>
        </w:tabs>
        <w:ind w:left="0"/>
        <w:rPr>
          <w:color w:val="000000" w:themeColor="text1"/>
        </w:rPr>
      </w:pPr>
      <w:r w:rsidRPr="00BD01B6">
        <w:rPr>
          <w:color w:val="000000" w:themeColor="text1"/>
        </w:rPr>
        <w:t>Sinclair currently has no true geology program; there is no associate degree available to interested students</w:t>
      </w:r>
      <w:r w:rsidR="005D7892" w:rsidRPr="00BD01B6">
        <w:rPr>
          <w:color w:val="000000" w:themeColor="text1"/>
        </w:rPr>
        <w:t xml:space="preserve"> (which makes suspect the two completions shown in the above graph)</w:t>
      </w:r>
      <w:r w:rsidRPr="00BD01B6">
        <w:rPr>
          <w:color w:val="000000" w:themeColor="text1"/>
        </w:rPr>
        <w:t xml:space="preserve">.  First of all, geology, as a major, does not draw a sizeable number of students.  Secondly, there are few four-year geology programs elsewhere to which students can transfer.  Nevertheless, we are </w:t>
      </w:r>
      <w:r w:rsidRPr="00BD01B6">
        <w:rPr>
          <w:color w:val="000000" w:themeColor="text1"/>
        </w:rPr>
        <w:lastRenderedPageBreak/>
        <w:t>working to create an associate-degree program for students who are interested in pursuing geology as a career.  The primary hurdle to creating such a program is the number of credits students would be expected to complete before transferring</w:t>
      </w:r>
      <w:r w:rsidR="00004799" w:rsidRPr="00BD01B6">
        <w:rPr>
          <w:color w:val="000000" w:themeColor="text1"/>
        </w:rPr>
        <w:t>.  There is quite a diversity of course expectations for different four-year programs; trying to develop a program that will easily transfer to the various programs to which students might transfer is proving somewhat difficult.  We are optimistic, however, that we will be able to produce a set of courses that can provide a good beginning for students who would like to pursue a geology degree.  We have good faculty who can provide a good foundation for these students.</w:t>
      </w:r>
    </w:p>
    <w:p w:rsidR="00004799" w:rsidRPr="00BD01B6" w:rsidRDefault="00004799" w:rsidP="009D4417">
      <w:pPr>
        <w:pStyle w:val="ListParagraph"/>
        <w:tabs>
          <w:tab w:val="left" w:pos="5040"/>
        </w:tabs>
        <w:ind w:left="0"/>
        <w:rPr>
          <w:color w:val="000000" w:themeColor="text1"/>
        </w:rPr>
      </w:pPr>
    </w:p>
    <w:p w:rsidR="00004799" w:rsidRDefault="00004799" w:rsidP="009D4417">
      <w:pPr>
        <w:pStyle w:val="ListParagraph"/>
        <w:tabs>
          <w:tab w:val="left" w:pos="5040"/>
        </w:tabs>
        <w:ind w:left="0"/>
        <w:rPr>
          <w:rFonts w:ascii="Arial" w:hAnsi="Arial" w:cs="Arial"/>
          <w:color w:val="000000" w:themeColor="text1"/>
        </w:rPr>
      </w:pPr>
      <w:r w:rsidRPr="00BD01B6">
        <w:rPr>
          <w:color w:val="000000" w:themeColor="text1"/>
        </w:rPr>
        <w:t>Chemistry has historically been primarily a support program for the health-related sciences and engineering.  Few students who complete the courses available at Sinclair desire to pursue chemistry as a career.  Many of them are merely completing coursework that will lead to other degrees such as physicians, dentists, physician assistants, pharmacists, and other similar programs.  As a result, few of these students declare chemistry as a major.  To a degree, we are working with advising to convince students to complete an associate degree with the expectation that students with such a degree are more marketable and can, at least in Ohio, transfer to four-year state institutions as junior</w:t>
      </w:r>
      <w:r w:rsidR="00843849" w:rsidRPr="00BD01B6">
        <w:rPr>
          <w:color w:val="000000" w:themeColor="text1"/>
        </w:rPr>
        <w:t>s, having satisfied the requirements of the first two years.</w:t>
      </w:r>
    </w:p>
    <w:p w:rsidR="003A18D7" w:rsidRDefault="003A18D7">
      <w:pPr>
        <w:spacing w:after="200" w:line="276" w:lineRule="auto"/>
        <w:rPr>
          <w:rFonts w:ascii="Arial" w:hAnsi="Arial" w:cs="Arial"/>
          <w:b/>
          <w:color w:val="000000" w:themeColor="text1"/>
        </w:rPr>
      </w:pPr>
    </w:p>
    <w:p w:rsidR="00585766"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C03728" w:rsidRPr="001D3E1D" w:rsidRDefault="00C03728" w:rsidP="001D3E1D">
      <w:pPr>
        <w:rPr>
          <w:rFonts w:ascii="Arial" w:hAnsi="Arial" w:cs="Arial"/>
          <w:b/>
          <w:color w:val="000000" w:themeColor="text1"/>
        </w:rPr>
      </w:pPr>
    </w:p>
    <w:p w:rsidR="00585766" w:rsidRDefault="00C03728" w:rsidP="00585766">
      <w:pPr>
        <w:rPr>
          <w:rFonts w:ascii="Arial" w:hAnsi="Arial" w:cs="Arial"/>
          <w:color w:val="000000" w:themeColor="text1"/>
        </w:rPr>
      </w:pPr>
      <w:r>
        <w:rPr>
          <w:noProof/>
        </w:rPr>
        <w:drawing>
          <wp:inline distT="0" distB="0" distL="0" distR="0" wp14:anchorId="18DA0B0D" wp14:editId="7FE6C32B">
            <wp:extent cx="6062472" cy="228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62472" cy="2286000"/>
                    </a:xfrm>
                    <a:prstGeom prst="rect">
                      <a:avLst/>
                    </a:prstGeom>
                  </pic:spPr>
                </pic:pic>
              </a:graphicData>
            </a:graphic>
          </wp:inline>
        </w:drawing>
      </w:r>
    </w:p>
    <w:p w:rsidR="00637591" w:rsidRDefault="00986BC5" w:rsidP="00585766">
      <w:pPr>
        <w:rPr>
          <w:rFonts w:ascii="Arial" w:hAnsi="Arial" w:cs="Arial"/>
          <w:color w:val="000000" w:themeColor="text1"/>
        </w:rPr>
      </w:pPr>
      <w:r>
        <w:rPr>
          <w:noProof/>
        </w:rPr>
        <w:drawing>
          <wp:inline distT="0" distB="0" distL="0" distR="0" wp14:anchorId="17F55D56" wp14:editId="3B0A5E72">
            <wp:extent cx="6062345" cy="228585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66624" cy="2287467"/>
                    </a:xfrm>
                    <a:prstGeom prst="rect">
                      <a:avLst/>
                    </a:prstGeom>
                  </pic:spPr>
                </pic:pic>
              </a:graphicData>
            </a:graphic>
          </wp:inline>
        </w:drawing>
      </w:r>
    </w:p>
    <w:p w:rsidR="00986BC5" w:rsidRDefault="00986BC5" w:rsidP="00585766">
      <w:pPr>
        <w:rPr>
          <w:rFonts w:ascii="Arial" w:hAnsi="Arial" w:cs="Arial"/>
          <w:color w:val="000000" w:themeColor="text1"/>
        </w:rPr>
      </w:pP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CC582B" w:rsidRPr="008258DA" w:rsidRDefault="00CC582B" w:rsidP="008258DA">
      <w:pPr>
        <w:rPr>
          <w:rFonts w:ascii="Arial" w:hAnsi="Arial" w:cs="Arial"/>
          <w:color w:val="000000" w:themeColor="text1"/>
        </w:rPr>
      </w:pPr>
    </w:p>
    <w:p w:rsidR="006E3C0A" w:rsidRPr="00BD01B6" w:rsidRDefault="00FC1FC5" w:rsidP="006E3C0A">
      <w:r w:rsidRPr="00BD01B6">
        <w:t>As reflected in the individual course data at the end of this document, t</w:t>
      </w:r>
      <w:r w:rsidR="006E3C0A" w:rsidRPr="00BD01B6">
        <w:t>he success rate in high</w:t>
      </w:r>
      <w:r w:rsidRPr="00BD01B6">
        <w:t>-</w:t>
      </w:r>
      <w:r w:rsidR="006E3C0A" w:rsidRPr="00BD01B6">
        <w:t>enrollment cou</w:t>
      </w:r>
      <w:r w:rsidRPr="00BD01B6">
        <w:t xml:space="preserve">rses (Introduction to Chemistry </w:t>
      </w:r>
      <w:r w:rsidR="006E3C0A" w:rsidRPr="00BD01B6">
        <w:t xml:space="preserve">and General Chemistry) seem </w:t>
      </w:r>
      <w:r w:rsidRPr="00BD01B6">
        <w:t xml:space="preserve">fairly </w:t>
      </w:r>
      <w:r w:rsidR="006E3C0A" w:rsidRPr="00BD01B6">
        <w:t xml:space="preserve">stable </w:t>
      </w:r>
      <w:r w:rsidRPr="00BD01B6">
        <w:t>since 2007</w:t>
      </w:r>
      <w:r w:rsidR="006E3C0A" w:rsidRPr="00BD01B6">
        <w:t xml:space="preserve">.  </w:t>
      </w:r>
      <w:r w:rsidRPr="00BD01B6">
        <w:t xml:space="preserve">There are the occasional outliers, but no consistent trend. </w:t>
      </w:r>
      <w:r w:rsidR="00E8246E" w:rsidRPr="00BD01B6">
        <w:t xml:space="preserve"> Most of the students in these higher-enrollment courses feed other programs. In </w:t>
      </w:r>
      <w:r w:rsidR="006E3C0A" w:rsidRPr="00BD01B6">
        <w:t xml:space="preserve">General Chemistry, a standardized exit testing method has yielded results within a standard deviation of the national average.  </w:t>
      </w:r>
    </w:p>
    <w:p w:rsidR="006E3C0A" w:rsidRPr="00BD01B6" w:rsidRDefault="006E3C0A" w:rsidP="006E3C0A">
      <w:pPr>
        <w:pStyle w:val="ListParagraph"/>
        <w:tabs>
          <w:tab w:val="left" w:pos="5040"/>
        </w:tabs>
        <w:ind w:left="0"/>
      </w:pPr>
    </w:p>
    <w:p w:rsidR="001D3E1D" w:rsidRPr="00BD01B6" w:rsidRDefault="00E8246E" w:rsidP="00CC582B">
      <w:pPr>
        <w:rPr>
          <w:color w:val="000000" w:themeColor="text1"/>
        </w:rPr>
      </w:pPr>
      <w:r w:rsidRPr="00BD01B6">
        <w:rPr>
          <w:color w:val="000000" w:themeColor="text1"/>
        </w:rPr>
        <w:t>The same lack of a general trend occurs across all courses, again with the occasional negative outlier (i.e. GLG 142 in particular).  The average passing rate for Geology courses is just under 80% while that of Chemistry is just above 60%.  This difference can probably be attributed to the higher use of mathematics, some more complex, in Chemistry courses.  Chemistry continues to try different tactics to address this issue.  Some of this includes interaction with the Developmental Math and Mathematics departments.</w:t>
      </w:r>
    </w:p>
    <w:p w:rsidR="001A2E6B" w:rsidRDefault="001A2E6B" w:rsidP="001A2E6B">
      <w:pPr>
        <w:pStyle w:val="ListParagraph"/>
        <w:tabs>
          <w:tab w:val="left" w:pos="5040"/>
        </w:tabs>
        <w:ind w:left="0"/>
        <w:rPr>
          <w:rFonts w:ascii="Arial" w:hAnsi="Arial" w:cs="Arial"/>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CC582B" w:rsidRPr="008258DA" w:rsidRDefault="00CC582B" w:rsidP="008258DA">
      <w:pPr>
        <w:rPr>
          <w:rFonts w:ascii="Arial" w:hAnsi="Arial" w:cs="Arial"/>
          <w:color w:val="000000" w:themeColor="text1"/>
        </w:rPr>
      </w:pPr>
    </w:p>
    <w:p w:rsidR="006E3C0A" w:rsidRPr="007C6C52" w:rsidRDefault="006E3C0A" w:rsidP="006E3C0A">
      <w:pPr>
        <w:spacing w:after="200" w:line="276" w:lineRule="auto"/>
        <w:rPr>
          <w:rFonts w:cs="Arial"/>
        </w:rPr>
      </w:pPr>
      <w:r w:rsidRPr="007C6C52">
        <w:rPr>
          <w:rFonts w:cs="Arial"/>
        </w:rPr>
        <w:t xml:space="preserve">In chemistry, the full-time </w:t>
      </w:r>
      <w:r w:rsidR="007C6C52" w:rsidRPr="007C6C52">
        <w:rPr>
          <w:rFonts w:cs="Arial"/>
        </w:rPr>
        <w:t xml:space="preserve">to adjunct </w:t>
      </w:r>
      <w:r w:rsidRPr="007C6C52">
        <w:rPr>
          <w:rFonts w:cs="Arial"/>
        </w:rPr>
        <w:t xml:space="preserve">faculty ratio has diminished to a point where some courses (i.e. General Chemistry II in </w:t>
      </w:r>
      <w:r w:rsidR="007C6C52" w:rsidRPr="007C6C52">
        <w:rPr>
          <w:rFonts w:cs="Arial"/>
        </w:rPr>
        <w:t xml:space="preserve">the </w:t>
      </w:r>
      <w:r w:rsidRPr="007C6C52">
        <w:rPr>
          <w:rFonts w:cs="Arial"/>
        </w:rPr>
        <w:t xml:space="preserve">fall of 2014) </w:t>
      </w:r>
      <w:r w:rsidR="007C6C52" w:rsidRPr="007C6C52">
        <w:rPr>
          <w:rFonts w:cs="Arial"/>
        </w:rPr>
        <w:t xml:space="preserve">have no sections taught by </w:t>
      </w:r>
      <w:r w:rsidRPr="007C6C52">
        <w:rPr>
          <w:rFonts w:cs="Arial"/>
        </w:rPr>
        <w:t xml:space="preserve">a full-time faculty member.  The department should </w:t>
      </w:r>
      <w:r w:rsidR="007C6C52" w:rsidRPr="007C6C52">
        <w:rPr>
          <w:rFonts w:cs="Arial"/>
        </w:rPr>
        <w:t>determine if t</w:t>
      </w:r>
      <w:r w:rsidRPr="007C6C52">
        <w:rPr>
          <w:rFonts w:cs="Arial"/>
        </w:rPr>
        <w:t xml:space="preserve">his trend </w:t>
      </w:r>
      <w:r w:rsidR="007C6C52" w:rsidRPr="007C6C52">
        <w:rPr>
          <w:rFonts w:cs="Arial"/>
        </w:rPr>
        <w:t xml:space="preserve">is affecting the student success rate </w:t>
      </w:r>
      <w:r w:rsidRPr="007C6C52">
        <w:rPr>
          <w:rFonts w:cs="Arial"/>
        </w:rPr>
        <w:t>and p</w:t>
      </w:r>
      <w:r w:rsidR="007C6C52" w:rsidRPr="007C6C52">
        <w:rPr>
          <w:rFonts w:cs="Arial"/>
        </w:rPr>
        <w:t>erhaps</w:t>
      </w:r>
      <w:r w:rsidRPr="007C6C52">
        <w:rPr>
          <w:rFonts w:cs="Arial"/>
        </w:rPr>
        <w:t xml:space="preserve"> take measures to normalize the faculty ratio, especially </w:t>
      </w:r>
      <w:r w:rsidR="007C6C52" w:rsidRPr="007C6C52">
        <w:rPr>
          <w:rFonts w:cs="Arial"/>
        </w:rPr>
        <w:t>for the</w:t>
      </w:r>
      <w:r w:rsidRPr="007C6C52">
        <w:rPr>
          <w:rFonts w:cs="Arial"/>
        </w:rPr>
        <w:t xml:space="preserve"> courses populated by high-risk students, such as Introductory Chemistry and General Chemistry </w:t>
      </w:r>
      <w:r w:rsidR="007C6C52" w:rsidRPr="007C6C52">
        <w:rPr>
          <w:rFonts w:cs="Arial"/>
        </w:rPr>
        <w:t>I</w:t>
      </w:r>
      <w:r w:rsidRPr="007C6C52">
        <w:rPr>
          <w:rFonts w:cs="Arial"/>
        </w:rPr>
        <w:t xml:space="preserve">.  </w:t>
      </w:r>
    </w:p>
    <w:p w:rsidR="003741FD" w:rsidRPr="007C6C52" w:rsidRDefault="003741FD" w:rsidP="006E3C0A">
      <w:pPr>
        <w:spacing w:after="200" w:line="276" w:lineRule="auto"/>
        <w:rPr>
          <w:rFonts w:cs="Arial"/>
        </w:rPr>
      </w:pPr>
      <w:r w:rsidRPr="007C6C52">
        <w:rPr>
          <w:rFonts w:cs="Arial"/>
        </w:rPr>
        <w:t>Due to changes in program requirements by other departments, fewer students need more than one semester of general education science to complete their certificates or degrees.  Therefore, enrollment in Geology courses has been dropping, particularly for the second General Geology semester (GLG 142 → 1201).</w:t>
      </w:r>
    </w:p>
    <w:p w:rsidR="003741FD" w:rsidRPr="007C6C52" w:rsidRDefault="003741FD" w:rsidP="006E3C0A">
      <w:pPr>
        <w:spacing w:after="200" w:line="276" w:lineRule="auto"/>
        <w:rPr>
          <w:rFonts w:cs="Arial"/>
        </w:rPr>
      </w:pPr>
      <w:r w:rsidRPr="007C6C52">
        <w:rPr>
          <w:rFonts w:cs="Arial"/>
        </w:rPr>
        <w:t>A highlight from this past year in Geology is that both full-time faculty were in the top ten list of faculty who demonstrated the highest success rates with African-American students.  This</w:t>
      </w:r>
      <w:r w:rsidR="00334F25" w:rsidRPr="007C6C52">
        <w:rPr>
          <w:rFonts w:cs="Arial"/>
        </w:rPr>
        <w:t xml:space="preserve"> accomplishment is due to the cohesive interaction among the members of the Geology department.</w:t>
      </w:r>
    </w:p>
    <w:p w:rsidR="004C52FC" w:rsidRDefault="004C52FC" w:rsidP="00377D40">
      <w:pPr>
        <w:spacing w:after="200" w:line="276" w:lineRule="auto"/>
        <w:rPr>
          <w:rFonts w:ascii="Arial" w:hAnsi="Arial" w:cs="Arial"/>
          <w:color w:val="000000" w:themeColor="text1"/>
        </w:rPr>
      </w:pPr>
    </w:p>
    <w:p w:rsidR="004C52FC" w:rsidRDefault="004C52FC" w:rsidP="00377D40">
      <w:pPr>
        <w:spacing w:after="200" w:line="276" w:lineRule="auto"/>
        <w:rPr>
          <w:rFonts w:ascii="Arial" w:hAnsi="Arial" w:cs="Arial"/>
          <w:color w:val="000000" w:themeColor="text1"/>
        </w:rPr>
      </w:pPr>
    </w:p>
    <w:p w:rsidR="001A2E6B" w:rsidRDefault="001A2E6B" w:rsidP="001A2E6B">
      <w:pPr>
        <w:pStyle w:val="ListParagraph"/>
        <w:tabs>
          <w:tab w:val="left" w:pos="5040"/>
        </w:tabs>
        <w:ind w:left="0"/>
        <w:rPr>
          <w:rFonts w:ascii="Arial" w:hAnsi="Arial" w:cs="Arial"/>
          <w:color w:val="000000" w:themeColor="text1"/>
        </w:rPr>
      </w:pPr>
    </w:p>
    <w:p w:rsidR="001A2E6B" w:rsidRDefault="001A2E6B" w:rsidP="00377D40">
      <w:pPr>
        <w:spacing w:after="200" w:line="276" w:lineRule="auto"/>
        <w:rPr>
          <w:rFonts w:ascii="Arial" w:hAnsi="Arial" w:cs="Arial"/>
          <w:color w:val="000000" w:themeColor="text1"/>
        </w:rPr>
        <w:sectPr w:rsidR="001A2E6B" w:rsidSect="00D708C3">
          <w:footerReference w:type="default" r:id="rId11"/>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1A2E6B">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A2E6B" w:rsidTr="001A2E6B">
        <w:trPr>
          <w:trHeight w:val="1399"/>
        </w:trPr>
        <w:tc>
          <w:tcPr>
            <w:tcW w:w="3951" w:type="dxa"/>
          </w:tcPr>
          <w:p w:rsidR="001A2E6B" w:rsidRPr="0037786D" w:rsidRDefault="005F70D8" w:rsidP="00225B53">
            <w:pPr>
              <w:spacing w:line="276" w:lineRule="auto"/>
              <w:rPr>
                <w:rFonts w:ascii="Arial" w:hAnsi="Arial" w:cs="Arial"/>
                <w:color w:val="000000" w:themeColor="text1"/>
              </w:rPr>
            </w:pPr>
            <w:r>
              <w:rPr>
                <w:rFonts w:ascii="Arial" w:hAnsi="Arial" w:cs="Arial"/>
              </w:rPr>
              <w:t xml:space="preserve">It is the collective goal of the department to have all students successfully complete the courses in which they enroll.  Faculty in the department have open-door policies for students who need additional help.  </w:t>
            </w:r>
          </w:p>
        </w:tc>
        <w:tc>
          <w:tcPr>
            <w:tcW w:w="2647" w:type="dxa"/>
          </w:tcPr>
          <w:p w:rsidR="001A2E6B" w:rsidRDefault="001A2E6B" w:rsidP="00637591">
            <w:pPr>
              <w:pStyle w:val="ListParagraph"/>
              <w:ind w:left="0"/>
              <w:rPr>
                <w:rFonts w:ascii="Arial" w:hAnsi="Arial" w:cs="Arial"/>
                <w:color w:val="000000" w:themeColor="text1"/>
              </w:rPr>
            </w:pPr>
          </w:p>
          <w:p w:rsidR="0028439B" w:rsidRDefault="0028439B" w:rsidP="0028439B">
            <w:pPr>
              <w:pStyle w:val="ListParagraph"/>
              <w:ind w:left="0"/>
              <w:rPr>
                <w:rFonts w:ascii="Arial" w:hAnsi="Arial" w:cs="Arial"/>
                <w:color w:val="000000" w:themeColor="text1"/>
              </w:rPr>
            </w:pPr>
            <w:r>
              <w:rPr>
                <w:rFonts w:ascii="Arial" w:hAnsi="Arial" w:cs="Arial"/>
                <w:color w:val="000000" w:themeColor="text1"/>
              </w:rPr>
              <w:t xml:space="preserve">In progress </w:t>
            </w:r>
            <w:r w:rsidR="00153AD7">
              <w:fldChar w:fldCharType="begin">
                <w:ffData>
                  <w:name w:val="Check1"/>
                  <w:enabled/>
                  <w:calcOnExit w:val="0"/>
                  <w:checkBox>
                    <w:sizeAuto/>
                    <w:default w:val="0"/>
                  </w:checkBox>
                </w:ffData>
              </w:fldChar>
            </w:r>
            <w:r w:rsidR="00153AD7">
              <w:instrText xml:space="preserve"> </w:instrText>
            </w:r>
            <w:bookmarkStart w:id="0" w:name="Check1"/>
            <w:r w:rsidR="00153AD7">
              <w:instrText xml:space="preserve">FORMCHECKBOX </w:instrText>
            </w:r>
            <w:r w:rsidR="00571AA8">
              <w:fldChar w:fldCharType="separate"/>
            </w:r>
            <w:r w:rsidR="00153AD7">
              <w:fldChar w:fldCharType="end"/>
            </w:r>
            <w:bookmarkEnd w:id="0"/>
          </w:p>
          <w:p w:rsidR="0028439B" w:rsidRDefault="0028439B" w:rsidP="0028439B">
            <w:pPr>
              <w:pStyle w:val="ListParagraph"/>
              <w:ind w:left="0"/>
              <w:rPr>
                <w:rFonts w:ascii="Arial" w:hAnsi="Arial" w:cs="Arial"/>
                <w:color w:val="000000" w:themeColor="text1"/>
              </w:rPr>
            </w:pPr>
          </w:p>
          <w:p w:rsidR="0028439B" w:rsidRDefault="0028439B" w:rsidP="0028439B">
            <w:pPr>
              <w:pStyle w:val="ListParagraph"/>
              <w:ind w:left="0"/>
            </w:pPr>
            <w:r>
              <w:rPr>
                <w:rFonts w:ascii="Arial" w:hAnsi="Arial" w:cs="Arial"/>
                <w:color w:val="000000" w:themeColor="text1"/>
              </w:rPr>
              <w:t xml:space="preserve">Completed </w:t>
            </w:r>
            <w:r w:rsidR="00153AD7">
              <w:fldChar w:fldCharType="begin">
                <w:ffData>
                  <w:name w:val=""/>
                  <w:enabled/>
                  <w:calcOnExit w:val="0"/>
                  <w:checkBox>
                    <w:sizeAuto/>
                    <w:default w:val="1"/>
                  </w:checkBox>
                </w:ffData>
              </w:fldChar>
            </w:r>
            <w:r w:rsidR="00153AD7">
              <w:instrText xml:space="preserve"> FORMCHECKBOX </w:instrText>
            </w:r>
            <w:r w:rsidR="00571AA8">
              <w:fldChar w:fldCharType="separate"/>
            </w:r>
            <w:r w:rsidR="00153AD7">
              <w:fldChar w:fldCharType="end"/>
            </w:r>
          </w:p>
          <w:p w:rsidR="0028439B" w:rsidRDefault="0028439B" w:rsidP="0028439B">
            <w:pPr>
              <w:pStyle w:val="ListParagraph"/>
              <w:ind w:left="0"/>
              <w:rPr>
                <w:rFonts w:ascii="Arial" w:hAnsi="Arial" w:cs="Arial"/>
                <w:color w:val="000000" w:themeColor="text1"/>
              </w:rPr>
            </w:pPr>
          </w:p>
          <w:p w:rsidR="0028439B" w:rsidRDefault="0028439B" w:rsidP="0028439B">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571AA8">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632" w:type="dxa"/>
          </w:tcPr>
          <w:p w:rsidR="001A2E6B" w:rsidRDefault="00D37C4E" w:rsidP="00D37C4E">
            <w:r>
              <w:t>All instructors</w:t>
            </w:r>
            <w:r w:rsidRPr="00D37C4E">
              <w:t xml:space="preserve"> continue to have an open-door policy </w:t>
            </w:r>
            <w:r>
              <w:t>to</w:t>
            </w:r>
            <w:r w:rsidRPr="00D37C4E">
              <w:t xml:space="preserve"> help any student who seeks it.</w:t>
            </w:r>
            <w:r>
              <w:t xml:space="preserve">  Additionally, we encourage students to visi</w:t>
            </w:r>
            <w:r w:rsidR="00B5587B">
              <w:t xml:space="preserve">t the Chemistry and Geology Resource Centers </w:t>
            </w:r>
            <w:r>
              <w:t>when they need help.</w:t>
            </w:r>
          </w:p>
        </w:tc>
      </w:tr>
      <w:tr w:rsidR="001A2E6B" w:rsidTr="001A2E6B">
        <w:trPr>
          <w:trHeight w:val="1399"/>
        </w:trPr>
        <w:tc>
          <w:tcPr>
            <w:tcW w:w="3951" w:type="dxa"/>
          </w:tcPr>
          <w:p w:rsidR="005F70D8" w:rsidRDefault="005F70D8" w:rsidP="005F70D8">
            <w:pPr>
              <w:rPr>
                <w:rFonts w:ascii="Arial" w:hAnsi="Arial" w:cs="Arial"/>
              </w:rPr>
            </w:pPr>
            <w:r>
              <w:rPr>
                <w:rFonts w:ascii="Arial" w:hAnsi="Arial" w:cs="Arial"/>
              </w:rPr>
              <w:t xml:space="preserve">While Geology has very little attrition, most of which is related to financial issues rather than academic, Chemistry, because of its more mathematical and conceptual character, loses a sizeable percentage of students during the semester.  This is often due to students enrolling in the course without the needed skill set or background.  Better advising and better control of student enrollment can improve this to some degree, but Chemistry also needs to look for other methods of instruction to meet the students’ needs.  This is being addressed in part by redesigning the </w:t>
            </w:r>
            <w:r>
              <w:rPr>
                <w:rFonts w:ascii="Arial" w:hAnsi="Arial" w:cs="Arial"/>
              </w:rPr>
              <w:lastRenderedPageBreak/>
              <w:t>Introductory Chemistry course to include more interactive activities between small groups of students and tutors employed by the department.</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28439B" w:rsidRDefault="0028439B" w:rsidP="0028439B">
            <w:pPr>
              <w:pStyle w:val="ListParagraph"/>
              <w:ind w:left="0"/>
              <w:rPr>
                <w:rFonts w:ascii="Arial" w:hAnsi="Arial" w:cs="Arial"/>
                <w:color w:val="000000" w:themeColor="text1"/>
              </w:rPr>
            </w:pPr>
            <w:r>
              <w:rPr>
                <w:rFonts w:ascii="Arial" w:hAnsi="Arial" w:cs="Arial"/>
                <w:color w:val="000000" w:themeColor="text1"/>
              </w:rPr>
              <w:t xml:space="preserve">In progress </w:t>
            </w:r>
            <w:r w:rsidR="008926C9">
              <w:fldChar w:fldCharType="begin">
                <w:ffData>
                  <w:name w:val=""/>
                  <w:enabled/>
                  <w:calcOnExit w:val="0"/>
                  <w:checkBox>
                    <w:sizeAuto/>
                    <w:default w:val="1"/>
                  </w:checkBox>
                </w:ffData>
              </w:fldChar>
            </w:r>
            <w:r w:rsidR="008926C9">
              <w:instrText xml:space="preserve"> FORMCHECKBOX </w:instrText>
            </w:r>
            <w:r w:rsidR="00571AA8">
              <w:fldChar w:fldCharType="separate"/>
            </w:r>
            <w:r w:rsidR="008926C9">
              <w:fldChar w:fldCharType="end"/>
            </w:r>
          </w:p>
          <w:p w:rsidR="0028439B" w:rsidRDefault="0028439B" w:rsidP="0028439B">
            <w:pPr>
              <w:pStyle w:val="ListParagraph"/>
              <w:ind w:left="0"/>
              <w:rPr>
                <w:rFonts w:ascii="Arial" w:hAnsi="Arial" w:cs="Arial"/>
                <w:color w:val="000000" w:themeColor="text1"/>
              </w:rPr>
            </w:pPr>
          </w:p>
          <w:p w:rsidR="0028439B" w:rsidRDefault="0028439B" w:rsidP="0028439B">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571AA8">
              <w:fldChar w:fldCharType="separate"/>
            </w:r>
            <w:r>
              <w:fldChar w:fldCharType="end"/>
            </w:r>
          </w:p>
          <w:p w:rsidR="0028439B" w:rsidRDefault="0028439B" w:rsidP="0028439B">
            <w:pPr>
              <w:pStyle w:val="ListParagraph"/>
              <w:ind w:left="0"/>
              <w:rPr>
                <w:rFonts w:ascii="Arial" w:hAnsi="Arial" w:cs="Arial"/>
                <w:color w:val="000000" w:themeColor="text1"/>
              </w:rPr>
            </w:pPr>
          </w:p>
          <w:p w:rsidR="0028439B" w:rsidRDefault="0028439B" w:rsidP="0028439B">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571AA8">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632" w:type="dxa"/>
          </w:tcPr>
          <w:p w:rsidR="00D37C4E" w:rsidRDefault="00D37C4E" w:rsidP="00D37C4E">
            <w:r w:rsidRPr="00D37C4E">
              <w:t xml:space="preserve">A pilot program in which small groups of students interact on-line was implemented with </w:t>
            </w:r>
            <w:r>
              <w:t xml:space="preserve">some </w:t>
            </w:r>
            <w:r w:rsidRPr="00D37C4E">
              <w:t xml:space="preserve">success </w:t>
            </w:r>
            <w:r>
              <w:t>in</w:t>
            </w:r>
            <w:r w:rsidRPr="00D37C4E">
              <w:t xml:space="preserve"> 2013.  </w:t>
            </w:r>
            <w:r>
              <w:t>The two primary issues with its success were fin</w:t>
            </w:r>
            <w:r w:rsidRPr="00D37C4E">
              <w:t xml:space="preserve">ding capable tutors </w:t>
            </w:r>
            <w:r>
              <w:t xml:space="preserve">and convincing students to commit to participating at the available times.  The first depends on available funding; the second is an issue closely related to getting students to set aside necessary </w:t>
            </w:r>
            <w:r w:rsidR="006E3C0A">
              <w:t>study time.</w:t>
            </w:r>
            <w:r w:rsidR="00AA5463">
              <w:t xml:space="preserve">  The full-time faculty continue to explore alternate methods of delivery and look for on-line sources of additional help for the students.</w:t>
            </w:r>
          </w:p>
          <w:p w:rsidR="006E3C0A" w:rsidRDefault="006E3C0A" w:rsidP="00D37C4E"/>
          <w:p w:rsidR="001E424E" w:rsidRDefault="00D37C4E">
            <w:r>
              <w:t>With the advent of career communities</w:t>
            </w:r>
            <w:r w:rsidR="00575D18">
              <w:t xml:space="preserve"> and the expectation that all students interact with their advisors</w:t>
            </w:r>
            <w:r>
              <w:t xml:space="preserve">, </w:t>
            </w:r>
            <w:r w:rsidR="00575D18">
              <w:t xml:space="preserve">we </w:t>
            </w:r>
            <w:r w:rsidR="007C6C52">
              <w:t>presume</w:t>
            </w:r>
            <w:r w:rsidR="00575D18">
              <w:t xml:space="preserve"> that students will be encouraged to make better decisions regarding their academic load.  </w:t>
            </w:r>
            <w:r w:rsidR="00B5587B">
              <w:t>Among the issues to address with advisors is into which beginning Chemistry course students should be enrolled.  Often, when a student needs only a science class and wishes to take a chemistry course, s/he is enrolled in Introductory Chemistry, which has a higher mathematical c</w:t>
            </w:r>
            <w:r w:rsidR="00E64B67">
              <w:t xml:space="preserve">omponent than College Chemistry.  This may lead to a lower chance for success.  </w:t>
            </w:r>
            <w:r w:rsidR="00E64B67">
              <w:lastRenderedPageBreak/>
              <w:t>Additionally, students who need General Chemistry are enrolled into that course with no previous chemistry background.  Again, we have found that these students are at a greater risk of failure.</w:t>
            </w:r>
            <w:r w:rsidR="007C6C52">
              <w:t xml:space="preserve">  We will create a document to be given to each career community to help them steer each student</w:t>
            </w:r>
            <w:r w:rsidR="00933204">
              <w:t xml:space="preserve"> </w:t>
            </w:r>
            <w:r w:rsidR="007C6C52">
              <w:t>to the best course.</w:t>
            </w:r>
          </w:p>
        </w:tc>
      </w:tr>
    </w:tbl>
    <w:p w:rsidR="0037786D" w:rsidRDefault="0037786D">
      <w:pPr>
        <w:spacing w:after="200" w:line="276" w:lineRule="auto"/>
        <w:rPr>
          <w:rFonts w:ascii="Arial" w:hAnsi="Arial" w:cs="Arial"/>
          <w:color w:val="000000" w:themeColor="text1"/>
        </w:rPr>
      </w:pP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1A2E6B">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A2E6B" w:rsidRPr="0037786D" w:rsidTr="001A2E6B">
        <w:tc>
          <w:tcPr>
            <w:tcW w:w="3708" w:type="dxa"/>
          </w:tcPr>
          <w:p w:rsidR="005F70D8" w:rsidRDefault="005F70D8" w:rsidP="005F70D8">
            <w:pPr>
              <w:autoSpaceDE w:val="0"/>
              <w:autoSpaceDN w:val="0"/>
              <w:adjustRightInd w:val="0"/>
              <w:rPr>
                <w:rFonts w:ascii="Arial" w:hAnsi="Arial" w:cs="Arial"/>
                <w:bCs/>
                <w:color w:val="000000"/>
              </w:rPr>
            </w:pPr>
            <w:r>
              <w:rPr>
                <w:rFonts w:ascii="Arial" w:hAnsi="Arial" w:cs="Arial"/>
                <w:bCs/>
                <w:color w:val="000000"/>
              </w:rPr>
              <w:t>Repairs that are needed to Chemistry labs were mentioned during the meeting with the review team.  The team was particularly concerned about ventilation repairs that were reported as being needed.  Given the department’s commitment to safety, there is no doubt that the department is interested in seeking repairs as soon as possible, and while it may be too late to address these repair needs in the Capital Request process for this year, other sources of funding for these repairs should be explored with the division dean.</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28439B" w:rsidRDefault="0028439B" w:rsidP="0028439B">
            <w:pPr>
              <w:pStyle w:val="ListParagraph"/>
              <w:ind w:left="0"/>
              <w:rPr>
                <w:rFonts w:ascii="Arial" w:hAnsi="Arial" w:cs="Arial"/>
                <w:color w:val="000000" w:themeColor="text1"/>
              </w:rPr>
            </w:pPr>
            <w:r>
              <w:rPr>
                <w:rFonts w:ascii="Arial" w:hAnsi="Arial" w:cs="Arial"/>
                <w:color w:val="000000" w:themeColor="text1"/>
              </w:rPr>
              <w:t xml:space="preserve">In progress </w:t>
            </w:r>
            <w:r w:rsidR="004033B5">
              <w:fldChar w:fldCharType="begin">
                <w:ffData>
                  <w:name w:val=""/>
                  <w:enabled/>
                  <w:calcOnExit w:val="0"/>
                  <w:checkBox>
                    <w:sizeAuto/>
                    <w:default w:val="1"/>
                  </w:checkBox>
                </w:ffData>
              </w:fldChar>
            </w:r>
            <w:r w:rsidR="004033B5">
              <w:instrText xml:space="preserve"> FORMCHECKBOX </w:instrText>
            </w:r>
            <w:r w:rsidR="00571AA8">
              <w:fldChar w:fldCharType="separate"/>
            </w:r>
            <w:r w:rsidR="004033B5">
              <w:fldChar w:fldCharType="end"/>
            </w:r>
          </w:p>
          <w:p w:rsidR="0028439B" w:rsidRDefault="0028439B" w:rsidP="0028439B">
            <w:pPr>
              <w:pStyle w:val="ListParagraph"/>
              <w:ind w:left="0"/>
              <w:rPr>
                <w:rFonts w:ascii="Arial" w:hAnsi="Arial" w:cs="Arial"/>
                <w:color w:val="000000" w:themeColor="text1"/>
              </w:rPr>
            </w:pPr>
          </w:p>
          <w:p w:rsidR="0028439B" w:rsidRDefault="0028439B" w:rsidP="0028439B">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571AA8">
              <w:fldChar w:fldCharType="separate"/>
            </w:r>
            <w:r>
              <w:fldChar w:fldCharType="end"/>
            </w:r>
          </w:p>
          <w:p w:rsidR="0028439B" w:rsidRDefault="0028439B" w:rsidP="0028439B">
            <w:pPr>
              <w:pStyle w:val="ListParagraph"/>
              <w:ind w:left="0"/>
              <w:rPr>
                <w:rFonts w:ascii="Arial" w:hAnsi="Arial" w:cs="Arial"/>
                <w:color w:val="000000" w:themeColor="text1"/>
              </w:rPr>
            </w:pPr>
          </w:p>
          <w:p w:rsidR="0028439B" w:rsidRDefault="0028439B" w:rsidP="0028439B">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571AA8">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480" w:type="dxa"/>
          </w:tcPr>
          <w:p w:rsidR="001A2E6B" w:rsidRDefault="004033B5">
            <w:r>
              <w:t xml:space="preserve">Plans are in place to refurbish lab 12344 and, perhaps, lab 12343, this summer (2015).  Plans to refurbish other labs are </w:t>
            </w:r>
            <w:r w:rsidR="00626F59">
              <w:t>possible</w:t>
            </w:r>
            <w:r>
              <w:t xml:space="preserve"> as college monies become available.  This reworking affects only the cabinetry in these labs, not the ventilation issues.  </w:t>
            </w:r>
            <w:r w:rsidR="00A63377">
              <w:t>We need to work with</w:t>
            </w:r>
            <w:r>
              <w:t xml:space="preserve"> Facilities </w:t>
            </w:r>
            <w:r w:rsidR="00A63377">
              <w:t>to identify the source of the</w:t>
            </w:r>
            <w:r w:rsidR="00F76BA4">
              <w:t xml:space="preserve"> problem so it can be corrected.  We have requested a stud</w:t>
            </w:r>
            <w:r w:rsidR="00C2115B">
              <w:t>y</w:t>
            </w:r>
          </w:p>
        </w:tc>
      </w:tr>
      <w:tr w:rsidR="001A2E6B" w:rsidRPr="0037786D" w:rsidTr="001A2E6B">
        <w:tc>
          <w:tcPr>
            <w:tcW w:w="3708" w:type="dxa"/>
          </w:tcPr>
          <w:p w:rsidR="005F70D8" w:rsidRDefault="005F70D8" w:rsidP="005F70D8">
            <w:pPr>
              <w:autoSpaceDE w:val="0"/>
              <w:autoSpaceDN w:val="0"/>
              <w:adjustRightInd w:val="0"/>
              <w:rPr>
                <w:rFonts w:ascii="Arial" w:hAnsi="Arial" w:cs="Arial"/>
                <w:bCs/>
                <w:color w:val="000000"/>
              </w:rPr>
            </w:pPr>
            <w:r>
              <w:rPr>
                <w:rFonts w:ascii="Arial" w:hAnsi="Arial" w:cs="Arial"/>
                <w:bCs/>
                <w:color w:val="000000"/>
              </w:rPr>
              <w:t xml:space="preserve">During the meeting with the review team the department </w:t>
            </w:r>
            <w:r>
              <w:rPr>
                <w:rFonts w:ascii="Arial" w:hAnsi="Arial" w:cs="Arial"/>
                <w:bCs/>
                <w:color w:val="000000"/>
              </w:rPr>
              <w:lastRenderedPageBreak/>
              <w:t xml:space="preserve">noted that students struggled due to inadequate math skills in introductory Chemistry courses.  The department has done a nice job of identifying the problem, although in the subsequent discussion it was not clear whether there is certainty regarding exactly what is causing the problem.  As noted in the commendations, the department has demonstrated skill in the past in using data to solve problems and make decisions, and the review team recommends that the department employ this skill to attempt to resolve this issue.  The department is encouraged to explore ways to help students develop the math skills they need to succeed in Chemistry courses, and assess the impact of any measures they implement.  There may be opportunities to employ online resources to bolster math skills, perhaps a collaborative effort with the math department could lead to the development of approaches that would help Chemistry students achieve </w:t>
            </w:r>
            <w:r>
              <w:rPr>
                <w:rFonts w:ascii="Arial" w:hAnsi="Arial" w:cs="Arial"/>
                <w:bCs/>
                <w:color w:val="000000"/>
              </w:rPr>
              <w:lastRenderedPageBreak/>
              <w:t>higher levels of success by improving math skills.</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28439B" w:rsidRDefault="0028439B" w:rsidP="0028439B">
            <w:pPr>
              <w:pStyle w:val="ListParagraph"/>
              <w:ind w:left="0"/>
              <w:rPr>
                <w:rFonts w:ascii="Arial" w:hAnsi="Arial" w:cs="Arial"/>
                <w:color w:val="000000" w:themeColor="text1"/>
              </w:rPr>
            </w:pPr>
            <w:r>
              <w:rPr>
                <w:rFonts w:ascii="Arial" w:hAnsi="Arial" w:cs="Arial"/>
                <w:color w:val="000000" w:themeColor="text1"/>
              </w:rPr>
              <w:t xml:space="preserve">In progress </w:t>
            </w:r>
            <w:r w:rsidR="00F63E60">
              <w:fldChar w:fldCharType="begin">
                <w:ffData>
                  <w:name w:val=""/>
                  <w:enabled/>
                  <w:calcOnExit w:val="0"/>
                  <w:checkBox>
                    <w:sizeAuto/>
                    <w:default w:val="1"/>
                  </w:checkBox>
                </w:ffData>
              </w:fldChar>
            </w:r>
            <w:r w:rsidR="00F63E60">
              <w:instrText xml:space="preserve"> FORMCHECKBOX </w:instrText>
            </w:r>
            <w:r w:rsidR="00571AA8">
              <w:fldChar w:fldCharType="separate"/>
            </w:r>
            <w:r w:rsidR="00F63E60">
              <w:fldChar w:fldCharType="end"/>
            </w:r>
          </w:p>
          <w:p w:rsidR="0028439B" w:rsidRDefault="0028439B" w:rsidP="0028439B">
            <w:pPr>
              <w:pStyle w:val="ListParagraph"/>
              <w:ind w:left="0"/>
              <w:rPr>
                <w:rFonts w:ascii="Arial" w:hAnsi="Arial" w:cs="Arial"/>
                <w:color w:val="000000" w:themeColor="text1"/>
              </w:rPr>
            </w:pPr>
          </w:p>
          <w:p w:rsidR="0028439B" w:rsidRDefault="0028439B" w:rsidP="0028439B">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571AA8">
              <w:fldChar w:fldCharType="separate"/>
            </w:r>
            <w:r>
              <w:fldChar w:fldCharType="end"/>
            </w:r>
          </w:p>
          <w:p w:rsidR="0028439B" w:rsidRDefault="0028439B" w:rsidP="0028439B">
            <w:pPr>
              <w:pStyle w:val="ListParagraph"/>
              <w:ind w:left="0"/>
              <w:rPr>
                <w:rFonts w:ascii="Arial" w:hAnsi="Arial" w:cs="Arial"/>
                <w:color w:val="000000" w:themeColor="text1"/>
              </w:rPr>
            </w:pPr>
          </w:p>
          <w:p w:rsidR="0028439B" w:rsidRDefault="0028439B" w:rsidP="0028439B">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571AA8">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480" w:type="dxa"/>
          </w:tcPr>
          <w:p w:rsidR="00EF0D6A" w:rsidRDefault="00F63E60" w:rsidP="00501019">
            <w:r>
              <w:lastRenderedPageBreak/>
              <w:t xml:space="preserve">The Developmental Math Department has redesigned the prerequisite math course for Introductory Chemistry to include </w:t>
            </w:r>
            <w:r>
              <w:lastRenderedPageBreak/>
              <w:t xml:space="preserve">more emphasis on math applications as they apply to SME courses.  Included among the exercises in this course are </w:t>
            </w:r>
            <w:r w:rsidR="00501019">
              <w:t xml:space="preserve">questions particularly related to those expected in </w:t>
            </w:r>
            <w:r w:rsidR="00904E8A">
              <w:t>an introductory</w:t>
            </w:r>
            <w:r w:rsidR="00501019">
              <w:t xml:space="preserve"> chemistry </w:t>
            </w:r>
            <w:proofErr w:type="gramStart"/>
            <w:r w:rsidR="00501019">
              <w:t>course.</w:t>
            </w:r>
            <w:proofErr w:type="gramEnd"/>
            <w:r w:rsidR="00501019">
              <w:t xml:space="preserve">  We will monitor the success rates of those who participate in this redesigned course.</w:t>
            </w:r>
          </w:p>
          <w:p w:rsidR="00EF0D6A" w:rsidRDefault="00EF0D6A" w:rsidP="006E3C0A"/>
        </w:tc>
      </w:tr>
      <w:tr w:rsidR="001A2E6B" w:rsidRPr="0037786D" w:rsidTr="001A2E6B">
        <w:tc>
          <w:tcPr>
            <w:tcW w:w="3708" w:type="dxa"/>
          </w:tcPr>
          <w:p w:rsidR="005F70D8" w:rsidRPr="003A7DB9" w:rsidRDefault="005F70D8" w:rsidP="005F70D8">
            <w:pPr>
              <w:autoSpaceDE w:val="0"/>
              <w:autoSpaceDN w:val="0"/>
              <w:adjustRightInd w:val="0"/>
              <w:rPr>
                <w:rFonts w:ascii="Arial" w:hAnsi="Arial" w:cs="Arial"/>
                <w:color w:val="000000"/>
              </w:rPr>
            </w:pPr>
            <w:r w:rsidRPr="003A7DB9">
              <w:rPr>
                <w:rFonts w:ascii="Arial" w:hAnsi="Arial" w:cs="Arial"/>
                <w:bCs/>
                <w:color w:val="000000"/>
              </w:rPr>
              <w:lastRenderedPageBreak/>
              <w:t xml:space="preserve">The Geology component of the department lacks visibility, and there is some indication that this may have impacted enrollment.  The chair indicated that increasing visibility for Geology has been a concern since he took </w:t>
            </w:r>
            <w:r>
              <w:rPr>
                <w:rFonts w:ascii="Arial" w:hAnsi="Arial" w:cs="Arial"/>
                <w:bCs/>
                <w:color w:val="000000"/>
              </w:rPr>
              <w:t xml:space="preserve">over </w:t>
            </w:r>
            <w:r w:rsidRPr="003A7DB9">
              <w:rPr>
                <w:rFonts w:ascii="Arial" w:hAnsi="Arial" w:cs="Arial"/>
                <w:bCs/>
                <w:color w:val="000000"/>
              </w:rPr>
              <w:t xml:space="preserve">leadership of the department, and it is recommended that the department move forward with efforts to once again incorporate Geology into the department name and </w:t>
            </w:r>
            <w:r>
              <w:rPr>
                <w:rFonts w:ascii="Arial" w:hAnsi="Arial" w:cs="Arial"/>
                <w:bCs/>
                <w:color w:val="000000"/>
              </w:rPr>
              <w:t xml:space="preserve">prioritize </w:t>
            </w:r>
            <w:r w:rsidRPr="003A7DB9">
              <w:rPr>
                <w:rFonts w:ascii="Arial" w:hAnsi="Arial" w:cs="Arial"/>
                <w:bCs/>
                <w:color w:val="000000"/>
              </w:rPr>
              <w:t xml:space="preserve">other appropriate efforts to increase </w:t>
            </w:r>
            <w:r>
              <w:rPr>
                <w:rFonts w:ascii="Arial" w:hAnsi="Arial" w:cs="Arial"/>
                <w:bCs/>
                <w:color w:val="000000"/>
              </w:rPr>
              <w:t xml:space="preserve">the </w:t>
            </w:r>
            <w:r w:rsidRPr="003A7DB9">
              <w:rPr>
                <w:rFonts w:ascii="Arial" w:hAnsi="Arial" w:cs="Arial"/>
                <w:bCs/>
                <w:color w:val="000000"/>
              </w:rPr>
              <w:t>visibility of the G</w:t>
            </w:r>
            <w:r>
              <w:rPr>
                <w:rFonts w:ascii="Arial" w:hAnsi="Arial" w:cs="Arial"/>
                <w:bCs/>
                <w:color w:val="000000"/>
              </w:rPr>
              <w:t>eology segment of the department.</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28439B" w:rsidRDefault="0028439B" w:rsidP="0028439B">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571AA8">
              <w:fldChar w:fldCharType="separate"/>
            </w:r>
            <w:r>
              <w:fldChar w:fldCharType="end"/>
            </w:r>
          </w:p>
          <w:p w:rsidR="0028439B" w:rsidRDefault="0028439B" w:rsidP="0028439B">
            <w:pPr>
              <w:pStyle w:val="ListParagraph"/>
              <w:ind w:left="0"/>
              <w:rPr>
                <w:rFonts w:ascii="Arial" w:hAnsi="Arial" w:cs="Arial"/>
                <w:color w:val="000000" w:themeColor="text1"/>
              </w:rPr>
            </w:pPr>
          </w:p>
          <w:p w:rsidR="0028439B" w:rsidRDefault="0028439B" w:rsidP="0028439B">
            <w:pPr>
              <w:pStyle w:val="ListParagraph"/>
              <w:ind w:left="0"/>
            </w:pPr>
            <w:r>
              <w:rPr>
                <w:rFonts w:ascii="Arial" w:hAnsi="Arial" w:cs="Arial"/>
                <w:color w:val="000000" w:themeColor="text1"/>
              </w:rPr>
              <w:t xml:space="preserve">Completed </w:t>
            </w:r>
            <w:r w:rsidR="00501019">
              <w:fldChar w:fldCharType="begin">
                <w:ffData>
                  <w:name w:val=""/>
                  <w:enabled/>
                  <w:calcOnExit w:val="0"/>
                  <w:checkBox>
                    <w:sizeAuto/>
                    <w:default w:val="1"/>
                  </w:checkBox>
                </w:ffData>
              </w:fldChar>
            </w:r>
            <w:r w:rsidR="00501019">
              <w:instrText xml:space="preserve"> FORMCHECKBOX </w:instrText>
            </w:r>
            <w:r w:rsidR="00571AA8">
              <w:fldChar w:fldCharType="separate"/>
            </w:r>
            <w:r w:rsidR="00501019">
              <w:fldChar w:fldCharType="end"/>
            </w:r>
          </w:p>
          <w:p w:rsidR="0028439B" w:rsidRDefault="0028439B" w:rsidP="0028439B">
            <w:pPr>
              <w:pStyle w:val="ListParagraph"/>
              <w:ind w:left="0"/>
              <w:rPr>
                <w:rFonts w:ascii="Arial" w:hAnsi="Arial" w:cs="Arial"/>
                <w:color w:val="000000" w:themeColor="text1"/>
              </w:rPr>
            </w:pPr>
          </w:p>
          <w:p w:rsidR="0028439B" w:rsidRDefault="0028439B" w:rsidP="0028439B">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571AA8">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480" w:type="dxa"/>
          </w:tcPr>
          <w:p w:rsidR="001A2E6B" w:rsidRPr="00501019" w:rsidRDefault="00501019" w:rsidP="007A151D">
            <w:r>
              <w:t>This is now complete.  Geology is satisfied with the ability for outside entities, including potential students, to find them through the college web site.</w:t>
            </w:r>
          </w:p>
        </w:tc>
      </w:tr>
      <w:tr w:rsidR="001A2E6B" w:rsidRPr="0037786D" w:rsidTr="001A2E6B">
        <w:tc>
          <w:tcPr>
            <w:tcW w:w="3708" w:type="dxa"/>
          </w:tcPr>
          <w:p w:rsidR="005F70D8" w:rsidRPr="003A7DB9" w:rsidRDefault="005F70D8" w:rsidP="005F70D8">
            <w:pPr>
              <w:autoSpaceDE w:val="0"/>
              <w:autoSpaceDN w:val="0"/>
              <w:adjustRightInd w:val="0"/>
              <w:rPr>
                <w:rFonts w:ascii="Arial" w:hAnsi="Arial" w:cs="Arial"/>
                <w:color w:val="000000"/>
              </w:rPr>
            </w:pPr>
            <w:r>
              <w:rPr>
                <w:rFonts w:ascii="Arial" w:hAnsi="Arial" w:cs="Arial"/>
                <w:bCs/>
                <w:color w:val="000000"/>
              </w:rPr>
              <w:t xml:space="preserve">It was noted that the program outcomes that the department is using are the ones that were used when Chemistry was merely an emphasis area under Liberal Arts and Sciences.  Now that Chemistry is being treated as a stand-alone degree program, it would be appropriate to develop some program outcomes that are targeted for Chemistry.  The existing </w:t>
            </w:r>
            <w:r>
              <w:rPr>
                <w:rFonts w:ascii="Arial" w:hAnsi="Arial" w:cs="Arial"/>
                <w:bCs/>
                <w:color w:val="000000"/>
              </w:rPr>
              <w:lastRenderedPageBreak/>
              <w:t xml:space="preserve">outcomes may be kept if that is the department’s wish, but they should be supplemented by outcomes that distinguish Chemistry from other degree programs.  It is recommended that the department work with the division learning liaison to develop effective and measurable outcomes. </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28439B" w:rsidRDefault="0028439B" w:rsidP="0028439B">
            <w:pPr>
              <w:pStyle w:val="ListParagraph"/>
              <w:ind w:left="0"/>
              <w:rPr>
                <w:rFonts w:ascii="Arial" w:hAnsi="Arial" w:cs="Arial"/>
                <w:color w:val="000000" w:themeColor="text1"/>
              </w:rPr>
            </w:pPr>
            <w:r>
              <w:rPr>
                <w:rFonts w:ascii="Arial" w:hAnsi="Arial" w:cs="Arial"/>
                <w:color w:val="000000" w:themeColor="text1"/>
              </w:rPr>
              <w:t xml:space="preserve">In progress </w:t>
            </w:r>
            <w:r w:rsidR="00A42859">
              <w:fldChar w:fldCharType="begin">
                <w:ffData>
                  <w:name w:val=""/>
                  <w:enabled/>
                  <w:calcOnExit w:val="0"/>
                  <w:checkBox>
                    <w:sizeAuto/>
                    <w:default w:val="1"/>
                  </w:checkBox>
                </w:ffData>
              </w:fldChar>
            </w:r>
            <w:r w:rsidR="00A42859">
              <w:instrText xml:space="preserve"> FORMCHECKBOX </w:instrText>
            </w:r>
            <w:r w:rsidR="00571AA8">
              <w:fldChar w:fldCharType="separate"/>
            </w:r>
            <w:r w:rsidR="00A42859">
              <w:fldChar w:fldCharType="end"/>
            </w:r>
          </w:p>
          <w:p w:rsidR="0028439B" w:rsidRDefault="0028439B" w:rsidP="0028439B">
            <w:pPr>
              <w:pStyle w:val="ListParagraph"/>
              <w:ind w:left="0"/>
              <w:rPr>
                <w:rFonts w:ascii="Arial" w:hAnsi="Arial" w:cs="Arial"/>
                <w:color w:val="000000" w:themeColor="text1"/>
              </w:rPr>
            </w:pPr>
          </w:p>
          <w:p w:rsidR="0028439B" w:rsidRDefault="0028439B" w:rsidP="0028439B">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571AA8">
              <w:fldChar w:fldCharType="separate"/>
            </w:r>
            <w:r>
              <w:fldChar w:fldCharType="end"/>
            </w:r>
          </w:p>
          <w:p w:rsidR="0028439B" w:rsidRDefault="0028439B" w:rsidP="0028439B">
            <w:pPr>
              <w:pStyle w:val="ListParagraph"/>
              <w:ind w:left="0"/>
              <w:rPr>
                <w:rFonts w:ascii="Arial" w:hAnsi="Arial" w:cs="Arial"/>
                <w:color w:val="000000" w:themeColor="text1"/>
              </w:rPr>
            </w:pPr>
          </w:p>
          <w:p w:rsidR="0028439B" w:rsidRDefault="0028439B" w:rsidP="0028439B">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571AA8">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480" w:type="dxa"/>
          </w:tcPr>
          <w:p w:rsidR="001A2E6B" w:rsidRDefault="00A42859" w:rsidP="00993D75">
            <w:r>
              <w:t>This is still in discussion.</w:t>
            </w:r>
          </w:p>
        </w:tc>
      </w:tr>
      <w:tr w:rsidR="001A2E6B" w:rsidRPr="0037786D" w:rsidTr="001A2E6B">
        <w:tc>
          <w:tcPr>
            <w:tcW w:w="3708" w:type="dxa"/>
          </w:tcPr>
          <w:p w:rsidR="005F70D8" w:rsidRPr="005F70D8" w:rsidRDefault="005F70D8" w:rsidP="005F70D8">
            <w:pPr>
              <w:rPr>
                <w:rFonts w:ascii="Arial" w:hAnsi="Arial" w:cs="Arial"/>
              </w:rPr>
            </w:pPr>
            <w:r>
              <w:rPr>
                <w:rFonts w:ascii="Arial" w:hAnsi="Arial" w:cs="Arial"/>
                <w:color w:val="000000"/>
              </w:rPr>
              <w:lastRenderedPageBreak/>
              <w:t>The recommendations from the previous Program Review were not addressed in the current self-study – the department should prioritize work on these recommendations from the last Program Review, as summarized below:</w:t>
            </w:r>
          </w:p>
          <w:p w:rsidR="005F70D8" w:rsidRDefault="005F70D8" w:rsidP="005F70D8">
            <w:pPr>
              <w:pStyle w:val="ListParagraph"/>
              <w:rPr>
                <w:rFonts w:ascii="Arial" w:hAnsi="Arial" w:cs="Arial"/>
                <w:color w:val="000000"/>
              </w:rPr>
            </w:pPr>
          </w:p>
          <w:p w:rsidR="005F70D8" w:rsidRDefault="005F70D8" w:rsidP="003D58C1">
            <w:pPr>
              <w:widowControl w:val="0"/>
              <w:autoSpaceDE w:val="0"/>
              <w:autoSpaceDN w:val="0"/>
              <w:adjustRightInd w:val="0"/>
              <w:ind w:left="720"/>
              <w:rPr>
                <w:rFonts w:ascii="Arial" w:hAnsi="Arial" w:cs="Arial"/>
                <w:color w:val="000000"/>
                <w:sz w:val="20"/>
                <w:szCs w:val="20"/>
              </w:rPr>
            </w:pPr>
            <w:r>
              <w:rPr>
                <w:rFonts w:ascii="Arial" w:hAnsi="Arial" w:cs="Arial"/>
                <w:b/>
                <w:bCs/>
                <w:color w:val="000000"/>
                <w:sz w:val="20"/>
                <w:szCs w:val="20"/>
              </w:rPr>
              <w:t>Recommendations for Action</w:t>
            </w:r>
            <w:r>
              <w:rPr>
                <w:rFonts w:ascii="Arial" w:hAnsi="Arial" w:cs="Arial"/>
                <w:color w:val="000000"/>
                <w:sz w:val="20"/>
                <w:szCs w:val="20"/>
              </w:rPr>
              <w:t>:</w:t>
            </w:r>
          </w:p>
          <w:p w:rsidR="005F70D8" w:rsidRDefault="005F70D8" w:rsidP="005F70D8">
            <w:pPr>
              <w:widowControl w:val="0"/>
              <w:autoSpaceDE w:val="0"/>
              <w:autoSpaceDN w:val="0"/>
              <w:adjustRightInd w:val="0"/>
              <w:rPr>
                <w:rFonts w:ascii="Arial" w:hAnsi="Arial" w:cs="Arial"/>
                <w:color w:val="000000"/>
                <w:sz w:val="20"/>
                <w:szCs w:val="20"/>
              </w:rPr>
            </w:pPr>
          </w:p>
          <w:p w:rsidR="005F70D8" w:rsidRPr="00C2115B" w:rsidRDefault="005F70D8" w:rsidP="00C2115B">
            <w:pPr>
              <w:pStyle w:val="ListParagraph"/>
              <w:widowControl w:val="0"/>
              <w:numPr>
                <w:ilvl w:val="0"/>
                <w:numId w:val="24"/>
              </w:numPr>
              <w:autoSpaceDE w:val="0"/>
              <w:autoSpaceDN w:val="0"/>
              <w:adjustRightInd w:val="0"/>
              <w:ind w:left="1050"/>
              <w:rPr>
                <w:rFonts w:ascii="Arial" w:hAnsi="Arial" w:cs="Arial"/>
                <w:color w:val="000000"/>
                <w:sz w:val="20"/>
                <w:szCs w:val="20"/>
              </w:rPr>
            </w:pPr>
            <w:r w:rsidRPr="00C2115B">
              <w:rPr>
                <w:rFonts w:ascii="Arial" w:hAnsi="Arial" w:cs="Arial"/>
                <w:color w:val="000000"/>
                <w:sz w:val="20"/>
                <w:szCs w:val="20"/>
              </w:rPr>
              <w:t xml:space="preserve">Develop evidence of student learning outcomes attainment and share the analyses with associated LHS departments to identify improvement targets </w:t>
            </w:r>
          </w:p>
          <w:p w:rsidR="00F17F2E" w:rsidRPr="00C2115B" w:rsidRDefault="005F70D8" w:rsidP="00C2115B">
            <w:pPr>
              <w:pStyle w:val="ListParagraph"/>
              <w:widowControl w:val="0"/>
              <w:numPr>
                <w:ilvl w:val="0"/>
                <w:numId w:val="24"/>
              </w:numPr>
              <w:autoSpaceDE w:val="0"/>
              <w:autoSpaceDN w:val="0"/>
              <w:adjustRightInd w:val="0"/>
              <w:spacing w:after="4000"/>
              <w:ind w:left="1051"/>
              <w:contextualSpacing w:val="0"/>
              <w:rPr>
                <w:rFonts w:ascii="Arial" w:hAnsi="Arial" w:cs="Arial"/>
                <w:color w:val="000000"/>
                <w:sz w:val="20"/>
                <w:szCs w:val="20"/>
              </w:rPr>
            </w:pPr>
            <w:r w:rsidRPr="00C2115B">
              <w:rPr>
                <w:rFonts w:ascii="Arial" w:hAnsi="Arial" w:cs="Arial"/>
                <w:color w:val="000000"/>
                <w:sz w:val="20"/>
                <w:szCs w:val="20"/>
              </w:rPr>
              <w:t xml:space="preserve">Enlist the support of RAR to investigate the promise of prerequisites in courses where student success is compromised due to perceptions of inadequate </w:t>
            </w:r>
            <w:r w:rsidRPr="00C2115B">
              <w:rPr>
                <w:rFonts w:ascii="Arial" w:hAnsi="Arial" w:cs="Arial"/>
                <w:color w:val="000000"/>
                <w:sz w:val="20"/>
                <w:szCs w:val="20"/>
              </w:rPr>
              <w:lastRenderedPageBreak/>
              <w:t xml:space="preserve">academic background </w:t>
            </w:r>
          </w:p>
          <w:p w:rsidR="005F70D8" w:rsidRPr="00C2115B" w:rsidRDefault="005F70D8" w:rsidP="00C2115B">
            <w:pPr>
              <w:pStyle w:val="ListParagraph"/>
              <w:widowControl w:val="0"/>
              <w:numPr>
                <w:ilvl w:val="0"/>
                <w:numId w:val="24"/>
              </w:numPr>
              <w:autoSpaceDE w:val="0"/>
              <w:autoSpaceDN w:val="0"/>
              <w:adjustRightInd w:val="0"/>
              <w:ind w:left="1050"/>
              <w:rPr>
                <w:rFonts w:ascii="Arial" w:hAnsi="Arial" w:cs="Arial"/>
                <w:color w:val="000000"/>
                <w:sz w:val="20"/>
                <w:szCs w:val="20"/>
              </w:rPr>
            </w:pPr>
            <w:r w:rsidRPr="00C2115B">
              <w:rPr>
                <w:rFonts w:ascii="Arial" w:hAnsi="Arial" w:cs="Arial"/>
                <w:color w:val="000000"/>
                <w:sz w:val="20"/>
                <w:szCs w:val="20"/>
              </w:rPr>
              <w:t>Validate the department’s assertion there is a difference in student performance based on instruction by full-time versus part-time faculty through an RAR-supported study</w:t>
            </w:r>
          </w:p>
          <w:p w:rsidR="005F70D8" w:rsidRPr="00C2115B" w:rsidRDefault="005F70D8" w:rsidP="00C2115B">
            <w:pPr>
              <w:pStyle w:val="ListParagraph"/>
              <w:widowControl w:val="0"/>
              <w:numPr>
                <w:ilvl w:val="0"/>
                <w:numId w:val="24"/>
              </w:numPr>
              <w:autoSpaceDE w:val="0"/>
              <w:autoSpaceDN w:val="0"/>
              <w:adjustRightInd w:val="0"/>
              <w:spacing w:after="800"/>
              <w:ind w:left="1051"/>
              <w:contextualSpacing w:val="0"/>
              <w:rPr>
                <w:rFonts w:ascii="Arial" w:hAnsi="Arial" w:cs="Arial"/>
                <w:color w:val="000000"/>
                <w:sz w:val="20"/>
                <w:szCs w:val="20"/>
              </w:rPr>
            </w:pPr>
            <w:r w:rsidRPr="00C2115B">
              <w:rPr>
                <w:rFonts w:ascii="Arial" w:hAnsi="Arial" w:cs="Arial"/>
                <w:color w:val="000000"/>
                <w:sz w:val="20"/>
                <w:szCs w:val="20"/>
              </w:rPr>
              <w:t>Conduct a needs analysis to identify part-time faculty development opportunities; deliver workshops and other training as appropriate</w:t>
            </w:r>
            <w:r w:rsidR="003D58C1" w:rsidRPr="00C2115B">
              <w:rPr>
                <w:rFonts w:ascii="Arial" w:hAnsi="Arial" w:cs="Arial"/>
                <w:color w:val="000000"/>
                <w:sz w:val="20"/>
                <w:szCs w:val="20"/>
              </w:rPr>
              <w:t>.</w:t>
            </w:r>
          </w:p>
          <w:p w:rsidR="005F70D8" w:rsidRPr="00C2115B" w:rsidRDefault="005F70D8" w:rsidP="00C2115B">
            <w:pPr>
              <w:pStyle w:val="ListParagraph"/>
              <w:widowControl w:val="0"/>
              <w:numPr>
                <w:ilvl w:val="0"/>
                <w:numId w:val="24"/>
              </w:numPr>
              <w:autoSpaceDE w:val="0"/>
              <w:autoSpaceDN w:val="0"/>
              <w:adjustRightInd w:val="0"/>
              <w:ind w:left="1050"/>
              <w:rPr>
                <w:rFonts w:ascii="Arial" w:hAnsi="Arial" w:cs="Arial"/>
                <w:color w:val="000000"/>
                <w:sz w:val="20"/>
                <w:szCs w:val="20"/>
              </w:rPr>
            </w:pPr>
            <w:r w:rsidRPr="00C2115B">
              <w:rPr>
                <w:rFonts w:ascii="Arial" w:hAnsi="Arial" w:cs="Arial"/>
                <w:color w:val="000000"/>
                <w:sz w:val="20"/>
                <w:szCs w:val="20"/>
              </w:rPr>
              <w:t xml:space="preserve">Evaluate and pilot alternative modes of lecture/lab delivery through hybrid course formats and </w:t>
            </w:r>
            <w:r w:rsidRPr="00C2115B">
              <w:rPr>
                <w:rFonts w:ascii="Arial" w:hAnsi="Arial" w:cs="Arial"/>
                <w:color w:val="000000"/>
                <w:sz w:val="20"/>
                <w:szCs w:val="20"/>
              </w:rPr>
              <w:lastRenderedPageBreak/>
              <w:t>distance learning opportunities (off campus locations, too) as new models emerge</w:t>
            </w:r>
          </w:p>
          <w:p w:rsidR="005F70D8" w:rsidRPr="00C2115B" w:rsidRDefault="005F70D8" w:rsidP="00C2115B">
            <w:pPr>
              <w:pStyle w:val="ListParagraph"/>
              <w:widowControl w:val="0"/>
              <w:numPr>
                <w:ilvl w:val="1"/>
                <w:numId w:val="24"/>
              </w:numPr>
              <w:autoSpaceDE w:val="0"/>
              <w:autoSpaceDN w:val="0"/>
              <w:adjustRightInd w:val="0"/>
              <w:ind w:left="1410"/>
              <w:rPr>
                <w:rFonts w:ascii="Arial" w:hAnsi="Arial" w:cs="Arial"/>
                <w:color w:val="000000"/>
                <w:sz w:val="20"/>
                <w:szCs w:val="20"/>
              </w:rPr>
            </w:pPr>
            <w:r w:rsidRPr="00C2115B">
              <w:rPr>
                <w:rFonts w:ascii="Arial" w:hAnsi="Arial" w:cs="Arial"/>
                <w:color w:val="000000"/>
                <w:sz w:val="20"/>
                <w:szCs w:val="20"/>
              </w:rPr>
              <w:t>Benchmark other institutions and other departments on campus</w:t>
            </w:r>
          </w:p>
          <w:p w:rsidR="005F70D8" w:rsidRPr="00C2115B" w:rsidRDefault="005F70D8" w:rsidP="00C2115B">
            <w:pPr>
              <w:pStyle w:val="ListParagraph"/>
              <w:widowControl w:val="0"/>
              <w:numPr>
                <w:ilvl w:val="1"/>
                <w:numId w:val="24"/>
              </w:numPr>
              <w:autoSpaceDE w:val="0"/>
              <w:autoSpaceDN w:val="0"/>
              <w:adjustRightInd w:val="0"/>
              <w:ind w:left="1410"/>
              <w:rPr>
                <w:rFonts w:ascii="Arial" w:hAnsi="Arial" w:cs="Arial"/>
                <w:color w:val="000000"/>
                <w:sz w:val="20"/>
                <w:szCs w:val="20"/>
              </w:rPr>
            </w:pPr>
            <w:r w:rsidRPr="00C2115B">
              <w:rPr>
                <w:rFonts w:ascii="Arial" w:hAnsi="Arial" w:cs="Arial"/>
                <w:color w:val="000000"/>
                <w:sz w:val="20"/>
                <w:szCs w:val="20"/>
              </w:rPr>
              <w:t>Work with Distance Learning to identify current examples</w:t>
            </w:r>
          </w:p>
          <w:p w:rsidR="005F70D8" w:rsidRPr="00C2115B" w:rsidRDefault="005F70D8" w:rsidP="00C2115B">
            <w:pPr>
              <w:pStyle w:val="ListParagraph"/>
              <w:widowControl w:val="0"/>
              <w:numPr>
                <w:ilvl w:val="1"/>
                <w:numId w:val="24"/>
              </w:numPr>
              <w:autoSpaceDE w:val="0"/>
              <w:autoSpaceDN w:val="0"/>
              <w:adjustRightInd w:val="0"/>
              <w:ind w:left="1410"/>
              <w:rPr>
                <w:rFonts w:ascii="Arial" w:hAnsi="Arial" w:cs="Arial"/>
                <w:color w:val="000000"/>
                <w:sz w:val="20"/>
                <w:szCs w:val="20"/>
              </w:rPr>
            </w:pPr>
            <w:r w:rsidRPr="00C2115B">
              <w:rPr>
                <w:rFonts w:ascii="Arial" w:hAnsi="Arial" w:cs="Arial"/>
                <w:color w:val="000000"/>
                <w:sz w:val="20"/>
                <w:szCs w:val="20"/>
              </w:rPr>
              <w:t xml:space="preserve">Track students who transfer to obtain systematic feedback for the department’s use in refining curriculum and instruction </w:t>
            </w:r>
          </w:p>
          <w:p w:rsidR="001A2E6B" w:rsidRPr="00654C15" w:rsidRDefault="001A2E6B" w:rsidP="00D07030">
            <w:pPr>
              <w:pStyle w:val="ListParagraph"/>
              <w:ind w:left="0"/>
              <w:rPr>
                <w:rFonts w:ascii="Arial" w:hAnsi="Arial" w:cs="Arial"/>
                <w:color w:val="000000" w:themeColor="text1"/>
              </w:rPr>
            </w:pPr>
          </w:p>
        </w:tc>
        <w:tc>
          <w:tcPr>
            <w:tcW w:w="2700" w:type="dxa"/>
          </w:tcPr>
          <w:p w:rsidR="001A2E6B" w:rsidRDefault="001A2E6B" w:rsidP="00D07030">
            <w:pPr>
              <w:pStyle w:val="ListParagraph"/>
              <w:ind w:left="0"/>
              <w:rPr>
                <w:rFonts w:ascii="Arial" w:hAnsi="Arial" w:cs="Arial"/>
                <w:color w:val="000000" w:themeColor="text1"/>
              </w:rPr>
            </w:pPr>
          </w:p>
          <w:p w:rsidR="0028439B" w:rsidRDefault="0028439B" w:rsidP="0028439B">
            <w:pPr>
              <w:pStyle w:val="ListParagraph"/>
              <w:ind w:left="0"/>
              <w:rPr>
                <w:rFonts w:ascii="Arial" w:hAnsi="Arial" w:cs="Arial"/>
                <w:color w:val="000000" w:themeColor="text1"/>
              </w:rPr>
            </w:pPr>
            <w:r>
              <w:rPr>
                <w:rFonts w:ascii="Arial" w:hAnsi="Arial" w:cs="Arial"/>
                <w:color w:val="000000" w:themeColor="text1"/>
              </w:rPr>
              <w:t xml:space="preserve">In progress </w:t>
            </w:r>
            <w:r w:rsidR="00A63368">
              <w:fldChar w:fldCharType="begin">
                <w:ffData>
                  <w:name w:val=""/>
                  <w:enabled/>
                  <w:calcOnExit w:val="0"/>
                  <w:checkBox>
                    <w:sizeAuto/>
                    <w:default w:val="1"/>
                  </w:checkBox>
                </w:ffData>
              </w:fldChar>
            </w:r>
            <w:r w:rsidR="00A63368">
              <w:instrText xml:space="preserve"> FORMCHECKBOX </w:instrText>
            </w:r>
            <w:r w:rsidR="00571AA8">
              <w:fldChar w:fldCharType="separate"/>
            </w:r>
            <w:r w:rsidR="00A63368">
              <w:fldChar w:fldCharType="end"/>
            </w:r>
          </w:p>
          <w:p w:rsidR="0028439B" w:rsidRDefault="0028439B" w:rsidP="0028439B">
            <w:pPr>
              <w:pStyle w:val="ListParagraph"/>
              <w:ind w:left="0"/>
              <w:rPr>
                <w:rFonts w:ascii="Arial" w:hAnsi="Arial" w:cs="Arial"/>
                <w:color w:val="000000" w:themeColor="text1"/>
              </w:rPr>
            </w:pPr>
          </w:p>
          <w:p w:rsidR="0028439B" w:rsidRDefault="0028439B" w:rsidP="0028439B">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571AA8">
              <w:fldChar w:fldCharType="separate"/>
            </w:r>
            <w:r>
              <w:fldChar w:fldCharType="end"/>
            </w:r>
          </w:p>
          <w:p w:rsidR="0028439B" w:rsidRDefault="0028439B" w:rsidP="0028439B">
            <w:pPr>
              <w:pStyle w:val="ListParagraph"/>
              <w:ind w:left="0"/>
              <w:rPr>
                <w:rFonts w:ascii="Arial" w:hAnsi="Arial" w:cs="Arial"/>
                <w:color w:val="000000" w:themeColor="text1"/>
              </w:rPr>
            </w:pPr>
          </w:p>
          <w:p w:rsidR="0028439B" w:rsidRDefault="0028439B" w:rsidP="0028439B">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571AA8">
              <w:fldChar w:fldCharType="separate"/>
            </w:r>
            <w:r>
              <w:fldChar w:fldCharType="end"/>
            </w:r>
          </w:p>
          <w:p w:rsidR="001A2E6B" w:rsidRPr="0037786D" w:rsidRDefault="001A2E6B" w:rsidP="00D07030">
            <w:pPr>
              <w:pStyle w:val="ListParagraph"/>
              <w:ind w:left="0"/>
              <w:rPr>
                <w:rFonts w:ascii="Arial" w:hAnsi="Arial" w:cs="Arial"/>
                <w:color w:val="000000" w:themeColor="text1"/>
              </w:rPr>
            </w:pPr>
          </w:p>
        </w:tc>
        <w:tc>
          <w:tcPr>
            <w:tcW w:w="6480" w:type="dxa"/>
          </w:tcPr>
          <w:p w:rsidR="00153AD7" w:rsidRDefault="00153AD7" w:rsidP="00A63368"/>
          <w:p w:rsidR="00153AD7" w:rsidRDefault="00153AD7" w:rsidP="00A63368"/>
          <w:p w:rsidR="00153AD7" w:rsidRDefault="00153AD7" w:rsidP="00A63368"/>
          <w:p w:rsidR="00153AD7" w:rsidRDefault="00153AD7" w:rsidP="00A63368"/>
          <w:p w:rsidR="00153AD7" w:rsidRDefault="00153AD7" w:rsidP="00A63368"/>
          <w:p w:rsidR="00153AD7" w:rsidRDefault="00153AD7" w:rsidP="00A63368"/>
          <w:p w:rsidR="00153AD7" w:rsidRDefault="00153AD7" w:rsidP="00A63368"/>
          <w:p w:rsidR="00153AD7" w:rsidRDefault="00153AD7" w:rsidP="00A63368"/>
          <w:p w:rsidR="00153AD7" w:rsidRDefault="00153AD7" w:rsidP="00A63368"/>
          <w:p w:rsidR="00153AD7" w:rsidRDefault="00153AD7" w:rsidP="00A63368"/>
          <w:p w:rsidR="00153AD7" w:rsidRDefault="00153AD7" w:rsidP="00A63368"/>
          <w:p w:rsidR="00A63377" w:rsidRDefault="00A63377" w:rsidP="00A63368"/>
          <w:p w:rsidR="00153AD7" w:rsidRDefault="00153AD7" w:rsidP="00A63368">
            <w:r>
              <w:t>Complete</w:t>
            </w:r>
          </w:p>
          <w:p w:rsidR="00153AD7" w:rsidRDefault="00153AD7" w:rsidP="00A63368"/>
          <w:p w:rsidR="00153AD7" w:rsidRDefault="00153AD7" w:rsidP="00A63368"/>
          <w:p w:rsidR="00A63377" w:rsidRDefault="00A63377" w:rsidP="00A63368"/>
          <w:p w:rsidR="00153AD7" w:rsidRDefault="00153AD7" w:rsidP="00A63368"/>
          <w:p w:rsidR="00153AD7" w:rsidRDefault="00153AD7" w:rsidP="00153AD7">
            <w:r>
              <w:t xml:space="preserve">This assertion </w:t>
            </w:r>
            <w:r w:rsidR="00A63377">
              <w:t xml:space="preserve">is </w:t>
            </w:r>
            <w:r>
              <w:t>supported by the following data.  This data is specific for Introductory Chemistry, but we would expect to see similar data for General Chemistry.</w:t>
            </w:r>
          </w:p>
          <w:p w:rsidR="00153AD7" w:rsidRDefault="00153AD7" w:rsidP="00153AD7">
            <w:r>
              <w:t xml:space="preserve">  #1: Completed DEV 108 before taking CHE 120</w:t>
            </w:r>
          </w:p>
          <w:p w:rsidR="00153AD7" w:rsidRDefault="00153AD7" w:rsidP="00153AD7">
            <w:r>
              <w:t xml:space="preserve">  #2; Did not complete DEV 108 before taking CHE 120</w:t>
            </w:r>
          </w:p>
          <w:p w:rsidR="00153AD7" w:rsidRDefault="00153AD7" w:rsidP="00153AD7">
            <w:pPr>
              <w:spacing w:after="120"/>
            </w:pPr>
            <w:r>
              <w:lastRenderedPageBreak/>
              <w:t xml:space="preserve">  #3: Did not need to take DEV 108</w:t>
            </w:r>
          </w:p>
          <w:p w:rsidR="00153AD7" w:rsidRDefault="00153AD7" w:rsidP="00153AD7">
            <w:r>
              <w:t>% Success Rates for CHE 120 (now CHE 1111)</w:t>
            </w:r>
          </w:p>
          <w:tbl>
            <w:tblPr>
              <w:tblStyle w:val="TableGrid"/>
              <w:tblW w:w="0" w:type="auto"/>
              <w:tblLayout w:type="fixed"/>
              <w:tblLook w:val="04A0" w:firstRow="1" w:lastRow="0" w:firstColumn="1" w:lastColumn="0" w:noHBand="0" w:noVBand="1"/>
            </w:tblPr>
            <w:tblGrid>
              <w:gridCol w:w="891"/>
              <w:gridCol w:w="891"/>
              <w:gridCol w:w="891"/>
              <w:gridCol w:w="891"/>
              <w:gridCol w:w="892"/>
              <w:gridCol w:w="892"/>
              <w:gridCol w:w="892"/>
            </w:tblGrid>
            <w:tr w:rsidR="00153AD7" w:rsidTr="00390655">
              <w:tc>
                <w:tcPr>
                  <w:tcW w:w="891" w:type="dxa"/>
                </w:tcPr>
                <w:p w:rsidR="00153AD7" w:rsidRDefault="00153AD7" w:rsidP="00153AD7"/>
              </w:tc>
              <w:tc>
                <w:tcPr>
                  <w:tcW w:w="891" w:type="dxa"/>
                </w:tcPr>
                <w:p w:rsidR="00153AD7" w:rsidRPr="00482F09" w:rsidRDefault="00153AD7" w:rsidP="00153AD7">
                  <w:pPr>
                    <w:rPr>
                      <w:sz w:val="20"/>
                      <w:szCs w:val="20"/>
                    </w:rPr>
                  </w:pPr>
                  <w:r w:rsidRPr="00482F09">
                    <w:rPr>
                      <w:sz w:val="20"/>
                      <w:szCs w:val="20"/>
                    </w:rPr>
                    <w:t>2006-07</w:t>
                  </w:r>
                </w:p>
              </w:tc>
              <w:tc>
                <w:tcPr>
                  <w:tcW w:w="891" w:type="dxa"/>
                </w:tcPr>
                <w:p w:rsidR="00153AD7" w:rsidRPr="00482F09" w:rsidRDefault="00153AD7" w:rsidP="00153AD7">
                  <w:pPr>
                    <w:rPr>
                      <w:sz w:val="20"/>
                      <w:szCs w:val="20"/>
                    </w:rPr>
                  </w:pPr>
                  <w:r w:rsidRPr="00482F09">
                    <w:rPr>
                      <w:sz w:val="20"/>
                      <w:szCs w:val="20"/>
                    </w:rPr>
                    <w:t>2007-08</w:t>
                  </w:r>
                </w:p>
              </w:tc>
              <w:tc>
                <w:tcPr>
                  <w:tcW w:w="891" w:type="dxa"/>
                </w:tcPr>
                <w:p w:rsidR="00153AD7" w:rsidRPr="00482F09" w:rsidRDefault="00153AD7" w:rsidP="00153AD7">
                  <w:pPr>
                    <w:rPr>
                      <w:sz w:val="20"/>
                      <w:szCs w:val="20"/>
                    </w:rPr>
                  </w:pPr>
                  <w:r w:rsidRPr="00482F09">
                    <w:rPr>
                      <w:sz w:val="20"/>
                      <w:szCs w:val="20"/>
                    </w:rPr>
                    <w:t>2008-09</w:t>
                  </w:r>
                </w:p>
              </w:tc>
              <w:tc>
                <w:tcPr>
                  <w:tcW w:w="892" w:type="dxa"/>
                </w:tcPr>
                <w:p w:rsidR="00153AD7" w:rsidRPr="00482F09" w:rsidRDefault="00153AD7" w:rsidP="00153AD7">
                  <w:pPr>
                    <w:rPr>
                      <w:sz w:val="20"/>
                      <w:szCs w:val="20"/>
                    </w:rPr>
                  </w:pPr>
                  <w:r w:rsidRPr="00482F09">
                    <w:rPr>
                      <w:sz w:val="20"/>
                      <w:szCs w:val="20"/>
                    </w:rPr>
                    <w:t>2009-10</w:t>
                  </w:r>
                </w:p>
              </w:tc>
              <w:tc>
                <w:tcPr>
                  <w:tcW w:w="892" w:type="dxa"/>
                </w:tcPr>
                <w:p w:rsidR="00153AD7" w:rsidRPr="00482F09" w:rsidRDefault="00153AD7" w:rsidP="00153AD7">
                  <w:pPr>
                    <w:rPr>
                      <w:sz w:val="20"/>
                      <w:szCs w:val="20"/>
                    </w:rPr>
                  </w:pPr>
                  <w:r w:rsidRPr="00482F09">
                    <w:rPr>
                      <w:sz w:val="20"/>
                      <w:szCs w:val="20"/>
                    </w:rPr>
                    <w:t>2010-11</w:t>
                  </w:r>
                </w:p>
              </w:tc>
              <w:tc>
                <w:tcPr>
                  <w:tcW w:w="892" w:type="dxa"/>
                </w:tcPr>
                <w:p w:rsidR="00153AD7" w:rsidRPr="00482F09" w:rsidRDefault="00153AD7" w:rsidP="00153AD7">
                  <w:pPr>
                    <w:rPr>
                      <w:sz w:val="20"/>
                      <w:szCs w:val="20"/>
                    </w:rPr>
                  </w:pPr>
                  <w:r w:rsidRPr="00482F09">
                    <w:rPr>
                      <w:sz w:val="20"/>
                      <w:szCs w:val="20"/>
                    </w:rPr>
                    <w:t>2011-12</w:t>
                  </w:r>
                </w:p>
              </w:tc>
            </w:tr>
            <w:tr w:rsidR="00153AD7" w:rsidTr="00390655">
              <w:tc>
                <w:tcPr>
                  <w:tcW w:w="891" w:type="dxa"/>
                </w:tcPr>
                <w:p w:rsidR="00153AD7" w:rsidRPr="00482F09" w:rsidRDefault="00153AD7" w:rsidP="00153AD7">
                  <w:pPr>
                    <w:rPr>
                      <w:sz w:val="22"/>
                      <w:szCs w:val="22"/>
                    </w:rPr>
                  </w:pPr>
                  <w:r>
                    <w:rPr>
                      <w:sz w:val="22"/>
                      <w:szCs w:val="22"/>
                    </w:rPr>
                    <w:t>#1</w:t>
                  </w:r>
                </w:p>
              </w:tc>
              <w:tc>
                <w:tcPr>
                  <w:tcW w:w="891" w:type="dxa"/>
                </w:tcPr>
                <w:p w:rsidR="00153AD7" w:rsidRPr="00D06087" w:rsidRDefault="00153AD7" w:rsidP="00153AD7">
                  <w:r w:rsidRPr="00D06087">
                    <w:t>75%</w:t>
                  </w:r>
                </w:p>
              </w:tc>
              <w:tc>
                <w:tcPr>
                  <w:tcW w:w="891" w:type="dxa"/>
                </w:tcPr>
                <w:p w:rsidR="00153AD7" w:rsidRPr="00D06087" w:rsidRDefault="00153AD7" w:rsidP="00153AD7">
                  <w:r w:rsidRPr="00D06087">
                    <w:t>70%</w:t>
                  </w:r>
                </w:p>
              </w:tc>
              <w:tc>
                <w:tcPr>
                  <w:tcW w:w="891" w:type="dxa"/>
                </w:tcPr>
                <w:p w:rsidR="00153AD7" w:rsidRPr="00D06087" w:rsidRDefault="00153AD7" w:rsidP="00153AD7">
                  <w:r w:rsidRPr="00D06087">
                    <w:t>62.9%</w:t>
                  </w:r>
                </w:p>
              </w:tc>
              <w:tc>
                <w:tcPr>
                  <w:tcW w:w="892" w:type="dxa"/>
                </w:tcPr>
                <w:p w:rsidR="00153AD7" w:rsidRPr="00D06087" w:rsidRDefault="00153AD7" w:rsidP="00153AD7">
                  <w:r w:rsidRPr="00D06087">
                    <w:t>61%</w:t>
                  </w:r>
                </w:p>
              </w:tc>
              <w:tc>
                <w:tcPr>
                  <w:tcW w:w="892" w:type="dxa"/>
                </w:tcPr>
                <w:p w:rsidR="00153AD7" w:rsidRPr="00D06087" w:rsidRDefault="00153AD7" w:rsidP="00153AD7">
                  <w:r w:rsidRPr="00D06087">
                    <w:t>54.6%</w:t>
                  </w:r>
                </w:p>
              </w:tc>
              <w:tc>
                <w:tcPr>
                  <w:tcW w:w="892" w:type="dxa"/>
                </w:tcPr>
                <w:p w:rsidR="00153AD7" w:rsidRPr="00D06087" w:rsidRDefault="00153AD7" w:rsidP="00153AD7">
                  <w:r w:rsidRPr="00D06087">
                    <w:t>59.5%</w:t>
                  </w:r>
                </w:p>
              </w:tc>
            </w:tr>
            <w:tr w:rsidR="00153AD7" w:rsidTr="00390655">
              <w:tc>
                <w:tcPr>
                  <w:tcW w:w="891" w:type="dxa"/>
                </w:tcPr>
                <w:p w:rsidR="00153AD7" w:rsidRDefault="00153AD7" w:rsidP="00153AD7">
                  <w:r>
                    <w:t>#2</w:t>
                  </w:r>
                </w:p>
              </w:tc>
              <w:tc>
                <w:tcPr>
                  <w:tcW w:w="891" w:type="dxa"/>
                </w:tcPr>
                <w:p w:rsidR="00153AD7" w:rsidRDefault="00153AD7" w:rsidP="00153AD7">
                  <w:r>
                    <w:t>61.4%</w:t>
                  </w:r>
                </w:p>
              </w:tc>
              <w:tc>
                <w:tcPr>
                  <w:tcW w:w="891" w:type="dxa"/>
                </w:tcPr>
                <w:p w:rsidR="00153AD7" w:rsidRDefault="00153AD7" w:rsidP="00153AD7">
                  <w:r>
                    <w:t>61.3%</w:t>
                  </w:r>
                </w:p>
              </w:tc>
              <w:tc>
                <w:tcPr>
                  <w:tcW w:w="891" w:type="dxa"/>
                </w:tcPr>
                <w:p w:rsidR="00153AD7" w:rsidRDefault="00153AD7" w:rsidP="00153AD7">
                  <w:r>
                    <w:t>56.0%</w:t>
                  </w:r>
                </w:p>
              </w:tc>
              <w:tc>
                <w:tcPr>
                  <w:tcW w:w="892" w:type="dxa"/>
                </w:tcPr>
                <w:p w:rsidR="00153AD7" w:rsidRDefault="00153AD7" w:rsidP="00153AD7">
                  <w:r>
                    <w:t>53.4%</w:t>
                  </w:r>
                </w:p>
              </w:tc>
              <w:tc>
                <w:tcPr>
                  <w:tcW w:w="892" w:type="dxa"/>
                </w:tcPr>
                <w:p w:rsidR="00153AD7" w:rsidRDefault="00153AD7" w:rsidP="00153AD7">
                  <w:r>
                    <w:t>51.1%</w:t>
                  </w:r>
                </w:p>
              </w:tc>
              <w:tc>
                <w:tcPr>
                  <w:tcW w:w="892" w:type="dxa"/>
                </w:tcPr>
                <w:p w:rsidR="00153AD7" w:rsidRDefault="00153AD7" w:rsidP="00153AD7">
                  <w:r>
                    <w:t>53.6%</w:t>
                  </w:r>
                </w:p>
              </w:tc>
            </w:tr>
            <w:tr w:rsidR="00153AD7" w:rsidTr="00390655">
              <w:tc>
                <w:tcPr>
                  <w:tcW w:w="891" w:type="dxa"/>
                </w:tcPr>
                <w:p w:rsidR="00153AD7" w:rsidRDefault="00153AD7" w:rsidP="00153AD7">
                  <w:r>
                    <w:t>#3</w:t>
                  </w:r>
                </w:p>
              </w:tc>
              <w:tc>
                <w:tcPr>
                  <w:tcW w:w="891" w:type="dxa"/>
                </w:tcPr>
                <w:p w:rsidR="00153AD7" w:rsidRDefault="00153AD7" w:rsidP="00153AD7">
                  <w:r>
                    <w:t>67.85</w:t>
                  </w:r>
                </w:p>
              </w:tc>
              <w:tc>
                <w:tcPr>
                  <w:tcW w:w="891" w:type="dxa"/>
                </w:tcPr>
                <w:p w:rsidR="00153AD7" w:rsidRDefault="00153AD7" w:rsidP="00153AD7">
                  <w:r>
                    <w:t>69.1%</w:t>
                  </w:r>
                </w:p>
              </w:tc>
              <w:tc>
                <w:tcPr>
                  <w:tcW w:w="891" w:type="dxa"/>
                </w:tcPr>
                <w:p w:rsidR="00153AD7" w:rsidRDefault="00153AD7" w:rsidP="00153AD7">
                  <w:r>
                    <w:t>70.6%</w:t>
                  </w:r>
                </w:p>
              </w:tc>
              <w:tc>
                <w:tcPr>
                  <w:tcW w:w="892" w:type="dxa"/>
                </w:tcPr>
                <w:p w:rsidR="00153AD7" w:rsidRDefault="00153AD7" w:rsidP="00153AD7">
                  <w:r>
                    <w:t>67.5%</w:t>
                  </w:r>
                </w:p>
              </w:tc>
              <w:tc>
                <w:tcPr>
                  <w:tcW w:w="892" w:type="dxa"/>
                </w:tcPr>
                <w:p w:rsidR="00153AD7" w:rsidRDefault="00153AD7" w:rsidP="00153AD7">
                  <w:r>
                    <w:t>65.2%</w:t>
                  </w:r>
                </w:p>
              </w:tc>
              <w:tc>
                <w:tcPr>
                  <w:tcW w:w="892" w:type="dxa"/>
                </w:tcPr>
                <w:p w:rsidR="00153AD7" w:rsidRDefault="00153AD7" w:rsidP="00153AD7">
                  <w:r>
                    <w:t>73.9%</w:t>
                  </w:r>
                </w:p>
              </w:tc>
            </w:tr>
            <w:tr w:rsidR="00153AD7" w:rsidTr="00390655">
              <w:tc>
                <w:tcPr>
                  <w:tcW w:w="891" w:type="dxa"/>
                </w:tcPr>
                <w:p w:rsidR="00153AD7" w:rsidRPr="00482F09" w:rsidRDefault="00153AD7" w:rsidP="00153AD7">
                  <w:pPr>
                    <w:rPr>
                      <w:sz w:val="22"/>
                      <w:szCs w:val="22"/>
                    </w:rPr>
                  </w:pPr>
                  <w:r w:rsidRPr="00482F09">
                    <w:rPr>
                      <w:sz w:val="22"/>
                      <w:szCs w:val="22"/>
                    </w:rPr>
                    <w:t>Overall</w:t>
                  </w:r>
                </w:p>
              </w:tc>
              <w:tc>
                <w:tcPr>
                  <w:tcW w:w="891" w:type="dxa"/>
                </w:tcPr>
                <w:p w:rsidR="00153AD7" w:rsidRDefault="00153AD7" w:rsidP="00153AD7">
                  <w:r>
                    <w:t>65.9%</w:t>
                  </w:r>
                </w:p>
              </w:tc>
              <w:tc>
                <w:tcPr>
                  <w:tcW w:w="891" w:type="dxa"/>
                </w:tcPr>
                <w:p w:rsidR="00153AD7" w:rsidRDefault="00153AD7" w:rsidP="00153AD7">
                  <w:r>
                    <w:t>67/2%</w:t>
                  </w:r>
                </w:p>
              </w:tc>
              <w:tc>
                <w:tcPr>
                  <w:tcW w:w="891" w:type="dxa"/>
                </w:tcPr>
                <w:p w:rsidR="00153AD7" w:rsidRDefault="00153AD7" w:rsidP="00153AD7">
                  <w:r>
                    <w:t>66.5%</w:t>
                  </w:r>
                </w:p>
              </w:tc>
              <w:tc>
                <w:tcPr>
                  <w:tcW w:w="892" w:type="dxa"/>
                </w:tcPr>
                <w:p w:rsidR="00153AD7" w:rsidRDefault="00153AD7" w:rsidP="00153AD7">
                  <w:r>
                    <w:t>63.1%</w:t>
                  </w:r>
                </w:p>
              </w:tc>
              <w:tc>
                <w:tcPr>
                  <w:tcW w:w="892" w:type="dxa"/>
                </w:tcPr>
                <w:p w:rsidR="00153AD7" w:rsidRDefault="00153AD7" w:rsidP="00153AD7">
                  <w:r>
                    <w:t>60.3%</w:t>
                  </w:r>
                </w:p>
              </w:tc>
              <w:tc>
                <w:tcPr>
                  <w:tcW w:w="892" w:type="dxa"/>
                </w:tcPr>
                <w:p w:rsidR="00153AD7" w:rsidRDefault="00153AD7" w:rsidP="00153AD7">
                  <w:r>
                    <w:t>66/6%</w:t>
                  </w:r>
                </w:p>
              </w:tc>
            </w:tr>
          </w:tbl>
          <w:p w:rsidR="00153AD7" w:rsidRDefault="00153AD7" w:rsidP="00A63368">
            <w:r>
              <w:t>From this data, it is clear that students who do not have the prerequisite background are not as successful as those who have demonstrated the necessary mathematical ability.</w:t>
            </w:r>
            <w:r w:rsidR="00F55884">
              <w:t xml:space="preserve">  </w:t>
            </w:r>
            <w:r w:rsidR="00A63377">
              <w:t>T</w:t>
            </w:r>
            <w:r w:rsidR="00F55884">
              <w:t xml:space="preserve">his data is rather old, </w:t>
            </w:r>
            <w:r w:rsidR="00A63377">
              <w:t xml:space="preserve">but </w:t>
            </w:r>
            <w:r w:rsidR="00F55884">
              <w:t>we expect that these observations still exist and will collect more recent data.</w:t>
            </w:r>
            <w:r w:rsidR="00A63377">
              <w:t xml:space="preserve">  We will also collect similar data related to General Chemistry.</w:t>
            </w:r>
          </w:p>
          <w:p w:rsidR="00153AD7" w:rsidRDefault="00153AD7" w:rsidP="00A63368"/>
          <w:p w:rsidR="00153AD7" w:rsidRDefault="00153AD7" w:rsidP="00A63368">
            <w:r>
              <w:t>In progress</w:t>
            </w:r>
          </w:p>
          <w:p w:rsidR="00153AD7" w:rsidRDefault="00153AD7" w:rsidP="00A63368"/>
          <w:p w:rsidR="00153AD7" w:rsidRDefault="00153AD7" w:rsidP="00A63368"/>
          <w:p w:rsidR="00153AD7" w:rsidRDefault="00153AD7" w:rsidP="00A63368"/>
          <w:p w:rsidR="00153AD7" w:rsidRDefault="00153AD7" w:rsidP="00A63368"/>
          <w:p w:rsidR="00153AD7" w:rsidRDefault="00153AD7" w:rsidP="00A63368"/>
          <w:p w:rsidR="00153AD7" w:rsidRDefault="00153AD7" w:rsidP="00A63368"/>
          <w:p w:rsidR="00153AD7" w:rsidRDefault="00153AD7" w:rsidP="00A63368">
            <w:r w:rsidRPr="00F17F2E">
              <w:t>One of the challenges faced by the department is the development of adjunct faculty.  Many of the newer adjunct faculty, however, have full-time jobs elsewhere, so finding the time for them to attend workshops and other training is a challenge.  We continue to monitor their work and offer suggestions and intervention where needed and appropriate.</w:t>
            </w:r>
          </w:p>
          <w:p w:rsidR="00153AD7" w:rsidRDefault="00153AD7" w:rsidP="00A63368"/>
          <w:p w:rsidR="00153AD7" w:rsidRDefault="00153AD7" w:rsidP="00A63368"/>
          <w:p w:rsidR="00153AD7" w:rsidRDefault="00153AD7" w:rsidP="00A63368">
            <w:r>
              <w:t xml:space="preserve">In progress.  </w:t>
            </w:r>
          </w:p>
          <w:p w:rsidR="001A2E6B" w:rsidRDefault="001A2E6B" w:rsidP="00A63368"/>
          <w:p w:rsidR="00A63368" w:rsidRDefault="00A63368" w:rsidP="00A63368"/>
          <w:p w:rsidR="00482F09" w:rsidRDefault="00482F09" w:rsidP="00A63368"/>
          <w:p w:rsidR="001136BA" w:rsidRDefault="001136BA" w:rsidP="00A63368"/>
          <w:p w:rsidR="00153AD7" w:rsidRDefault="00153AD7" w:rsidP="00A63368"/>
          <w:p w:rsidR="00153AD7" w:rsidRDefault="00153AD7" w:rsidP="00A63368"/>
          <w:p w:rsidR="00153AD7" w:rsidRDefault="00153AD7" w:rsidP="00A63368"/>
          <w:p w:rsidR="00153AD7" w:rsidRDefault="00153AD7" w:rsidP="00A63368"/>
          <w:p w:rsidR="00153AD7" w:rsidRDefault="00153AD7" w:rsidP="00A63368"/>
          <w:p w:rsidR="00153AD7" w:rsidRDefault="00153AD7" w:rsidP="00A63368"/>
          <w:p w:rsidR="00153AD7" w:rsidRDefault="00153AD7" w:rsidP="00A63368"/>
          <w:p w:rsidR="00835DEB" w:rsidRDefault="00835DEB"/>
          <w:p w:rsidR="00A63368" w:rsidRDefault="00153AD7">
            <w:r>
              <w:t>T</w:t>
            </w:r>
            <w:r w:rsidR="00A63368">
              <w:t xml:space="preserve">his is a college-wide issue.  We have not been able to systematically contact previous students except as they visit Sinclair or make contact with Sinclair instructors.  Generally speaking, each previous student has expressed appreciation for the instruction received at Sinclair.  Among these are John </w:t>
            </w:r>
            <w:proofErr w:type="spellStart"/>
            <w:r w:rsidR="00A63368">
              <w:t>Leubking</w:t>
            </w:r>
            <w:proofErr w:type="spellEnd"/>
            <w:r w:rsidR="00A63368">
              <w:t xml:space="preserve">, who is currently pursuing a PhD in chemistry at Ohio State University, and Ann </w:t>
            </w:r>
            <w:proofErr w:type="spellStart"/>
            <w:r w:rsidR="00A63368">
              <w:t>Koschembahr</w:t>
            </w:r>
            <w:proofErr w:type="spellEnd"/>
            <w:r w:rsidR="00A63368">
              <w:t>, who has completed a PhD at the University of Cincinnati.</w:t>
            </w:r>
          </w:p>
        </w:tc>
      </w:tr>
      <w:tr w:rsidR="005F70D8" w:rsidRPr="0037786D" w:rsidTr="001A2E6B">
        <w:tc>
          <w:tcPr>
            <w:tcW w:w="3708" w:type="dxa"/>
          </w:tcPr>
          <w:p w:rsidR="005F70D8" w:rsidRPr="005F70D8" w:rsidRDefault="005F70D8" w:rsidP="005F70D8">
            <w:pPr>
              <w:widowControl w:val="0"/>
              <w:tabs>
                <w:tab w:val="left" w:pos="720"/>
              </w:tabs>
              <w:autoSpaceDE w:val="0"/>
              <w:autoSpaceDN w:val="0"/>
              <w:adjustRightInd w:val="0"/>
              <w:rPr>
                <w:rFonts w:ascii="Arial" w:hAnsi="Arial" w:cs="Arial"/>
                <w:color w:val="000000"/>
              </w:rPr>
            </w:pPr>
            <w:r w:rsidRPr="005F70D8">
              <w:rPr>
                <w:rFonts w:ascii="Arial" w:hAnsi="Arial" w:cs="Arial"/>
                <w:color w:val="000000"/>
              </w:rPr>
              <w:lastRenderedPageBreak/>
              <w:t>Work with the Academic Staffing Coordinator to identify and implement a sustainable strategy to recruit part-time faculty members</w:t>
            </w:r>
          </w:p>
          <w:p w:rsidR="005F70D8" w:rsidRPr="005F70D8" w:rsidRDefault="005F70D8" w:rsidP="00D850D0">
            <w:pPr>
              <w:rPr>
                <w:rFonts w:ascii="Arial" w:hAnsi="Arial" w:cs="Arial"/>
              </w:rPr>
            </w:pPr>
          </w:p>
        </w:tc>
        <w:tc>
          <w:tcPr>
            <w:tcW w:w="2700" w:type="dxa"/>
          </w:tcPr>
          <w:p w:rsidR="005F70D8" w:rsidRDefault="005F70D8" w:rsidP="007A151D">
            <w:pPr>
              <w:pStyle w:val="ListParagraph"/>
              <w:ind w:left="0"/>
              <w:rPr>
                <w:rFonts w:ascii="Arial" w:hAnsi="Arial" w:cs="Arial"/>
                <w:color w:val="000000" w:themeColor="text1"/>
              </w:rPr>
            </w:pPr>
          </w:p>
          <w:p w:rsidR="0028439B" w:rsidRDefault="0028439B" w:rsidP="0028439B">
            <w:pPr>
              <w:pStyle w:val="ListParagraph"/>
              <w:ind w:left="0"/>
              <w:rPr>
                <w:rFonts w:ascii="Arial" w:hAnsi="Arial" w:cs="Arial"/>
                <w:color w:val="000000" w:themeColor="text1"/>
              </w:rPr>
            </w:pPr>
            <w:r>
              <w:rPr>
                <w:rFonts w:ascii="Arial" w:hAnsi="Arial" w:cs="Arial"/>
                <w:color w:val="000000" w:themeColor="text1"/>
              </w:rPr>
              <w:t xml:space="preserve">In progress </w:t>
            </w:r>
            <w:r w:rsidR="00364869">
              <w:fldChar w:fldCharType="begin">
                <w:ffData>
                  <w:name w:val=""/>
                  <w:enabled/>
                  <w:calcOnExit w:val="0"/>
                  <w:checkBox>
                    <w:sizeAuto/>
                    <w:default w:val="1"/>
                  </w:checkBox>
                </w:ffData>
              </w:fldChar>
            </w:r>
            <w:r w:rsidR="00364869">
              <w:instrText xml:space="preserve"> FORMCHECKBOX </w:instrText>
            </w:r>
            <w:r w:rsidR="00571AA8">
              <w:fldChar w:fldCharType="separate"/>
            </w:r>
            <w:r w:rsidR="00364869">
              <w:fldChar w:fldCharType="end"/>
            </w:r>
          </w:p>
          <w:p w:rsidR="0028439B" w:rsidRDefault="0028439B" w:rsidP="0028439B">
            <w:pPr>
              <w:pStyle w:val="ListParagraph"/>
              <w:ind w:left="0"/>
              <w:rPr>
                <w:rFonts w:ascii="Arial" w:hAnsi="Arial" w:cs="Arial"/>
                <w:color w:val="000000" w:themeColor="text1"/>
              </w:rPr>
            </w:pPr>
          </w:p>
          <w:p w:rsidR="0028439B" w:rsidRDefault="0028439B" w:rsidP="0028439B">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571AA8">
              <w:fldChar w:fldCharType="separate"/>
            </w:r>
            <w:r>
              <w:fldChar w:fldCharType="end"/>
            </w:r>
          </w:p>
          <w:p w:rsidR="0028439B" w:rsidRDefault="0028439B" w:rsidP="0028439B">
            <w:pPr>
              <w:pStyle w:val="ListParagraph"/>
              <w:ind w:left="0"/>
              <w:rPr>
                <w:rFonts w:ascii="Arial" w:hAnsi="Arial" w:cs="Arial"/>
                <w:color w:val="000000" w:themeColor="text1"/>
              </w:rPr>
            </w:pPr>
          </w:p>
          <w:p w:rsidR="0028439B" w:rsidRDefault="0028439B" w:rsidP="0028439B">
            <w:r>
              <w:rPr>
                <w:rFonts w:ascii="Arial" w:hAnsi="Arial" w:cs="Arial"/>
                <w:color w:val="000000" w:themeColor="text1"/>
              </w:rPr>
              <w:t xml:space="preserve">No longer applicable </w:t>
            </w:r>
          </w:p>
          <w:p w:rsidR="005F70D8" w:rsidRPr="0037786D" w:rsidRDefault="00EA31E6" w:rsidP="007A151D">
            <w:pPr>
              <w:pStyle w:val="ListParagraph"/>
              <w:ind w:left="0"/>
              <w:rPr>
                <w:rFonts w:ascii="Arial" w:hAnsi="Arial" w:cs="Arial"/>
                <w:color w:val="000000" w:themeColor="text1"/>
              </w:rPr>
            </w:pPr>
            <w:r>
              <w:fldChar w:fldCharType="begin">
                <w:ffData>
                  <w:name w:val="Check1"/>
                  <w:enabled/>
                  <w:calcOnExit w:val="0"/>
                  <w:checkBox>
                    <w:sizeAuto/>
                    <w:default w:val="0"/>
                  </w:checkBox>
                </w:ffData>
              </w:fldChar>
            </w:r>
            <w:r w:rsidR="005F70D8">
              <w:instrText xml:space="preserve"> FORMCHECKBOX </w:instrText>
            </w:r>
            <w:r w:rsidR="00571AA8">
              <w:fldChar w:fldCharType="separate"/>
            </w:r>
            <w:r>
              <w:fldChar w:fldCharType="end"/>
            </w:r>
          </w:p>
        </w:tc>
        <w:tc>
          <w:tcPr>
            <w:tcW w:w="6480" w:type="dxa"/>
          </w:tcPr>
          <w:p w:rsidR="005F70D8" w:rsidRDefault="00D67778" w:rsidP="00364869">
            <w:r w:rsidRPr="00D67778">
              <w:t xml:space="preserve">This is a major issue for both Chemistry and Geology.  It is quite difficult to find qualified instructors, with </w:t>
            </w:r>
            <w:r w:rsidR="00364869">
              <w:t xml:space="preserve">appropriate </w:t>
            </w:r>
            <w:r w:rsidRPr="00D67778">
              <w:t>knowledge and teaching skill, in both of these areas who are available at the times needed.  Numerous advertisements have been placed in the local papers with limited results, particularly in the Dayton area.  We will continue to pursue all leads to create a list of potential adjunct instructors.</w:t>
            </w:r>
          </w:p>
        </w:tc>
      </w:tr>
      <w:tr w:rsidR="005F70D8" w:rsidRPr="0037786D" w:rsidTr="001A2E6B">
        <w:tc>
          <w:tcPr>
            <w:tcW w:w="3708" w:type="dxa"/>
          </w:tcPr>
          <w:p w:rsidR="005F70D8" w:rsidRDefault="005F70D8" w:rsidP="005F70D8">
            <w:pPr>
              <w:autoSpaceDE w:val="0"/>
              <w:autoSpaceDN w:val="0"/>
              <w:adjustRightInd w:val="0"/>
              <w:rPr>
                <w:rFonts w:ascii="Arial" w:hAnsi="Arial" w:cs="Arial"/>
                <w:color w:val="000000"/>
              </w:rPr>
            </w:pPr>
            <w:r>
              <w:rPr>
                <w:rFonts w:ascii="Arial" w:hAnsi="Arial" w:cs="Arial"/>
                <w:color w:val="000000"/>
              </w:rPr>
              <w:t>As experienced faculty members consider retirement, it is recommended that the department develop formal approaches for documenting their knowledge so that as much as possible is preserved before these faculty members transition out of the department.</w:t>
            </w:r>
          </w:p>
          <w:p w:rsidR="005F70D8" w:rsidRPr="001F53A8" w:rsidRDefault="005F70D8" w:rsidP="00D850D0">
            <w:pPr>
              <w:rPr>
                <w:rFonts w:ascii="Arial" w:hAnsi="Arial" w:cs="Arial"/>
              </w:rPr>
            </w:pPr>
          </w:p>
        </w:tc>
        <w:tc>
          <w:tcPr>
            <w:tcW w:w="2700" w:type="dxa"/>
          </w:tcPr>
          <w:p w:rsidR="005F70D8" w:rsidRDefault="005F70D8" w:rsidP="007A151D">
            <w:pPr>
              <w:pStyle w:val="ListParagraph"/>
              <w:ind w:left="0"/>
              <w:rPr>
                <w:rFonts w:ascii="Arial" w:hAnsi="Arial" w:cs="Arial"/>
                <w:color w:val="000000" w:themeColor="text1"/>
              </w:rPr>
            </w:pPr>
          </w:p>
          <w:p w:rsidR="0028439B" w:rsidRDefault="0028439B" w:rsidP="0028439B">
            <w:pPr>
              <w:pStyle w:val="ListParagraph"/>
              <w:ind w:left="0"/>
              <w:rPr>
                <w:rFonts w:ascii="Arial" w:hAnsi="Arial" w:cs="Arial"/>
                <w:color w:val="000000" w:themeColor="text1"/>
              </w:rPr>
            </w:pPr>
            <w:r>
              <w:rPr>
                <w:rFonts w:ascii="Arial" w:hAnsi="Arial" w:cs="Arial"/>
                <w:color w:val="000000" w:themeColor="text1"/>
              </w:rPr>
              <w:t xml:space="preserve">In progress </w:t>
            </w:r>
            <w:r w:rsidR="00364869">
              <w:fldChar w:fldCharType="begin">
                <w:ffData>
                  <w:name w:val=""/>
                  <w:enabled/>
                  <w:calcOnExit w:val="0"/>
                  <w:checkBox>
                    <w:sizeAuto/>
                    <w:default w:val="1"/>
                  </w:checkBox>
                </w:ffData>
              </w:fldChar>
            </w:r>
            <w:r w:rsidR="00364869">
              <w:instrText xml:space="preserve"> FORMCHECKBOX </w:instrText>
            </w:r>
            <w:r w:rsidR="00571AA8">
              <w:fldChar w:fldCharType="separate"/>
            </w:r>
            <w:r w:rsidR="00364869">
              <w:fldChar w:fldCharType="end"/>
            </w:r>
          </w:p>
          <w:p w:rsidR="0028439B" w:rsidRDefault="0028439B" w:rsidP="0028439B">
            <w:pPr>
              <w:pStyle w:val="ListParagraph"/>
              <w:ind w:left="0"/>
              <w:rPr>
                <w:rFonts w:ascii="Arial" w:hAnsi="Arial" w:cs="Arial"/>
                <w:color w:val="000000" w:themeColor="text1"/>
              </w:rPr>
            </w:pPr>
          </w:p>
          <w:p w:rsidR="0028439B" w:rsidRDefault="0028439B" w:rsidP="0028439B">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571AA8">
              <w:fldChar w:fldCharType="separate"/>
            </w:r>
            <w:r>
              <w:fldChar w:fldCharType="end"/>
            </w:r>
          </w:p>
          <w:p w:rsidR="0028439B" w:rsidRDefault="0028439B" w:rsidP="0028439B">
            <w:pPr>
              <w:pStyle w:val="ListParagraph"/>
              <w:ind w:left="0"/>
              <w:rPr>
                <w:rFonts w:ascii="Arial" w:hAnsi="Arial" w:cs="Arial"/>
                <w:color w:val="000000" w:themeColor="text1"/>
              </w:rPr>
            </w:pPr>
          </w:p>
          <w:p w:rsidR="0028439B" w:rsidRDefault="0028439B" w:rsidP="0028439B">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571AA8">
              <w:fldChar w:fldCharType="separate"/>
            </w:r>
            <w:r>
              <w:fldChar w:fldCharType="end"/>
            </w:r>
          </w:p>
          <w:p w:rsidR="005F70D8" w:rsidRPr="0037786D" w:rsidRDefault="005F70D8" w:rsidP="007A151D">
            <w:pPr>
              <w:pStyle w:val="ListParagraph"/>
              <w:ind w:left="0"/>
              <w:rPr>
                <w:rFonts w:ascii="Arial" w:hAnsi="Arial" w:cs="Arial"/>
                <w:color w:val="000000" w:themeColor="text1"/>
              </w:rPr>
            </w:pPr>
          </w:p>
        </w:tc>
        <w:tc>
          <w:tcPr>
            <w:tcW w:w="6480" w:type="dxa"/>
          </w:tcPr>
          <w:p w:rsidR="005F70D8" w:rsidRDefault="00364869">
            <w:r w:rsidRPr="00364869">
              <w:t xml:space="preserve">We are </w:t>
            </w:r>
            <w:r>
              <w:t>in the final stages of creating</w:t>
            </w:r>
            <w:r w:rsidRPr="00364869">
              <w:t xml:space="preserve"> documents for </w:t>
            </w:r>
            <w:r>
              <w:t xml:space="preserve">the first semester of </w:t>
            </w:r>
            <w:r w:rsidR="00B25C52">
              <w:t>Introductory and General Chemistry</w:t>
            </w:r>
            <w:r>
              <w:t>.  These documents define</w:t>
            </w:r>
            <w:r w:rsidRPr="00364869">
              <w:t xml:space="preserve"> the concepts </w:t>
            </w:r>
            <w:r>
              <w:t xml:space="preserve">that must be </w:t>
            </w:r>
            <w:r w:rsidRPr="00364869">
              <w:t>completed by the end of the term</w:t>
            </w:r>
            <w:r>
              <w:t>, those that can be included at the instructor’s discretion, and topics considered to be beyond the scope of the course.  A list of available demonstration kits are inclu</w:t>
            </w:r>
            <w:r w:rsidRPr="00364869">
              <w:t xml:space="preserve">ded with </w:t>
            </w:r>
            <w:r>
              <w:t xml:space="preserve">each document as are </w:t>
            </w:r>
            <w:r w:rsidRPr="00364869">
              <w:t xml:space="preserve">other suggestions for concept presentation.  These documents will be made available to each instructor to guide their individual classroom preparation.  </w:t>
            </w:r>
            <w:r>
              <w:t xml:space="preserve">They are also </w:t>
            </w:r>
            <w:r>
              <w:lastRenderedPageBreak/>
              <w:t>expected</w:t>
            </w:r>
            <w:r w:rsidRPr="00364869">
              <w:t xml:space="preserve"> to minimize the instructional variability between sections yet allow for some variation in emphasis based on the individual instructor's interests.</w:t>
            </w:r>
          </w:p>
        </w:tc>
      </w:tr>
      <w:tr w:rsidR="005F70D8" w:rsidRPr="0037786D" w:rsidTr="001A2E6B">
        <w:tc>
          <w:tcPr>
            <w:tcW w:w="3708" w:type="dxa"/>
          </w:tcPr>
          <w:p w:rsidR="005F70D8" w:rsidRPr="003A7DB9" w:rsidRDefault="005F70D8" w:rsidP="005F70D8">
            <w:pPr>
              <w:autoSpaceDE w:val="0"/>
              <w:autoSpaceDN w:val="0"/>
              <w:adjustRightInd w:val="0"/>
              <w:rPr>
                <w:rFonts w:ascii="Arial" w:hAnsi="Arial" w:cs="Arial"/>
                <w:color w:val="000000"/>
              </w:rPr>
            </w:pPr>
            <w:r>
              <w:rPr>
                <w:rFonts w:ascii="Arial" w:hAnsi="Arial" w:cs="Arial"/>
                <w:color w:val="000000"/>
              </w:rPr>
              <w:lastRenderedPageBreak/>
              <w:t xml:space="preserve">The Program Review is an opportunity to highlight department successes, innovations, and strengths – it was the sense of the review team that there are a number of impressive things the department is doing and a number of faculty achievements that were not communicated in the self-study.  The department should utilize the Program Review and Annual Update processes to spotlight its strengths.  Prior to future Annual Update and Program Review submissions, the department should engage in some deep reflection regarding successes that should be shared.  The review team also felt that there could have been more reflection regarding opportunities for improvement in the department.  While some challenges were mentioned, often solutions were not proposed or discussed in the self-study.  The review team requests that the department conduct a more extensive </w:t>
            </w:r>
            <w:r>
              <w:rPr>
                <w:rFonts w:ascii="Arial" w:hAnsi="Arial" w:cs="Arial"/>
                <w:color w:val="000000"/>
              </w:rPr>
              <w:lastRenderedPageBreak/>
              <w:t>Strengths/Weaknesses/Opportunities/Threats analysis and share it with the Provost’s Office within the next three months to ensure that the department is able to benefit from the self-assessment and thoughtful reflection that are one of the major benefits of the Program Review process and that should guide the development of the self-study.   The self-study document isn’t really the end product of Program Review – the opportunity for departmental self-reflection and improvement is really what the process is designed to produce.</w:t>
            </w:r>
          </w:p>
          <w:p w:rsidR="005F70D8" w:rsidRPr="001F53A8" w:rsidRDefault="005F70D8" w:rsidP="00D850D0">
            <w:pPr>
              <w:rPr>
                <w:rFonts w:ascii="Arial" w:hAnsi="Arial" w:cs="Arial"/>
              </w:rPr>
            </w:pPr>
          </w:p>
        </w:tc>
        <w:tc>
          <w:tcPr>
            <w:tcW w:w="2700" w:type="dxa"/>
          </w:tcPr>
          <w:p w:rsidR="005F70D8" w:rsidRDefault="005F70D8" w:rsidP="007A151D">
            <w:pPr>
              <w:pStyle w:val="ListParagraph"/>
              <w:ind w:left="0"/>
              <w:rPr>
                <w:rFonts w:ascii="Arial" w:hAnsi="Arial" w:cs="Arial"/>
                <w:color w:val="000000" w:themeColor="text1"/>
              </w:rPr>
            </w:pPr>
          </w:p>
          <w:p w:rsidR="0028439B" w:rsidRDefault="0028439B" w:rsidP="0028439B">
            <w:pPr>
              <w:pStyle w:val="ListParagraph"/>
              <w:ind w:left="0"/>
              <w:rPr>
                <w:rFonts w:ascii="Arial" w:hAnsi="Arial" w:cs="Arial"/>
                <w:color w:val="000000" w:themeColor="text1"/>
              </w:rPr>
            </w:pPr>
            <w:r>
              <w:rPr>
                <w:rFonts w:ascii="Arial" w:hAnsi="Arial" w:cs="Arial"/>
                <w:color w:val="000000" w:themeColor="text1"/>
              </w:rPr>
              <w:t xml:space="preserve">In progress </w:t>
            </w:r>
            <w:r w:rsidR="00A63368">
              <w:fldChar w:fldCharType="begin">
                <w:ffData>
                  <w:name w:val=""/>
                  <w:enabled/>
                  <w:calcOnExit w:val="0"/>
                  <w:checkBox>
                    <w:sizeAuto/>
                    <w:default w:val="1"/>
                  </w:checkBox>
                </w:ffData>
              </w:fldChar>
            </w:r>
            <w:r w:rsidR="00A63368">
              <w:instrText xml:space="preserve"> FORMCHECKBOX </w:instrText>
            </w:r>
            <w:r w:rsidR="00571AA8">
              <w:fldChar w:fldCharType="separate"/>
            </w:r>
            <w:r w:rsidR="00A63368">
              <w:fldChar w:fldCharType="end"/>
            </w:r>
          </w:p>
          <w:p w:rsidR="0028439B" w:rsidRDefault="0028439B" w:rsidP="0028439B">
            <w:pPr>
              <w:pStyle w:val="ListParagraph"/>
              <w:ind w:left="0"/>
              <w:rPr>
                <w:rFonts w:ascii="Arial" w:hAnsi="Arial" w:cs="Arial"/>
                <w:color w:val="000000" w:themeColor="text1"/>
              </w:rPr>
            </w:pPr>
          </w:p>
          <w:p w:rsidR="0028439B" w:rsidRDefault="0028439B" w:rsidP="0028439B">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571AA8">
              <w:fldChar w:fldCharType="separate"/>
            </w:r>
            <w:r>
              <w:fldChar w:fldCharType="end"/>
            </w:r>
          </w:p>
          <w:p w:rsidR="0028439B" w:rsidRDefault="0028439B" w:rsidP="0028439B">
            <w:pPr>
              <w:pStyle w:val="ListParagraph"/>
              <w:ind w:left="0"/>
              <w:rPr>
                <w:rFonts w:ascii="Arial" w:hAnsi="Arial" w:cs="Arial"/>
                <w:color w:val="000000" w:themeColor="text1"/>
              </w:rPr>
            </w:pPr>
          </w:p>
          <w:p w:rsidR="0028439B" w:rsidRDefault="0028439B" w:rsidP="0028439B">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571AA8">
              <w:fldChar w:fldCharType="separate"/>
            </w:r>
            <w:r>
              <w:fldChar w:fldCharType="end"/>
            </w:r>
          </w:p>
          <w:p w:rsidR="005F70D8" w:rsidRPr="0037786D" w:rsidRDefault="005F70D8" w:rsidP="007A151D">
            <w:pPr>
              <w:pStyle w:val="ListParagraph"/>
              <w:ind w:left="0"/>
              <w:rPr>
                <w:rFonts w:ascii="Arial" w:hAnsi="Arial" w:cs="Arial"/>
                <w:color w:val="000000" w:themeColor="text1"/>
              </w:rPr>
            </w:pPr>
          </w:p>
        </w:tc>
        <w:tc>
          <w:tcPr>
            <w:tcW w:w="6480" w:type="dxa"/>
          </w:tcPr>
          <w:p w:rsidR="005F70D8" w:rsidRDefault="00A63368" w:rsidP="00AB0E32">
            <w:r>
              <w:t>This is still in discussion.</w:t>
            </w:r>
          </w:p>
        </w:tc>
      </w:tr>
    </w:tbl>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tbl>
      <w:tblPr>
        <w:tblStyle w:val="TableGrid"/>
        <w:tblpPr w:leftFromText="180" w:rightFromText="180" w:vertAnchor="page" w:horzAnchor="margin" w:tblpY="3751"/>
        <w:tblW w:w="13135" w:type="dxa"/>
        <w:shd w:val="clear" w:color="auto" w:fill="FFFFFF"/>
        <w:tblLayout w:type="fixed"/>
        <w:tblCellMar>
          <w:left w:w="115" w:type="dxa"/>
          <w:right w:w="115" w:type="dxa"/>
        </w:tblCellMar>
        <w:tblLook w:val="01E0" w:firstRow="1" w:lastRow="1" w:firstColumn="1" w:lastColumn="1" w:noHBand="0" w:noVBand="0"/>
      </w:tblPr>
      <w:tblGrid>
        <w:gridCol w:w="2589"/>
        <w:gridCol w:w="10546"/>
      </w:tblGrid>
      <w:tr w:rsidR="006D29EE" w:rsidTr="00004799">
        <w:trPr>
          <w:trHeight w:val="440"/>
        </w:trPr>
        <w:tc>
          <w:tcPr>
            <w:tcW w:w="13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6D29EE" w:rsidRDefault="006D29EE" w:rsidP="00004799">
            <w:r>
              <w:lastRenderedPageBreak/>
              <w:t>Please respond to the following items regarding external program accreditation.</w:t>
            </w:r>
          </w:p>
          <w:p w:rsidR="006D29EE" w:rsidRDefault="006D29EE" w:rsidP="00004799">
            <w:pPr>
              <w:pStyle w:val="ListParagraph"/>
              <w:ind w:left="0"/>
              <w:rPr>
                <w:rFonts w:ascii="Arial" w:hAnsi="Arial" w:cs="Arial"/>
                <w:color w:val="000000" w:themeColor="text1"/>
              </w:rPr>
            </w:pPr>
          </w:p>
        </w:tc>
      </w:tr>
      <w:tr w:rsidR="006D29EE" w:rsidTr="00004799">
        <w:trPr>
          <w:trHeight w:val="1520"/>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6D29EE" w:rsidRDefault="006D29EE" w:rsidP="00004799">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6D29EE" w:rsidRDefault="006D29EE" w:rsidP="00004799">
            <w:pPr>
              <w:pStyle w:val="ListParagraph"/>
              <w:ind w:left="0"/>
              <w:rPr>
                <w:rFonts w:ascii="Arial" w:hAnsi="Arial" w:cs="Arial"/>
                <w:color w:val="000000" w:themeColor="text1"/>
              </w:rPr>
            </w:pPr>
            <w:r>
              <w:rPr>
                <w:rFonts w:ascii="Arial" w:hAnsi="Arial" w:cs="Arial"/>
                <w:color w:val="000000" w:themeColor="text1"/>
              </w:rPr>
              <w:t>Date of most recent accreditation review:  _____________</w:t>
            </w:r>
          </w:p>
          <w:p w:rsidR="006D29EE" w:rsidRDefault="006D29EE" w:rsidP="00004799">
            <w:pPr>
              <w:pStyle w:val="ListParagraph"/>
              <w:ind w:left="0"/>
              <w:rPr>
                <w:rFonts w:ascii="Arial" w:hAnsi="Arial" w:cs="Arial"/>
                <w:color w:val="000000" w:themeColor="text1"/>
              </w:rPr>
            </w:pPr>
          </w:p>
          <w:p w:rsidR="006D29EE" w:rsidRPr="00901FB3" w:rsidRDefault="006D29EE" w:rsidP="00004799">
            <w:pPr>
              <w:pStyle w:val="ListParagraph"/>
              <w:ind w:left="0"/>
              <w:rPr>
                <w:rFonts w:ascii="Arial" w:hAnsi="Arial" w:cs="Arial"/>
                <w:b/>
                <w:color w:val="000000" w:themeColor="text1"/>
              </w:rPr>
            </w:pPr>
            <w:r w:rsidRPr="00901FB3">
              <w:rPr>
                <w:rFonts w:ascii="Arial" w:hAnsi="Arial" w:cs="Arial"/>
                <w:b/>
                <w:color w:val="000000" w:themeColor="text1"/>
              </w:rPr>
              <w:t>OR</w:t>
            </w:r>
          </w:p>
          <w:p w:rsidR="006D29EE" w:rsidRDefault="006D29EE" w:rsidP="00004799">
            <w:pPr>
              <w:pStyle w:val="ListParagraph"/>
              <w:ind w:left="0"/>
              <w:rPr>
                <w:rFonts w:ascii="Arial" w:hAnsi="Arial" w:cs="Arial"/>
                <w:color w:val="000000" w:themeColor="text1"/>
              </w:rPr>
            </w:pPr>
          </w:p>
          <w:p w:rsidR="006D29EE" w:rsidRDefault="00364869" w:rsidP="00004799">
            <w:pPr>
              <w:pStyle w:val="ListParagraph"/>
              <w:ind w:left="0"/>
              <w:rPr>
                <w:rFonts w:ascii="Arial" w:hAnsi="Arial" w:cs="Arial"/>
                <w:color w:val="000000" w:themeColor="text1"/>
              </w:rPr>
            </w:pPr>
            <w:r>
              <w:fldChar w:fldCharType="begin">
                <w:ffData>
                  <w:name w:val=""/>
                  <w:enabled/>
                  <w:calcOnExit w:val="0"/>
                  <w:checkBox>
                    <w:sizeAuto/>
                    <w:default w:val="1"/>
                  </w:checkBox>
                </w:ffData>
              </w:fldChar>
            </w:r>
            <w:r>
              <w:instrText xml:space="preserve"> FORMCHECKBOX </w:instrText>
            </w:r>
            <w:r w:rsidR="00571AA8">
              <w:fldChar w:fldCharType="separate"/>
            </w:r>
            <w:r>
              <w:fldChar w:fldCharType="end"/>
            </w:r>
            <w:r w:rsidR="006D29EE">
              <w:t xml:space="preserve">   </w:t>
            </w:r>
            <w:r w:rsidR="006D29EE">
              <w:rPr>
                <w:rFonts w:ascii="Arial" w:hAnsi="Arial" w:cs="Arial"/>
                <w:color w:val="000000" w:themeColor="text1"/>
              </w:rPr>
              <w:t xml:space="preserve">Programs in this department do not have external accreditation </w:t>
            </w:r>
          </w:p>
          <w:p w:rsidR="006D29EE" w:rsidRDefault="006D29EE" w:rsidP="00004799">
            <w:pPr>
              <w:rPr>
                <w:rFonts w:asciiTheme="minorHAnsi" w:hAnsiTheme="minorHAnsi" w:cs="Arial"/>
                <w:color w:val="000000" w:themeColor="text1"/>
                <w:sz w:val="20"/>
              </w:rPr>
            </w:pPr>
          </w:p>
        </w:tc>
      </w:tr>
      <w:tr w:rsidR="006D29EE" w:rsidTr="00004799">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6D29EE" w:rsidRDefault="006D29EE" w:rsidP="00004799">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D29EE" w:rsidRDefault="006D29EE" w:rsidP="00004799">
            <w:pPr>
              <w:rPr>
                <w:rFonts w:asciiTheme="minorHAnsi" w:hAnsiTheme="minorHAnsi" w:cs="Arial"/>
                <w:color w:val="000000" w:themeColor="text1"/>
                <w:sz w:val="20"/>
              </w:rPr>
            </w:pPr>
          </w:p>
        </w:tc>
      </w:tr>
      <w:tr w:rsidR="006D29EE" w:rsidTr="00004799">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6D29EE" w:rsidRDefault="006D29EE" w:rsidP="00004799">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D29EE" w:rsidRDefault="006D29EE" w:rsidP="00004799">
            <w:pPr>
              <w:rPr>
                <w:rFonts w:asciiTheme="minorHAnsi" w:hAnsiTheme="minorHAnsi" w:cs="Arial"/>
                <w:color w:val="000000" w:themeColor="text1"/>
                <w:sz w:val="20"/>
              </w:rPr>
            </w:pPr>
          </w:p>
        </w:tc>
      </w:tr>
    </w:tbl>
    <w:p w:rsidR="006D29EE" w:rsidRDefault="006D29EE" w:rsidP="00B034D3">
      <w:pPr>
        <w:rPr>
          <w:rFonts w:ascii="Arial" w:hAnsi="Arial" w:cs="Arial"/>
          <w:b/>
          <w:color w:val="000000" w:themeColor="text1"/>
          <w:sz w:val="20"/>
          <w:szCs w:val="20"/>
          <w:u w:val="single"/>
        </w:rPr>
        <w:sectPr w:rsidR="006D29EE" w:rsidSect="00EF15CD">
          <w:pgSz w:w="15840" w:h="12240" w:orient="landscape"/>
          <w:pgMar w:top="1440" w:right="1152" w:bottom="1440" w:left="1152" w:header="720" w:footer="288" w:gutter="0"/>
          <w:cols w:space="720"/>
          <w:docGrid w:linePitch="360"/>
        </w:sectPr>
      </w:pPr>
    </w:p>
    <w:p w:rsidR="006E33A9" w:rsidRDefault="006E33A9" w:rsidP="006E33A9">
      <w:pPr>
        <w:rPr>
          <w:rFonts w:ascii="Arial" w:hAnsi="Arial" w:cs="Arial"/>
          <w:b/>
          <w:color w:val="000000"/>
          <w:sz w:val="20"/>
          <w:szCs w:val="20"/>
          <w:u w:val="single"/>
        </w:rPr>
      </w:pPr>
      <w:r>
        <w:rPr>
          <w:rFonts w:ascii="Arial" w:hAnsi="Arial" w:cs="Arial"/>
          <w:b/>
          <w:color w:val="000000"/>
          <w:sz w:val="20"/>
          <w:szCs w:val="20"/>
          <w:u w:val="single"/>
        </w:rPr>
        <w:lastRenderedPageBreak/>
        <w:t>Section III: Assessment of General Education &amp; Degree Program Outcomes</w:t>
      </w:r>
    </w:p>
    <w:p w:rsidR="006E33A9" w:rsidRDefault="006E33A9" w:rsidP="006E33A9">
      <w:pPr>
        <w:rPr>
          <w:rFonts w:ascii="Arial" w:hAnsi="Arial" w:cs="Arial"/>
          <w:color w:val="000000"/>
          <w:sz w:val="20"/>
          <w:szCs w:val="20"/>
        </w:rPr>
      </w:pPr>
    </w:p>
    <w:p w:rsidR="006E33A9" w:rsidRDefault="006E33A9" w:rsidP="006E33A9">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rsidR="006E33A9" w:rsidRDefault="006E33A9" w:rsidP="006E33A9">
      <w:pPr>
        <w:rPr>
          <w:rFonts w:ascii="Arial" w:hAnsi="Arial" w:cs="Arial"/>
          <w:color w:val="000000"/>
          <w:sz w:val="20"/>
          <w:szCs w:val="20"/>
        </w:rPr>
      </w:pPr>
    </w:p>
    <w:p w:rsidR="006E33A9" w:rsidRDefault="006E33A9" w:rsidP="006E33A9">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6E33A9" w:rsidRDefault="006E33A9" w:rsidP="006E33A9">
      <w:pPr>
        <w:rPr>
          <w:rFonts w:ascii="Arial" w:hAnsi="Arial" w:cs="Arial"/>
          <w:b/>
          <w:color w:val="FF0000"/>
          <w:sz w:val="20"/>
          <w:szCs w:val="20"/>
        </w:rPr>
      </w:pPr>
    </w:p>
    <w:p w:rsidR="006E33A9" w:rsidRDefault="006E33A9" w:rsidP="006E33A9">
      <w:pPr>
        <w:pStyle w:val="ListParagraph"/>
        <w:numPr>
          <w:ilvl w:val="0"/>
          <w:numId w:val="23"/>
        </w:numPr>
        <w:rPr>
          <w:rFonts w:ascii="Arial" w:hAnsi="Arial" w:cs="Arial"/>
          <w:b/>
          <w:color w:val="FF0000"/>
          <w:sz w:val="20"/>
          <w:szCs w:val="20"/>
        </w:rPr>
      </w:pPr>
      <w:r>
        <w:rPr>
          <w:rFonts w:ascii="Arial" w:hAnsi="Arial" w:cs="Arial"/>
          <w:b/>
          <w:color w:val="FF0000"/>
          <w:sz w:val="20"/>
          <w:szCs w:val="20"/>
        </w:rPr>
        <w:t xml:space="preserve">CRITICAL THINKING/PROBLEM SOLVING </w:t>
      </w:r>
    </w:p>
    <w:p w:rsidR="006E33A9" w:rsidRDefault="006E33A9" w:rsidP="006E33A9">
      <w:pPr>
        <w:pStyle w:val="ListParagraph"/>
        <w:numPr>
          <w:ilvl w:val="0"/>
          <w:numId w:val="23"/>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rsidR="006E33A9" w:rsidRDefault="006E33A9" w:rsidP="006E33A9">
      <w:pPr>
        <w:pStyle w:val="ListParagraph"/>
        <w:numPr>
          <w:ilvl w:val="0"/>
          <w:numId w:val="23"/>
        </w:numPr>
        <w:rPr>
          <w:rFonts w:ascii="Arial" w:hAnsi="Arial" w:cs="Arial"/>
          <w:b/>
          <w:color w:val="FF0000"/>
          <w:sz w:val="20"/>
          <w:szCs w:val="20"/>
        </w:rPr>
      </w:pPr>
      <w:r>
        <w:rPr>
          <w:rFonts w:ascii="Arial" w:hAnsi="Arial" w:cs="Arial"/>
          <w:b/>
          <w:color w:val="FF0000"/>
          <w:sz w:val="20"/>
          <w:szCs w:val="20"/>
        </w:rPr>
        <w:t xml:space="preserve">COMPUTER LITERACY </w:t>
      </w:r>
    </w:p>
    <w:p w:rsidR="006E33A9" w:rsidRDefault="006E33A9" w:rsidP="006E33A9">
      <w:pPr>
        <w:rPr>
          <w:rFonts w:ascii="Arial" w:hAnsi="Arial" w:cs="Arial"/>
          <w:b/>
          <w:color w:val="FF0000"/>
          <w:sz w:val="20"/>
          <w:szCs w:val="20"/>
        </w:rPr>
      </w:pPr>
    </w:p>
    <w:p w:rsidR="006E33A9" w:rsidRDefault="006E33A9" w:rsidP="006E33A9">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6E33A9" w:rsidRDefault="006E33A9" w:rsidP="006E33A9">
      <w:pPr>
        <w:rPr>
          <w:rFonts w:ascii="Arial" w:hAnsi="Arial" w:cs="Arial"/>
          <w:b/>
          <w:color w:val="FF0000"/>
          <w:sz w:val="20"/>
          <w:szCs w:val="20"/>
        </w:rPr>
      </w:pPr>
    </w:p>
    <w:p w:rsidR="006E33A9" w:rsidRDefault="006E33A9" w:rsidP="006E33A9">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rsidR="006E33A9" w:rsidRDefault="006E33A9" w:rsidP="006E33A9">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6E33A9" w:rsidTr="006E33A9">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E33A9" w:rsidRDefault="006E33A9">
            <w:pPr>
              <w:spacing w:line="256" w:lineRule="auto"/>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rsidR="006E33A9" w:rsidRDefault="006E33A9">
            <w:pPr>
              <w:spacing w:line="256" w:lineRule="auto"/>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6E33A9" w:rsidRDefault="006E33A9">
            <w:pPr>
              <w:spacing w:line="256" w:lineRule="auto"/>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E33A9" w:rsidRDefault="006E33A9">
            <w:pPr>
              <w:spacing w:line="256" w:lineRule="auto"/>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rsidR="006E33A9" w:rsidRDefault="006E33A9">
            <w:pPr>
              <w:spacing w:line="256" w:lineRule="auto"/>
              <w:jc w:val="center"/>
              <w:rPr>
                <w:rFonts w:ascii="Calibri" w:hAnsi="Calibri" w:cs="Arial"/>
                <w:color w:val="000000"/>
                <w:sz w:val="2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rsidR="006E33A9" w:rsidRDefault="006E33A9">
            <w:pPr>
              <w:spacing w:line="256" w:lineRule="auto"/>
              <w:jc w:val="center"/>
              <w:rPr>
                <w:rFonts w:ascii="Calibri" w:hAnsi="Calibri" w:cs="Arial"/>
                <w:color w:val="000000"/>
                <w:sz w:val="20"/>
              </w:rPr>
            </w:pPr>
            <w:r>
              <w:rPr>
                <w:rFonts w:ascii="Calibri" w:hAnsi="Calibri" w:cs="Arial"/>
                <w:color w:val="000000"/>
                <w:sz w:val="20"/>
              </w:rPr>
              <w:t>What were the assessment results for this General Education competency?</w:t>
            </w:r>
          </w:p>
          <w:p w:rsidR="006E33A9" w:rsidRDefault="006E33A9">
            <w:pPr>
              <w:spacing w:line="256" w:lineRule="auto"/>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rsidR="006E33A9" w:rsidRDefault="006E33A9">
            <w:pPr>
              <w:spacing w:line="256" w:lineRule="auto"/>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6E33A9" w:rsidTr="006E33A9">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E33A9" w:rsidRDefault="006E33A9">
            <w:pPr>
              <w:tabs>
                <w:tab w:val="left" w:pos="5040"/>
              </w:tabs>
              <w:spacing w:line="256" w:lineRule="auto"/>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6E33A9" w:rsidRDefault="00390655">
            <w:pPr>
              <w:spacing w:line="256" w:lineRule="auto"/>
              <w:jc w:val="center"/>
              <w:rPr>
                <w:rFonts w:ascii="Calibri" w:hAnsi="Calibri"/>
              </w:rPr>
            </w:pPr>
            <w:r>
              <w:rPr>
                <w:rFonts w:ascii="Calibri" w:hAnsi="Calibri" w:cs="Arial"/>
                <w:color w:val="000000"/>
              </w:rPr>
              <w:t>CHEE.S.AS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6E33A9" w:rsidRDefault="006E33A9">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390655" w:rsidRDefault="00390655" w:rsidP="001136BA">
            <w:pPr>
              <w:ind w:left="72"/>
              <w:rPr>
                <w:rFonts w:ascii="Calibri" w:hAnsi="Calibri" w:cs="Arial"/>
                <w:color w:val="000000"/>
              </w:rPr>
            </w:pPr>
            <w:r>
              <w:rPr>
                <w:rFonts w:ascii="Calibri" w:hAnsi="Calibri" w:cs="Arial"/>
                <w:color w:val="000000"/>
              </w:rPr>
              <w:t>General Chemistry</w:t>
            </w:r>
          </w:p>
          <w:p w:rsidR="00390655" w:rsidRDefault="00390655" w:rsidP="001136BA">
            <w:pPr>
              <w:ind w:left="72"/>
              <w:rPr>
                <w:rFonts w:ascii="Calibri" w:hAnsi="Calibri" w:cs="Arial"/>
                <w:color w:val="000000"/>
              </w:rPr>
            </w:pPr>
            <w:r>
              <w:rPr>
                <w:rFonts w:ascii="Calibri" w:hAnsi="Calibri" w:cs="Arial"/>
                <w:color w:val="000000"/>
              </w:rPr>
              <w:t>CHE 1211/1251</w:t>
            </w:r>
            <w:r w:rsidR="001136BA">
              <w:rPr>
                <w:rFonts w:ascii="Calibri" w:hAnsi="Calibri" w:cs="Arial"/>
                <w:color w:val="000000"/>
              </w:rPr>
              <w:t xml:space="preserve"> and </w:t>
            </w:r>
            <w:r>
              <w:rPr>
                <w:rFonts w:ascii="Calibri" w:hAnsi="Calibri" w:cs="Arial"/>
                <w:color w:val="000000"/>
              </w:rPr>
              <w:t>CHE 1221/1261</w:t>
            </w:r>
          </w:p>
          <w:p w:rsidR="00390655" w:rsidRDefault="00390655" w:rsidP="001136BA">
            <w:pPr>
              <w:ind w:left="72"/>
              <w:rPr>
                <w:rFonts w:ascii="Calibri" w:hAnsi="Calibri" w:cs="Arial"/>
                <w:color w:val="000000"/>
              </w:rPr>
            </w:pPr>
          </w:p>
          <w:p w:rsidR="00390655" w:rsidRDefault="001136BA" w:rsidP="00390655">
            <w:pPr>
              <w:ind w:left="72"/>
              <w:rPr>
                <w:rFonts w:ascii="Calibri" w:hAnsi="Calibri" w:cs="Arial"/>
                <w:color w:val="000000"/>
              </w:rPr>
            </w:pPr>
            <w:r>
              <w:rPr>
                <w:rFonts w:ascii="Calibri" w:hAnsi="Calibri" w:cs="Arial"/>
                <w:color w:val="000000"/>
              </w:rPr>
              <w:t xml:space="preserve">Organic Chemistry </w:t>
            </w:r>
          </w:p>
          <w:p w:rsidR="00390655" w:rsidRDefault="00390655" w:rsidP="00390655">
            <w:pPr>
              <w:ind w:left="72"/>
              <w:rPr>
                <w:rFonts w:ascii="Calibri" w:hAnsi="Calibri" w:cs="Arial"/>
                <w:color w:val="000000"/>
              </w:rPr>
            </w:pPr>
            <w:r>
              <w:rPr>
                <w:rFonts w:ascii="Calibri" w:hAnsi="Calibri" w:cs="Arial"/>
                <w:color w:val="000000"/>
              </w:rPr>
              <w:t>CHE 2111/2151 and</w:t>
            </w:r>
          </w:p>
          <w:p w:rsidR="006E33A9" w:rsidRDefault="00390655" w:rsidP="00390655">
            <w:pPr>
              <w:ind w:left="72"/>
              <w:rPr>
                <w:rFonts w:ascii="Calibri" w:hAnsi="Calibri" w:cs="Arial"/>
                <w:color w:val="000000"/>
              </w:rPr>
            </w:pPr>
            <w:r>
              <w:rPr>
                <w:rFonts w:ascii="Calibri" w:hAnsi="Calibri" w:cs="Arial"/>
                <w:color w:val="000000"/>
              </w:rPr>
              <w:t>CHE 2121/2161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894E3C" w:rsidRDefault="00BB602B" w:rsidP="00390655">
            <w:pPr>
              <w:spacing w:line="256" w:lineRule="auto"/>
              <w:rPr>
                <w:rFonts w:ascii="Calibri" w:hAnsi="Calibri" w:cs="Arial"/>
                <w:color w:val="000000"/>
              </w:rPr>
            </w:pPr>
            <w:r>
              <w:rPr>
                <w:rFonts w:ascii="Calibri" w:hAnsi="Calibri" w:cs="Arial"/>
                <w:color w:val="000000"/>
              </w:rPr>
              <w:t>Ne</w:t>
            </w:r>
            <w:r w:rsidR="00740079">
              <w:rPr>
                <w:rFonts w:ascii="Calibri" w:hAnsi="Calibri" w:cs="Arial"/>
                <w:color w:val="000000"/>
              </w:rPr>
              <w:t>arly 80</w:t>
            </w:r>
            <w:r w:rsidR="00894E3C">
              <w:rPr>
                <w:rFonts w:ascii="Calibri" w:hAnsi="Calibri" w:cs="Arial"/>
                <w:color w:val="000000"/>
              </w:rPr>
              <w:t>% of the final exams for the General Chemistry sequence (CHE 1211/1221) requires critical thinking/problem solving skills.  This increases to 100% for the Organic Chemistry courses.</w:t>
            </w:r>
          </w:p>
        </w:tc>
      </w:tr>
      <w:tr w:rsidR="006E33A9" w:rsidTr="006E33A9">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E33A9" w:rsidRDefault="006E33A9">
            <w:pPr>
              <w:tabs>
                <w:tab w:val="left" w:pos="5040"/>
              </w:tabs>
              <w:spacing w:line="256" w:lineRule="auto"/>
              <w:rPr>
                <w:rFonts w:ascii="Calibri" w:hAnsi="Calibri" w:cs="Arial"/>
              </w:rPr>
            </w:pPr>
            <w:r>
              <w:rPr>
                <w:rFonts w:ascii="Calibri" w:hAnsi="Calibri" w:cs="Arial"/>
              </w:rPr>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6E33A9" w:rsidRDefault="00E779AA">
            <w:pPr>
              <w:spacing w:line="256" w:lineRule="auto"/>
              <w:jc w:val="center"/>
              <w:rPr>
                <w:rFonts w:ascii="Calibri" w:hAnsi="Calibri"/>
              </w:rPr>
            </w:pPr>
            <w:r>
              <w:rPr>
                <w:rFonts w:ascii="Calibri" w:hAnsi="Calibri" w:cs="Arial"/>
                <w:color w:val="000000"/>
              </w:rPr>
              <w:t>CHEE.S.AS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6E33A9" w:rsidRDefault="006E33A9">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E779AA" w:rsidRDefault="00E779AA" w:rsidP="00E779AA">
            <w:pPr>
              <w:ind w:left="72"/>
              <w:rPr>
                <w:rFonts w:ascii="Calibri" w:hAnsi="Calibri" w:cs="Arial"/>
                <w:color w:val="000000"/>
              </w:rPr>
            </w:pPr>
            <w:r>
              <w:rPr>
                <w:rFonts w:ascii="Calibri" w:hAnsi="Calibri" w:cs="Arial"/>
                <w:color w:val="000000"/>
              </w:rPr>
              <w:t>General Chemistry</w:t>
            </w:r>
          </w:p>
          <w:p w:rsidR="00E779AA" w:rsidRDefault="00E779AA" w:rsidP="00E779AA">
            <w:pPr>
              <w:ind w:left="72"/>
              <w:rPr>
                <w:rFonts w:ascii="Calibri" w:hAnsi="Calibri" w:cs="Arial"/>
                <w:color w:val="000000"/>
              </w:rPr>
            </w:pPr>
            <w:r>
              <w:rPr>
                <w:rFonts w:ascii="Calibri" w:hAnsi="Calibri" w:cs="Arial"/>
                <w:color w:val="000000"/>
              </w:rPr>
              <w:t>CHE 1221/1261</w:t>
            </w:r>
          </w:p>
          <w:p w:rsidR="00E779AA" w:rsidRDefault="00E779AA" w:rsidP="00E779AA">
            <w:pPr>
              <w:ind w:left="72"/>
              <w:rPr>
                <w:rFonts w:ascii="Calibri" w:hAnsi="Calibri" w:cs="Arial"/>
                <w:color w:val="000000"/>
              </w:rPr>
            </w:pPr>
          </w:p>
          <w:p w:rsidR="00E779AA" w:rsidRDefault="00E779AA" w:rsidP="00E779AA">
            <w:pPr>
              <w:ind w:left="72"/>
              <w:rPr>
                <w:rFonts w:ascii="Calibri" w:hAnsi="Calibri" w:cs="Arial"/>
                <w:color w:val="000000"/>
              </w:rPr>
            </w:pPr>
            <w:r>
              <w:rPr>
                <w:rFonts w:ascii="Calibri" w:hAnsi="Calibri" w:cs="Arial"/>
                <w:color w:val="000000"/>
              </w:rPr>
              <w:t xml:space="preserve">Organic Chemistry </w:t>
            </w:r>
          </w:p>
          <w:p w:rsidR="00E779AA" w:rsidRDefault="00E779AA" w:rsidP="00E779AA">
            <w:pPr>
              <w:ind w:left="72"/>
              <w:rPr>
                <w:rFonts w:ascii="Calibri" w:hAnsi="Calibri" w:cs="Arial"/>
                <w:color w:val="000000"/>
              </w:rPr>
            </w:pPr>
            <w:r>
              <w:rPr>
                <w:rFonts w:ascii="Calibri" w:hAnsi="Calibri" w:cs="Arial"/>
                <w:color w:val="000000"/>
              </w:rPr>
              <w:t>CHE 2111/2151 and</w:t>
            </w:r>
          </w:p>
          <w:p w:rsidR="006E33A9" w:rsidRDefault="00E779AA" w:rsidP="00E779AA">
            <w:pPr>
              <w:spacing w:line="256" w:lineRule="auto"/>
              <w:ind w:left="72"/>
              <w:rPr>
                <w:rFonts w:ascii="Calibri" w:hAnsi="Calibri" w:cs="Arial"/>
                <w:color w:val="000000"/>
              </w:rPr>
            </w:pPr>
            <w:r>
              <w:rPr>
                <w:rFonts w:ascii="Calibri" w:hAnsi="Calibri" w:cs="Arial"/>
                <w:color w:val="000000"/>
              </w:rPr>
              <w:t>CHE 2121/2161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6E33A9" w:rsidRDefault="006E33A9">
            <w:pPr>
              <w:spacing w:line="256" w:lineRule="auto"/>
              <w:ind w:left="72"/>
              <w:rPr>
                <w:rFonts w:ascii="Calibri" w:hAnsi="Calibri" w:cs="Arial"/>
                <w:color w:val="000000"/>
              </w:rPr>
            </w:pPr>
          </w:p>
        </w:tc>
      </w:tr>
      <w:tr w:rsidR="006E33A9" w:rsidTr="006E33A9">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E33A9" w:rsidRDefault="006E33A9">
            <w:pPr>
              <w:tabs>
                <w:tab w:val="left" w:pos="5040"/>
              </w:tabs>
              <w:spacing w:line="256" w:lineRule="auto"/>
              <w:rPr>
                <w:rFonts w:ascii="Calibri" w:hAnsi="Calibri" w:cs="Arial"/>
                <w:color w:val="000000"/>
              </w:rPr>
            </w:pPr>
            <w:r>
              <w:rPr>
                <w:rFonts w:ascii="Calibri" w:hAnsi="Calibri" w:cs="Arial"/>
                <w:color w:val="000000"/>
              </w:rPr>
              <w:lastRenderedPageBreak/>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6E33A9" w:rsidRDefault="00BD3E5E">
            <w:pPr>
              <w:spacing w:line="256" w:lineRule="auto"/>
              <w:jc w:val="center"/>
              <w:rPr>
                <w:rFonts w:ascii="Calibri" w:hAnsi="Calibri"/>
              </w:rPr>
            </w:pPr>
            <w:r>
              <w:rPr>
                <w:rFonts w:ascii="Calibri" w:hAnsi="Calibri" w:cs="Arial"/>
                <w:color w:val="000000"/>
              </w:rPr>
              <w:t>CHEE.S.AS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6E33A9" w:rsidRDefault="006E33A9">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E33A9" w:rsidRDefault="00756E24" w:rsidP="00915049">
            <w:pPr>
              <w:ind w:left="72"/>
              <w:rPr>
                <w:rFonts w:ascii="Calibri" w:hAnsi="Calibri" w:cs="Arial"/>
                <w:color w:val="000000"/>
              </w:rPr>
            </w:pPr>
            <w:r>
              <w:rPr>
                <w:rFonts w:ascii="Calibri" w:hAnsi="Calibri" w:cs="Arial"/>
                <w:color w:val="000000"/>
              </w:rPr>
              <w:t>General Chemistry</w:t>
            </w:r>
          </w:p>
          <w:p w:rsidR="00756E24" w:rsidRDefault="00756E24" w:rsidP="00915049">
            <w:pPr>
              <w:ind w:left="72"/>
              <w:rPr>
                <w:rFonts w:ascii="Calibri" w:hAnsi="Calibri" w:cs="Arial"/>
                <w:color w:val="000000"/>
              </w:rPr>
            </w:pPr>
            <w:r>
              <w:rPr>
                <w:rFonts w:ascii="Calibri" w:hAnsi="Calibri" w:cs="Arial"/>
                <w:color w:val="000000"/>
              </w:rPr>
              <w:t>CHE 1211/1251 and</w:t>
            </w:r>
          </w:p>
          <w:p w:rsidR="00756E24" w:rsidRDefault="00756E24" w:rsidP="00915049">
            <w:pPr>
              <w:ind w:left="72"/>
              <w:rPr>
                <w:rFonts w:ascii="Calibri" w:hAnsi="Calibri" w:cs="Arial"/>
                <w:color w:val="000000"/>
              </w:rPr>
            </w:pPr>
            <w:r>
              <w:rPr>
                <w:rFonts w:ascii="Calibri" w:hAnsi="Calibri" w:cs="Arial"/>
                <w:color w:val="000000"/>
              </w:rPr>
              <w:t>CHE 1221/1261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6E33A9" w:rsidRDefault="006E33A9">
            <w:pPr>
              <w:spacing w:line="256" w:lineRule="auto"/>
              <w:ind w:left="72"/>
              <w:rPr>
                <w:rFonts w:ascii="Calibri" w:hAnsi="Calibri" w:cs="Arial"/>
                <w:color w:val="000000"/>
              </w:rPr>
            </w:pPr>
          </w:p>
        </w:tc>
      </w:tr>
      <w:tr w:rsidR="006E33A9" w:rsidTr="006E33A9">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6E33A9" w:rsidRDefault="006E33A9">
            <w:pPr>
              <w:tabs>
                <w:tab w:val="left" w:pos="5040"/>
              </w:tabs>
              <w:spacing w:line="256" w:lineRule="auto"/>
              <w:rPr>
                <w:rFonts w:ascii="Calibri" w:hAnsi="Calibri" w:cs="Arial"/>
                <w:color w:val="FFFFFF"/>
              </w:rPr>
            </w:pPr>
            <w:r>
              <w:rPr>
                <w:rFonts w:ascii="Calibri" w:hAnsi="Calibri" w:cs="Arial"/>
                <w:color w:val="FFFFFF"/>
              </w:rPr>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6E33A9" w:rsidRDefault="006E33A9">
            <w:pPr>
              <w:spacing w:line="256" w:lineRule="auto"/>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6E33A9" w:rsidRDefault="006E33A9">
            <w:pPr>
              <w:spacing w:line="256" w:lineRule="auto"/>
              <w:jc w:val="center"/>
              <w:rPr>
                <w:rFonts w:ascii="Calibri" w:hAnsi="Calibri" w:cs="Arial"/>
                <w:b/>
                <w:color w:val="FFFFFF"/>
              </w:rPr>
            </w:pPr>
            <w:r>
              <w:rPr>
                <w:rFonts w:ascii="Calibri" w:hAnsi="Calibri" w:cs="Arial"/>
                <w:b/>
                <w:color w:val="FFFFFF"/>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6E33A9" w:rsidRDefault="006E33A9">
            <w:pPr>
              <w:spacing w:line="256" w:lineRule="auto"/>
              <w:ind w:left="72"/>
              <w:rPr>
                <w:rFonts w:ascii="Calibri" w:hAnsi="Calibri" w:cs="Arial"/>
                <w:color w:val="FFFFFF"/>
              </w:rPr>
            </w:pPr>
            <w:r>
              <w:rPr>
                <w:rFonts w:ascii="Calibri" w:hAnsi="Calibri" w:cs="Arial"/>
                <w:color w:val="FFFFFF"/>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6E33A9" w:rsidRDefault="006E33A9">
            <w:pPr>
              <w:spacing w:line="256" w:lineRule="auto"/>
              <w:ind w:left="72"/>
              <w:rPr>
                <w:rFonts w:ascii="Calibri" w:hAnsi="Calibri" w:cs="Arial"/>
                <w:color w:val="FFFFFF"/>
              </w:rPr>
            </w:pPr>
          </w:p>
        </w:tc>
      </w:tr>
      <w:tr w:rsidR="006E33A9" w:rsidTr="006E33A9">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6E33A9" w:rsidRDefault="006E33A9">
            <w:pPr>
              <w:tabs>
                <w:tab w:val="left" w:pos="5040"/>
              </w:tabs>
              <w:spacing w:line="256" w:lineRule="auto"/>
              <w:rPr>
                <w:rFonts w:ascii="Calibri" w:hAnsi="Calibri" w:cs="Arial"/>
                <w:color w:val="FFFFFF"/>
              </w:rPr>
            </w:pPr>
            <w:r>
              <w:rPr>
                <w:rFonts w:ascii="Calibri" w:hAnsi="Calibri" w:cs="Arial"/>
                <w:color w:val="FFFFFF"/>
              </w:rPr>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6E33A9" w:rsidRDefault="006E33A9">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6E33A9" w:rsidRDefault="006E33A9">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6E33A9" w:rsidRDefault="006E33A9">
            <w:pPr>
              <w:spacing w:line="256" w:lineRule="auto"/>
              <w:ind w:left="72"/>
              <w:rPr>
                <w:rFonts w:ascii="Calibri" w:hAnsi="Calibri" w:cs="Arial"/>
                <w:color w:val="FFFFFF"/>
              </w:rPr>
            </w:pPr>
            <w:r>
              <w:rPr>
                <w:rFonts w:ascii="Calibri" w:hAnsi="Calibri" w:cs="Arial"/>
                <w:color w:val="FFFFFF"/>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6E33A9" w:rsidRDefault="006E33A9">
            <w:pPr>
              <w:spacing w:line="256" w:lineRule="auto"/>
              <w:ind w:left="72"/>
              <w:rPr>
                <w:rFonts w:ascii="Calibri" w:hAnsi="Calibri" w:cs="Arial"/>
                <w:color w:val="FFFFFF"/>
              </w:rPr>
            </w:pPr>
          </w:p>
        </w:tc>
      </w:tr>
      <w:tr w:rsidR="006E33A9" w:rsidTr="006E33A9">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6E33A9" w:rsidRDefault="006E33A9">
            <w:pPr>
              <w:tabs>
                <w:tab w:val="left" w:pos="5040"/>
              </w:tabs>
              <w:spacing w:line="256" w:lineRule="auto"/>
              <w:rPr>
                <w:rFonts w:ascii="Calibri" w:hAnsi="Calibri" w:cs="Arial"/>
                <w:color w:val="FFFFFF"/>
              </w:rPr>
            </w:pPr>
            <w:r>
              <w:rPr>
                <w:rFonts w:ascii="Calibri" w:hAnsi="Calibri" w:cs="Arial"/>
                <w:color w:val="FFFFFF"/>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6E33A9" w:rsidRDefault="006E33A9">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6E33A9" w:rsidRDefault="006E33A9">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6E33A9" w:rsidRDefault="006E33A9">
            <w:pPr>
              <w:spacing w:line="256" w:lineRule="auto"/>
              <w:ind w:left="72"/>
              <w:rPr>
                <w:rFonts w:ascii="Calibri" w:hAnsi="Calibri" w:cs="Arial"/>
                <w:color w:val="FFFFFF"/>
              </w:rPr>
            </w:pPr>
            <w:r>
              <w:rPr>
                <w:rFonts w:ascii="Calibri" w:hAnsi="Calibri" w:cs="Arial"/>
                <w:color w:val="FFFFFF"/>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6E33A9" w:rsidRDefault="006E33A9">
            <w:pPr>
              <w:spacing w:line="256" w:lineRule="auto"/>
              <w:ind w:left="72"/>
              <w:rPr>
                <w:rFonts w:ascii="Calibri" w:hAnsi="Calibri" w:cs="Arial"/>
                <w:color w:val="FFFFFF"/>
              </w:rPr>
            </w:pPr>
          </w:p>
        </w:tc>
      </w:tr>
      <w:tr w:rsidR="006E33A9" w:rsidTr="0028439B">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6E33A9" w:rsidRDefault="006E33A9">
            <w:pPr>
              <w:tabs>
                <w:tab w:val="left" w:pos="5040"/>
              </w:tabs>
              <w:spacing w:line="256" w:lineRule="auto"/>
              <w:rPr>
                <w:rFonts w:ascii="Calibri" w:hAnsi="Calibri" w:cs="Arial"/>
              </w:rPr>
            </w:pPr>
            <w:r>
              <w:rPr>
                <w:rFonts w:ascii="Arial" w:hAnsi="Arial" w:cs="Arial"/>
                <w:color w:val="000000"/>
              </w:rPr>
              <w:t>Are changes planned as a result of the assessment of general 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6E33A9" w:rsidRDefault="006E33A9">
            <w:pPr>
              <w:spacing w:line="256" w:lineRule="auto"/>
              <w:ind w:left="72"/>
              <w:rPr>
                <w:rFonts w:ascii="Calibri" w:hAnsi="Calibri" w:cs="Arial"/>
                <w:color w:val="000000"/>
              </w:rPr>
            </w:pPr>
          </w:p>
          <w:p w:rsidR="006E33A9" w:rsidRDefault="006E33A9">
            <w:pPr>
              <w:spacing w:line="256" w:lineRule="auto"/>
              <w:ind w:left="72"/>
              <w:rPr>
                <w:rFonts w:ascii="Calibri" w:hAnsi="Calibri" w:cs="Arial"/>
                <w:b/>
                <w:color w:val="000000"/>
              </w:rPr>
            </w:pPr>
            <w:r>
              <w:rPr>
                <w:rFonts w:ascii="Calibri" w:hAnsi="Calibri" w:cs="Arial"/>
                <w:b/>
                <w:color w:val="000000"/>
              </w:rPr>
              <w:t>OPTIONAL FOR FY 2014-15</w:t>
            </w:r>
          </w:p>
          <w:p w:rsidR="006E33A9" w:rsidRDefault="006E33A9">
            <w:pPr>
              <w:spacing w:line="256" w:lineRule="auto"/>
              <w:ind w:left="72"/>
              <w:rPr>
                <w:rFonts w:ascii="Calibri" w:hAnsi="Calibri" w:cs="Arial"/>
                <w:color w:val="000000"/>
              </w:rPr>
            </w:pPr>
          </w:p>
          <w:p w:rsidR="006E33A9" w:rsidRDefault="006E33A9">
            <w:pPr>
              <w:spacing w:line="256" w:lineRule="auto"/>
              <w:ind w:left="72"/>
              <w:rPr>
                <w:rFonts w:ascii="Calibri" w:hAnsi="Calibri" w:cs="Arial"/>
                <w:color w:val="000000"/>
              </w:rPr>
            </w:pPr>
          </w:p>
          <w:p w:rsidR="006E33A9" w:rsidRDefault="006E33A9">
            <w:pPr>
              <w:spacing w:line="256" w:lineRule="auto"/>
              <w:ind w:left="72"/>
              <w:rPr>
                <w:rFonts w:ascii="Calibri" w:hAnsi="Calibri" w:cs="Arial"/>
                <w:color w:val="000000"/>
              </w:rPr>
            </w:pPr>
          </w:p>
          <w:p w:rsidR="006E33A9" w:rsidRDefault="006E33A9">
            <w:pPr>
              <w:spacing w:line="256" w:lineRule="auto"/>
              <w:ind w:left="72"/>
              <w:rPr>
                <w:rFonts w:ascii="Calibri" w:hAnsi="Calibri" w:cs="Arial"/>
                <w:color w:val="000000"/>
              </w:rPr>
            </w:pPr>
          </w:p>
          <w:p w:rsidR="006E33A9" w:rsidRDefault="006E33A9">
            <w:pPr>
              <w:spacing w:line="256" w:lineRule="auto"/>
              <w:ind w:left="72"/>
              <w:rPr>
                <w:rFonts w:ascii="Calibri" w:hAnsi="Calibri" w:cs="Arial"/>
                <w:color w:val="000000"/>
              </w:rPr>
            </w:pPr>
          </w:p>
        </w:tc>
      </w:tr>
      <w:tr w:rsidR="006E33A9" w:rsidTr="0028439B">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6E33A9" w:rsidRDefault="006E33A9">
            <w:pPr>
              <w:pStyle w:val="ListParagraph"/>
              <w:tabs>
                <w:tab w:val="left" w:pos="5040"/>
              </w:tabs>
              <w:spacing w:line="256" w:lineRule="auto"/>
              <w:ind w:left="0"/>
              <w:rPr>
                <w:rFonts w:ascii="Arial" w:hAnsi="Arial" w:cs="Arial"/>
                <w:color w:val="000000"/>
              </w:rPr>
            </w:pPr>
            <w:r>
              <w:rPr>
                <w:rFonts w:ascii="Arial" w:hAnsi="Arial" w:cs="Arial"/>
                <w:color w:val="000000"/>
              </w:rPr>
              <w:t xml:space="preserve">How will you determine whether those changes had an impact? </w:t>
            </w:r>
          </w:p>
          <w:p w:rsidR="006E33A9" w:rsidRDefault="006E33A9">
            <w:pPr>
              <w:tabs>
                <w:tab w:val="left" w:pos="5040"/>
              </w:tabs>
              <w:spacing w:line="256" w:lineRule="auto"/>
              <w:rPr>
                <w:rFonts w:ascii="Calibri" w:hAnsi="Calibri" w:cs="Arial"/>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6E33A9" w:rsidRDefault="006E33A9">
            <w:pPr>
              <w:spacing w:line="256" w:lineRule="auto"/>
              <w:ind w:left="72"/>
              <w:rPr>
                <w:rFonts w:ascii="Calibri" w:hAnsi="Calibri" w:cs="Arial"/>
                <w:color w:val="000000"/>
              </w:rPr>
            </w:pPr>
          </w:p>
          <w:p w:rsidR="006E33A9" w:rsidRDefault="006E33A9">
            <w:pPr>
              <w:spacing w:line="256" w:lineRule="auto"/>
              <w:ind w:left="72"/>
              <w:rPr>
                <w:rFonts w:ascii="Calibri" w:hAnsi="Calibri" w:cs="Arial"/>
                <w:color w:val="000000"/>
              </w:rPr>
            </w:pPr>
          </w:p>
          <w:p w:rsidR="006E33A9" w:rsidRDefault="006E33A9">
            <w:pPr>
              <w:spacing w:line="256" w:lineRule="auto"/>
              <w:ind w:left="72"/>
              <w:rPr>
                <w:rFonts w:ascii="Calibri" w:hAnsi="Calibri" w:cs="Arial"/>
                <w:b/>
                <w:color w:val="000000"/>
              </w:rPr>
            </w:pPr>
            <w:r>
              <w:rPr>
                <w:rFonts w:ascii="Calibri" w:hAnsi="Calibri" w:cs="Arial"/>
                <w:b/>
                <w:color w:val="000000"/>
              </w:rPr>
              <w:t>OPTIONAL FOR FY 2014-15</w:t>
            </w:r>
          </w:p>
          <w:p w:rsidR="006E33A9" w:rsidRDefault="006E33A9">
            <w:pPr>
              <w:spacing w:line="256" w:lineRule="auto"/>
              <w:ind w:left="72"/>
              <w:rPr>
                <w:rFonts w:ascii="Calibri" w:hAnsi="Calibri" w:cs="Arial"/>
                <w:color w:val="000000"/>
              </w:rPr>
            </w:pPr>
          </w:p>
          <w:p w:rsidR="006E33A9" w:rsidRDefault="006E33A9">
            <w:pPr>
              <w:spacing w:line="256" w:lineRule="auto"/>
              <w:ind w:left="72"/>
              <w:rPr>
                <w:rFonts w:ascii="Calibri" w:hAnsi="Calibri" w:cs="Arial"/>
                <w:color w:val="000000"/>
              </w:rPr>
            </w:pPr>
          </w:p>
          <w:p w:rsidR="006E33A9" w:rsidRDefault="006E33A9">
            <w:pPr>
              <w:spacing w:line="256" w:lineRule="auto"/>
              <w:ind w:left="72"/>
              <w:rPr>
                <w:rFonts w:ascii="Calibri" w:hAnsi="Calibri" w:cs="Arial"/>
                <w:color w:val="000000"/>
              </w:rPr>
            </w:pPr>
          </w:p>
          <w:p w:rsidR="006E33A9" w:rsidRDefault="006E33A9">
            <w:pPr>
              <w:spacing w:line="256" w:lineRule="auto"/>
              <w:ind w:left="72"/>
              <w:rPr>
                <w:rFonts w:ascii="Calibri" w:hAnsi="Calibri" w:cs="Arial"/>
                <w:color w:val="000000"/>
              </w:rPr>
            </w:pPr>
          </w:p>
          <w:p w:rsidR="006E33A9" w:rsidRDefault="006E33A9">
            <w:pPr>
              <w:spacing w:line="256" w:lineRule="auto"/>
              <w:ind w:left="72"/>
              <w:rPr>
                <w:rFonts w:ascii="Calibri" w:hAnsi="Calibri" w:cs="Arial"/>
                <w:color w:val="000000"/>
              </w:rPr>
            </w:pPr>
          </w:p>
        </w:tc>
      </w:tr>
    </w:tbl>
    <w:p w:rsidR="006E33A9" w:rsidRDefault="006E33A9" w:rsidP="006E33A9"/>
    <w:p w:rsidR="006E33A9" w:rsidRDefault="006E33A9" w:rsidP="006E33A9"/>
    <w:p w:rsidR="006E33A9" w:rsidRDefault="006E33A9" w:rsidP="006E33A9">
      <w:pPr>
        <w:ind w:left="900"/>
        <w:rPr>
          <w:rFonts w:ascii="Arial" w:hAnsi="Arial" w:cs="Arial"/>
          <w:b/>
          <w:color w:val="000000"/>
          <w:u w:val="single"/>
        </w:rPr>
      </w:pPr>
    </w:p>
    <w:p w:rsidR="006E33A9" w:rsidRDefault="006E33A9" w:rsidP="006E33A9">
      <w:pPr>
        <w:rPr>
          <w:rFonts w:ascii="Arial" w:hAnsi="Arial" w:cs="Arial"/>
          <w:b/>
          <w:color w:val="000000"/>
          <w:u w:val="single"/>
        </w:rPr>
        <w:sectPr w:rsidR="006E33A9">
          <w:pgSz w:w="15840" w:h="12240" w:orient="landscape"/>
          <w:pgMar w:top="1440" w:right="1152" w:bottom="1440" w:left="1152" w:header="720" w:footer="288" w:gutter="0"/>
          <w:cols w:space="720"/>
        </w:sectPr>
      </w:pPr>
    </w:p>
    <w:p w:rsidR="00B034D3" w:rsidRDefault="00B034D3" w:rsidP="00B034D3"/>
    <w:p w:rsidR="00B034D3" w:rsidRDefault="00B034D3"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867"/>
        <w:gridCol w:w="1305"/>
        <w:gridCol w:w="2250"/>
        <w:gridCol w:w="4028"/>
      </w:tblGrid>
      <w:tr w:rsidR="00B34F9E" w:rsidRPr="004C52FC" w:rsidTr="00BD3E5E">
        <w:trPr>
          <w:trHeight w:val="274"/>
        </w:trPr>
        <w:tc>
          <w:tcPr>
            <w:tcW w:w="3708" w:type="dxa"/>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867"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305"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5F70D8" w:rsidRPr="004C52FC" w:rsidTr="00BD3E5E">
        <w:trPr>
          <w:trHeight w:val="274"/>
        </w:trPr>
        <w:tc>
          <w:tcPr>
            <w:tcW w:w="3708" w:type="dxa"/>
            <w:shd w:val="clear" w:color="auto" w:fill="FFFFFF"/>
          </w:tcPr>
          <w:p w:rsidR="005F70D8" w:rsidRDefault="005F70D8" w:rsidP="005F70D8">
            <w:pPr>
              <w:rPr>
                <w:rFonts w:ascii="Calibri" w:hAnsi="Calibri" w:cs="Calibri"/>
                <w:color w:val="000000"/>
              </w:rPr>
            </w:pPr>
            <w:r>
              <w:rPr>
                <w:rFonts w:ascii="Calibri" w:hAnsi="Calibri" w:cs="Calibri"/>
                <w:color w:val="000000"/>
              </w:rPr>
              <w:t>Achieve group goals in a variety of social contexts.</w:t>
            </w:r>
          </w:p>
        </w:tc>
        <w:tc>
          <w:tcPr>
            <w:tcW w:w="1867" w:type="dxa"/>
          </w:tcPr>
          <w:p w:rsidR="00BD3E5E" w:rsidRDefault="00BD3E5E" w:rsidP="005F70D8">
            <w:pPr>
              <w:rPr>
                <w:rFonts w:ascii="Calibri" w:hAnsi="Calibri" w:cs="Calibri"/>
                <w:color w:val="000000"/>
              </w:rPr>
            </w:pPr>
            <w:r>
              <w:rPr>
                <w:rFonts w:ascii="Calibri" w:hAnsi="Calibri" w:cs="Calibri"/>
                <w:color w:val="000000"/>
              </w:rPr>
              <w:t>CHE 2111/2151 and</w:t>
            </w:r>
          </w:p>
          <w:p w:rsidR="005F70D8" w:rsidRDefault="00BD3E5E" w:rsidP="005F70D8">
            <w:pPr>
              <w:rPr>
                <w:rFonts w:ascii="Calibri" w:hAnsi="Calibri" w:cs="Calibri"/>
                <w:color w:val="000000"/>
              </w:rPr>
            </w:pPr>
            <w:r>
              <w:rPr>
                <w:rFonts w:ascii="Calibri" w:hAnsi="Calibri" w:cs="Calibri"/>
                <w:color w:val="000000"/>
              </w:rPr>
              <w:t>CHE 2121/2161</w:t>
            </w:r>
          </w:p>
        </w:tc>
        <w:tc>
          <w:tcPr>
            <w:tcW w:w="1305" w:type="dxa"/>
            <w:shd w:val="clear" w:color="auto" w:fill="auto"/>
          </w:tcPr>
          <w:p w:rsidR="005F70D8" w:rsidRPr="004C52FC" w:rsidRDefault="0003612B" w:rsidP="001A2E6B">
            <w:pPr>
              <w:rPr>
                <w:rFonts w:asciiTheme="minorHAnsi" w:hAnsiTheme="minorHAnsi" w:cs="Arial"/>
                <w:color w:val="000000" w:themeColor="text1"/>
              </w:rPr>
            </w:pPr>
            <w:r>
              <w:rPr>
                <w:rFonts w:ascii="Arial" w:hAnsi="Arial" w:cs="Arial"/>
                <w:color w:val="000000" w:themeColor="text1"/>
              </w:rPr>
              <w:t>2015-2016</w:t>
            </w:r>
          </w:p>
        </w:tc>
        <w:tc>
          <w:tcPr>
            <w:tcW w:w="2250" w:type="dxa"/>
          </w:tcPr>
          <w:p w:rsidR="005F70D8" w:rsidRDefault="00EA31E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p w:rsidR="005F70D8" w:rsidRPr="004C52FC" w:rsidRDefault="005F70D8" w:rsidP="001A2E6B">
            <w:pPr>
              <w:ind w:left="72"/>
              <w:rPr>
                <w:rFonts w:asciiTheme="minorHAnsi" w:hAnsiTheme="minorHAnsi" w:cs="Arial"/>
                <w:color w:val="000000" w:themeColor="text1"/>
              </w:rPr>
            </w:pPr>
          </w:p>
        </w:tc>
        <w:tc>
          <w:tcPr>
            <w:tcW w:w="4028" w:type="dxa"/>
          </w:tcPr>
          <w:p w:rsidR="005F70D8" w:rsidRDefault="00EA31E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p w:rsidR="005F70D8" w:rsidRPr="004C52FC" w:rsidRDefault="005F70D8" w:rsidP="001A2E6B">
            <w:pPr>
              <w:ind w:left="72"/>
              <w:rPr>
                <w:rFonts w:asciiTheme="minorHAnsi" w:hAnsiTheme="minorHAnsi" w:cs="Arial"/>
                <w:color w:val="000000" w:themeColor="text1"/>
              </w:rPr>
            </w:pPr>
          </w:p>
        </w:tc>
      </w:tr>
      <w:tr w:rsidR="005F70D8" w:rsidRPr="004C52FC" w:rsidTr="00BD3E5E">
        <w:trPr>
          <w:trHeight w:val="72"/>
        </w:trPr>
        <w:tc>
          <w:tcPr>
            <w:tcW w:w="3708" w:type="dxa"/>
            <w:shd w:val="clear" w:color="auto" w:fill="FFFFFF"/>
          </w:tcPr>
          <w:p w:rsidR="005F70D8" w:rsidRDefault="005F70D8" w:rsidP="005F70D8">
            <w:pPr>
              <w:rPr>
                <w:rFonts w:ascii="Calibri" w:hAnsi="Calibri" w:cs="Calibri"/>
                <w:color w:val="000000"/>
              </w:rPr>
            </w:pPr>
            <w:r>
              <w:rPr>
                <w:rFonts w:ascii="Calibri" w:hAnsi="Calibri" w:cs="Calibri"/>
                <w:color w:val="000000"/>
              </w:rPr>
              <w:t>Communicate effectively in a variety of ways with varied audiences through writing skills, oral communication skills, listening skills, reading skills, computer literacy and information literacy.</w:t>
            </w:r>
          </w:p>
        </w:tc>
        <w:tc>
          <w:tcPr>
            <w:tcW w:w="1867" w:type="dxa"/>
          </w:tcPr>
          <w:p w:rsidR="005F70D8" w:rsidRDefault="005F70D8" w:rsidP="005F70D8">
            <w:pPr>
              <w:rPr>
                <w:rFonts w:ascii="Calibri" w:hAnsi="Calibri" w:cs="Calibri"/>
                <w:color w:val="000000"/>
              </w:rPr>
            </w:pPr>
            <w:r>
              <w:rPr>
                <w:rFonts w:ascii="Calibri" w:hAnsi="Calibri" w:cs="Calibri"/>
                <w:color w:val="000000"/>
              </w:rPr>
              <w:t xml:space="preserve">COM-2211  COM-2225  ENG-1101 ENG-1201                                </w:t>
            </w:r>
          </w:p>
        </w:tc>
        <w:tc>
          <w:tcPr>
            <w:tcW w:w="1305" w:type="dxa"/>
            <w:shd w:val="clear" w:color="auto" w:fill="auto"/>
          </w:tcPr>
          <w:p w:rsidR="005F70D8" w:rsidRPr="004C52FC" w:rsidRDefault="00756E24" w:rsidP="00756E24">
            <w:pPr>
              <w:rPr>
                <w:rFonts w:asciiTheme="minorHAnsi" w:hAnsiTheme="minorHAnsi" w:cs="Arial"/>
                <w:color w:val="000000" w:themeColor="text1"/>
              </w:rPr>
            </w:pPr>
            <w:r>
              <w:rPr>
                <w:rFonts w:ascii="Arial" w:hAnsi="Arial" w:cs="Arial"/>
                <w:color w:val="000000" w:themeColor="text1"/>
              </w:rPr>
              <w:t>201</w:t>
            </w:r>
            <w:r>
              <w:rPr>
                <w:rFonts w:ascii="Arial" w:hAnsi="Arial" w:cs="Arial"/>
                <w:color w:val="000000" w:themeColor="text1"/>
              </w:rPr>
              <w:t>6</w:t>
            </w:r>
            <w:r w:rsidR="0003612B">
              <w:rPr>
                <w:rFonts w:ascii="Arial" w:hAnsi="Arial" w:cs="Arial"/>
                <w:color w:val="000000" w:themeColor="text1"/>
              </w:rPr>
              <w:t>-</w:t>
            </w:r>
            <w:r>
              <w:rPr>
                <w:rFonts w:ascii="Arial" w:hAnsi="Arial" w:cs="Arial"/>
                <w:color w:val="000000" w:themeColor="text1"/>
              </w:rPr>
              <w:t>201</w:t>
            </w:r>
            <w:r>
              <w:rPr>
                <w:rFonts w:ascii="Arial" w:hAnsi="Arial" w:cs="Arial"/>
                <w:color w:val="000000" w:themeColor="text1"/>
              </w:rPr>
              <w:t>7</w:t>
            </w:r>
          </w:p>
        </w:tc>
        <w:tc>
          <w:tcPr>
            <w:tcW w:w="2250" w:type="dxa"/>
          </w:tcPr>
          <w:p w:rsidR="005F70D8" w:rsidRDefault="00EA31E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p w:rsidR="005F70D8" w:rsidRPr="004C52FC" w:rsidRDefault="005F70D8" w:rsidP="001A2E6B">
            <w:pPr>
              <w:ind w:left="72"/>
              <w:rPr>
                <w:rFonts w:asciiTheme="minorHAnsi" w:hAnsiTheme="minorHAnsi" w:cs="Arial"/>
                <w:color w:val="000000" w:themeColor="text1"/>
              </w:rPr>
            </w:pPr>
          </w:p>
        </w:tc>
        <w:tc>
          <w:tcPr>
            <w:tcW w:w="4028" w:type="dxa"/>
          </w:tcPr>
          <w:p w:rsidR="005F70D8" w:rsidRDefault="00EA31E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p w:rsidR="005F70D8" w:rsidRPr="004C52FC" w:rsidRDefault="005F70D8" w:rsidP="001A2E6B">
            <w:pPr>
              <w:ind w:left="72"/>
              <w:rPr>
                <w:rFonts w:asciiTheme="minorHAnsi" w:hAnsiTheme="minorHAnsi" w:cs="Arial"/>
                <w:color w:val="000000" w:themeColor="text1"/>
              </w:rPr>
            </w:pPr>
          </w:p>
        </w:tc>
      </w:tr>
      <w:tr w:rsidR="005F70D8" w:rsidRPr="004C52FC" w:rsidTr="00BD3E5E">
        <w:trPr>
          <w:trHeight w:val="72"/>
        </w:trPr>
        <w:tc>
          <w:tcPr>
            <w:tcW w:w="3708" w:type="dxa"/>
            <w:shd w:val="clear" w:color="auto" w:fill="FFFFFF"/>
          </w:tcPr>
          <w:p w:rsidR="005F70D8" w:rsidRDefault="005F70D8" w:rsidP="005F70D8">
            <w:pPr>
              <w:rPr>
                <w:rFonts w:ascii="Calibri" w:hAnsi="Calibri" w:cs="Calibri"/>
                <w:color w:val="000000"/>
              </w:rPr>
            </w:pPr>
            <w:r>
              <w:rPr>
                <w:rFonts w:ascii="Calibri" w:hAnsi="Calibri" w:cs="Calibri"/>
                <w:color w:val="000000"/>
              </w:rPr>
              <w:t>Demonstrate ability to think logically and solve problems using analysis, synthesis and evaluation.</w:t>
            </w:r>
          </w:p>
        </w:tc>
        <w:tc>
          <w:tcPr>
            <w:tcW w:w="1867" w:type="dxa"/>
          </w:tcPr>
          <w:p w:rsidR="005F70D8" w:rsidRDefault="005F70D8" w:rsidP="005F70D8">
            <w:pPr>
              <w:rPr>
                <w:rFonts w:ascii="Calibri" w:hAnsi="Calibri" w:cs="Calibri"/>
                <w:color w:val="000000"/>
              </w:rPr>
            </w:pPr>
            <w:r>
              <w:rPr>
                <w:rFonts w:ascii="Calibri" w:hAnsi="Calibri" w:cs="Calibri"/>
                <w:color w:val="000000"/>
              </w:rPr>
              <w:t xml:space="preserve">CHE-1211  CHE-1221  CHE-2111 CHE-2121  MAT-2270  MAT-2280  MAT-2290                          </w:t>
            </w:r>
          </w:p>
        </w:tc>
        <w:tc>
          <w:tcPr>
            <w:tcW w:w="1305" w:type="dxa"/>
            <w:shd w:val="clear" w:color="auto" w:fill="auto"/>
          </w:tcPr>
          <w:p w:rsidR="005F70D8" w:rsidRPr="004C52FC" w:rsidRDefault="00756E24" w:rsidP="00756E24">
            <w:pPr>
              <w:rPr>
                <w:rFonts w:asciiTheme="minorHAnsi" w:hAnsiTheme="minorHAnsi" w:cs="Arial"/>
                <w:color w:val="000000" w:themeColor="text1"/>
              </w:rPr>
            </w:pPr>
            <w:r>
              <w:rPr>
                <w:rFonts w:ascii="Arial" w:hAnsi="Arial" w:cs="Arial"/>
                <w:color w:val="000000" w:themeColor="text1"/>
              </w:rPr>
              <w:t>201</w:t>
            </w:r>
            <w:r>
              <w:rPr>
                <w:rFonts w:ascii="Arial" w:hAnsi="Arial" w:cs="Arial"/>
                <w:color w:val="000000" w:themeColor="text1"/>
              </w:rPr>
              <w:t>7</w:t>
            </w:r>
            <w:r w:rsidR="00072C89">
              <w:rPr>
                <w:rFonts w:ascii="Arial" w:hAnsi="Arial" w:cs="Arial"/>
                <w:color w:val="000000" w:themeColor="text1"/>
              </w:rPr>
              <w:t>-</w:t>
            </w:r>
            <w:r>
              <w:rPr>
                <w:rFonts w:ascii="Arial" w:hAnsi="Arial" w:cs="Arial"/>
                <w:color w:val="000000" w:themeColor="text1"/>
              </w:rPr>
              <w:t>201</w:t>
            </w:r>
            <w:r>
              <w:rPr>
                <w:rFonts w:ascii="Arial" w:hAnsi="Arial" w:cs="Arial"/>
                <w:color w:val="000000" w:themeColor="text1"/>
              </w:rPr>
              <w:t>8</w:t>
            </w:r>
          </w:p>
        </w:tc>
        <w:tc>
          <w:tcPr>
            <w:tcW w:w="2250" w:type="dxa"/>
          </w:tcPr>
          <w:p w:rsidR="005F70D8" w:rsidRPr="004C52FC" w:rsidRDefault="00A6003D" w:rsidP="00047777">
            <w:pPr>
              <w:spacing w:line="256" w:lineRule="auto"/>
              <w:ind w:left="72"/>
              <w:rPr>
                <w:rFonts w:asciiTheme="minorHAnsi" w:hAnsiTheme="minorHAnsi" w:cs="Arial"/>
                <w:color w:val="000000" w:themeColor="text1"/>
              </w:rPr>
            </w:pPr>
            <w:r>
              <w:rPr>
                <w:rFonts w:ascii="Calibri" w:hAnsi="Calibri" w:cs="Arial"/>
                <w:color w:val="000000"/>
              </w:rPr>
              <w:t>Nearly 80% of the final exams for the General Chemistry sequence (CHE 1211/1221) requires critical thinking/problem solving skills.  This increases to 100% for the Organic Chemistry courses.</w:t>
            </w:r>
          </w:p>
        </w:tc>
        <w:tc>
          <w:tcPr>
            <w:tcW w:w="4028" w:type="dxa"/>
          </w:tcPr>
          <w:p w:rsidR="005F70D8" w:rsidRPr="004C52FC" w:rsidRDefault="00756E24" w:rsidP="00D72C03">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83% of the students in the General Chemistry sequence exhibited mastery of this skill.</w:t>
            </w:r>
            <w:bookmarkStart w:id="1" w:name="_GoBack"/>
            <w:bookmarkEnd w:id="1"/>
          </w:p>
        </w:tc>
      </w:tr>
      <w:tr w:rsidR="005F70D8" w:rsidRPr="004C52FC" w:rsidTr="00BD3E5E">
        <w:tblPrEx>
          <w:shd w:val="clear" w:color="auto" w:fill="auto"/>
          <w:tblLook w:val="04A0" w:firstRow="1" w:lastRow="0" w:firstColumn="1" w:lastColumn="0" w:noHBand="0" w:noVBand="1"/>
        </w:tblPrEx>
        <w:trPr>
          <w:trHeight w:val="72"/>
        </w:trPr>
        <w:tc>
          <w:tcPr>
            <w:tcW w:w="3708" w:type="dxa"/>
          </w:tcPr>
          <w:p w:rsidR="005F70D8" w:rsidRDefault="005F70D8" w:rsidP="005F70D8">
            <w:pPr>
              <w:rPr>
                <w:rFonts w:ascii="Calibri" w:hAnsi="Calibri" w:cs="Calibri"/>
                <w:color w:val="000000"/>
              </w:rPr>
            </w:pPr>
            <w:r>
              <w:rPr>
                <w:rFonts w:ascii="Calibri" w:hAnsi="Calibri" w:cs="Calibri"/>
                <w:color w:val="000000"/>
              </w:rPr>
              <w:t>Demonstrate responsibility and accountability in accomplishing goals.</w:t>
            </w:r>
          </w:p>
        </w:tc>
        <w:tc>
          <w:tcPr>
            <w:tcW w:w="1867" w:type="dxa"/>
          </w:tcPr>
          <w:p w:rsidR="005F70D8" w:rsidRDefault="005F70D8" w:rsidP="00BD3E5E">
            <w:pPr>
              <w:rPr>
                <w:rFonts w:ascii="Calibri" w:hAnsi="Calibri" w:cs="Calibri"/>
                <w:color w:val="000000"/>
              </w:rPr>
            </w:pPr>
            <w:r>
              <w:rPr>
                <w:rFonts w:ascii="Calibri" w:hAnsi="Calibri" w:cs="Calibri"/>
                <w:color w:val="000000"/>
              </w:rPr>
              <w:t xml:space="preserve"> </w:t>
            </w:r>
          </w:p>
        </w:tc>
        <w:tc>
          <w:tcPr>
            <w:tcW w:w="1305" w:type="dxa"/>
          </w:tcPr>
          <w:p w:rsidR="005F70D8" w:rsidRPr="004C52FC" w:rsidRDefault="00756E24" w:rsidP="00756E24">
            <w:pPr>
              <w:rPr>
                <w:rFonts w:asciiTheme="minorHAnsi" w:hAnsiTheme="minorHAnsi" w:cs="Arial"/>
                <w:color w:val="000000" w:themeColor="text1"/>
              </w:rPr>
            </w:pPr>
            <w:r>
              <w:rPr>
                <w:rFonts w:ascii="Arial" w:hAnsi="Arial" w:cs="Arial"/>
                <w:color w:val="000000" w:themeColor="text1"/>
              </w:rPr>
              <w:t>201</w:t>
            </w:r>
            <w:r>
              <w:rPr>
                <w:rFonts w:ascii="Arial" w:hAnsi="Arial" w:cs="Arial"/>
                <w:color w:val="000000" w:themeColor="text1"/>
              </w:rPr>
              <w:t>8</w:t>
            </w:r>
            <w:r w:rsidR="00072C89">
              <w:rPr>
                <w:rFonts w:ascii="Arial" w:hAnsi="Arial" w:cs="Arial"/>
                <w:color w:val="000000" w:themeColor="text1"/>
              </w:rPr>
              <w:t>-</w:t>
            </w:r>
            <w:r>
              <w:rPr>
                <w:rFonts w:ascii="Arial" w:hAnsi="Arial" w:cs="Arial"/>
                <w:color w:val="000000" w:themeColor="text1"/>
              </w:rPr>
              <w:t>201</w:t>
            </w:r>
            <w:r>
              <w:rPr>
                <w:rFonts w:ascii="Arial" w:hAnsi="Arial" w:cs="Arial"/>
                <w:color w:val="000000" w:themeColor="text1"/>
              </w:rPr>
              <w:t>9</w:t>
            </w:r>
          </w:p>
        </w:tc>
        <w:tc>
          <w:tcPr>
            <w:tcW w:w="2250" w:type="dxa"/>
          </w:tcPr>
          <w:p w:rsidR="005F70D8" w:rsidRDefault="00EA31E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p w:rsidR="005F70D8" w:rsidRPr="004C52FC" w:rsidRDefault="005F70D8" w:rsidP="001A2E6B">
            <w:pPr>
              <w:ind w:left="72"/>
              <w:rPr>
                <w:rFonts w:asciiTheme="minorHAnsi" w:hAnsiTheme="minorHAnsi" w:cs="Arial"/>
                <w:color w:val="000000" w:themeColor="text1"/>
              </w:rPr>
            </w:pPr>
          </w:p>
        </w:tc>
        <w:tc>
          <w:tcPr>
            <w:tcW w:w="4028" w:type="dxa"/>
          </w:tcPr>
          <w:p w:rsidR="005F70D8" w:rsidRDefault="00EA31E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p w:rsidR="005F70D8" w:rsidRPr="004C52FC" w:rsidRDefault="005F70D8" w:rsidP="001A2E6B">
            <w:pPr>
              <w:ind w:left="72"/>
              <w:rPr>
                <w:rFonts w:asciiTheme="minorHAnsi" w:hAnsiTheme="minorHAnsi" w:cs="Arial"/>
                <w:color w:val="000000" w:themeColor="text1"/>
              </w:rPr>
            </w:pPr>
          </w:p>
        </w:tc>
      </w:tr>
      <w:tr w:rsidR="005F70D8" w:rsidRPr="004C52FC" w:rsidTr="00BD3E5E">
        <w:tblPrEx>
          <w:shd w:val="clear" w:color="auto" w:fill="auto"/>
          <w:tblLook w:val="04A0" w:firstRow="1" w:lastRow="0" w:firstColumn="1" w:lastColumn="0" w:noHBand="0" w:noVBand="1"/>
        </w:tblPrEx>
        <w:trPr>
          <w:trHeight w:val="72"/>
        </w:trPr>
        <w:tc>
          <w:tcPr>
            <w:tcW w:w="3708" w:type="dxa"/>
          </w:tcPr>
          <w:p w:rsidR="005F70D8" w:rsidRDefault="005F70D8" w:rsidP="005F70D8">
            <w:pPr>
              <w:rPr>
                <w:rFonts w:ascii="Calibri" w:hAnsi="Calibri" w:cs="Calibri"/>
                <w:color w:val="000000"/>
              </w:rPr>
            </w:pPr>
            <w:r>
              <w:rPr>
                <w:rFonts w:ascii="Calibri" w:hAnsi="Calibri" w:cs="Calibri"/>
                <w:color w:val="000000"/>
              </w:rPr>
              <w:t xml:space="preserve">Recognize and articulate an understanding of the increasing </w:t>
            </w:r>
            <w:r>
              <w:rPr>
                <w:rFonts w:ascii="Calibri" w:hAnsi="Calibri" w:cs="Calibri"/>
                <w:color w:val="000000"/>
              </w:rPr>
              <w:lastRenderedPageBreak/>
              <w:t>interdependence of world cultures and their consequences.</w:t>
            </w:r>
          </w:p>
        </w:tc>
        <w:tc>
          <w:tcPr>
            <w:tcW w:w="1867" w:type="dxa"/>
          </w:tcPr>
          <w:p w:rsidR="005F70D8" w:rsidRDefault="005F70D8" w:rsidP="005F70D8">
            <w:pPr>
              <w:rPr>
                <w:rFonts w:ascii="Calibri" w:hAnsi="Calibri" w:cs="Calibri"/>
                <w:color w:val="000000"/>
              </w:rPr>
            </w:pPr>
            <w:r>
              <w:rPr>
                <w:rFonts w:ascii="Calibri" w:hAnsi="Calibri" w:cs="Calibri"/>
                <w:color w:val="000000"/>
              </w:rPr>
              <w:lastRenderedPageBreak/>
              <w:t xml:space="preserve">                                     </w:t>
            </w:r>
          </w:p>
        </w:tc>
        <w:tc>
          <w:tcPr>
            <w:tcW w:w="1305" w:type="dxa"/>
          </w:tcPr>
          <w:p w:rsidR="005F70D8" w:rsidRPr="004C52FC" w:rsidRDefault="00756E24" w:rsidP="00756E24">
            <w:pPr>
              <w:rPr>
                <w:rFonts w:asciiTheme="minorHAnsi" w:hAnsiTheme="minorHAnsi" w:cs="Arial"/>
                <w:color w:val="000000" w:themeColor="text1"/>
              </w:rPr>
            </w:pPr>
            <w:r>
              <w:rPr>
                <w:rFonts w:ascii="Arial" w:hAnsi="Arial" w:cs="Arial"/>
                <w:color w:val="000000" w:themeColor="text1"/>
              </w:rPr>
              <w:t>201</w:t>
            </w:r>
            <w:r>
              <w:rPr>
                <w:rFonts w:ascii="Arial" w:hAnsi="Arial" w:cs="Arial"/>
                <w:color w:val="000000" w:themeColor="text1"/>
              </w:rPr>
              <w:t>9</w:t>
            </w:r>
            <w:r w:rsidR="00072C89">
              <w:rPr>
                <w:rFonts w:ascii="Arial" w:hAnsi="Arial" w:cs="Arial"/>
                <w:color w:val="000000" w:themeColor="text1"/>
              </w:rPr>
              <w:t>-</w:t>
            </w:r>
            <w:r>
              <w:rPr>
                <w:rFonts w:ascii="Arial" w:hAnsi="Arial" w:cs="Arial"/>
                <w:color w:val="000000" w:themeColor="text1"/>
              </w:rPr>
              <w:t>20</w:t>
            </w:r>
            <w:r>
              <w:rPr>
                <w:rFonts w:ascii="Arial" w:hAnsi="Arial" w:cs="Arial"/>
                <w:color w:val="000000" w:themeColor="text1"/>
              </w:rPr>
              <w:t>20</w:t>
            </w:r>
          </w:p>
        </w:tc>
        <w:tc>
          <w:tcPr>
            <w:tcW w:w="2250" w:type="dxa"/>
          </w:tcPr>
          <w:p w:rsidR="005F70D8" w:rsidRDefault="00EA31E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p w:rsidR="005F70D8" w:rsidRPr="004C52FC" w:rsidRDefault="005F70D8" w:rsidP="001A2E6B">
            <w:pPr>
              <w:ind w:left="72"/>
              <w:rPr>
                <w:rFonts w:asciiTheme="minorHAnsi" w:hAnsiTheme="minorHAnsi" w:cs="Arial"/>
                <w:color w:val="000000" w:themeColor="text1"/>
              </w:rPr>
            </w:pPr>
          </w:p>
        </w:tc>
        <w:tc>
          <w:tcPr>
            <w:tcW w:w="4028" w:type="dxa"/>
          </w:tcPr>
          <w:p w:rsidR="005F70D8" w:rsidRDefault="00EA31E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p w:rsidR="005F70D8" w:rsidRPr="004C52FC" w:rsidRDefault="005F70D8" w:rsidP="001A2E6B">
            <w:pPr>
              <w:ind w:left="72"/>
              <w:rPr>
                <w:rFonts w:asciiTheme="minorHAnsi" w:hAnsiTheme="minorHAnsi" w:cs="Arial"/>
                <w:color w:val="000000" w:themeColor="text1"/>
              </w:rPr>
            </w:pPr>
          </w:p>
        </w:tc>
      </w:tr>
    </w:tbl>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846D28" w:rsidTr="00846D28">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46D28" w:rsidRDefault="00846D28">
            <w:pPr>
              <w:tabs>
                <w:tab w:val="left" w:pos="5040"/>
              </w:tabs>
              <w:rPr>
                <w:rFonts w:ascii="Arial" w:hAnsi="Arial" w:cs="Arial"/>
                <w:b/>
                <w:color w:val="000000" w:themeColor="text1"/>
              </w:rPr>
            </w:pPr>
            <w:r>
              <w:rPr>
                <w:rFonts w:ascii="Arial" w:hAnsi="Arial" w:cs="Arial"/>
                <w:b/>
                <w:color w:val="000000" w:themeColor="text1"/>
              </w:rPr>
              <w:lastRenderedPageBreak/>
              <w:t xml:space="preserve">Are changes planned as a result of the assessment of program outcomes?  If so, what are those changes? </w:t>
            </w:r>
          </w:p>
          <w:p w:rsidR="00846D28" w:rsidRDefault="00846D28">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46D28" w:rsidRDefault="00846D28">
            <w:pPr>
              <w:pStyle w:val="ListParagraph"/>
              <w:tabs>
                <w:tab w:val="left" w:pos="5040"/>
              </w:tabs>
              <w:ind w:left="0"/>
              <w:rPr>
                <w:rFonts w:ascii="Arial" w:hAnsi="Arial" w:cs="Arial"/>
                <w:color w:val="000000" w:themeColor="text1"/>
              </w:rPr>
            </w:pPr>
          </w:p>
        </w:tc>
      </w:tr>
      <w:tr w:rsidR="00846D28" w:rsidTr="00846D28">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46D28" w:rsidRDefault="00846D28">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846D28" w:rsidRDefault="00846D28">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46D28" w:rsidRDefault="00846D28">
            <w:pPr>
              <w:pStyle w:val="ListParagraph"/>
              <w:tabs>
                <w:tab w:val="left" w:pos="5040"/>
              </w:tabs>
              <w:ind w:left="0"/>
              <w:rPr>
                <w:rFonts w:ascii="Arial" w:hAnsi="Arial" w:cs="Arial"/>
                <w:color w:val="000000" w:themeColor="text1"/>
              </w:rPr>
            </w:pPr>
          </w:p>
        </w:tc>
      </w:tr>
    </w:tbl>
    <w:p w:rsidR="00846D28" w:rsidRDefault="00846D28" w:rsidP="00FA24D1">
      <w:pPr>
        <w:pStyle w:val="ListParagraph"/>
        <w:tabs>
          <w:tab w:val="left" w:pos="5040"/>
        </w:tabs>
        <w:rPr>
          <w:rFonts w:ascii="Arial" w:hAnsi="Arial" w:cs="Arial"/>
          <w:b/>
          <w:color w:val="000000" w:themeColor="text1"/>
        </w:rPr>
      </w:pPr>
    </w:p>
    <w:p w:rsidR="00846D28" w:rsidRPr="00756E24" w:rsidRDefault="00756E24">
      <w:pPr>
        <w:spacing w:after="200" w:line="276" w:lineRule="auto"/>
        <w:rPr>
          <w:rFonts w:ascii="Arial" w:hAnsi="Arial" w:cs="Arial"/>
          <w:b/>
        </w:rPr>
      </w:pPr>
      <w:r w:rsidRPr="00756E24">
        <w:rPr>
          <w:rFonts w:ascii="Arial" w:hAnsi="Arial" w:cs="Arial"/>
        </w:rPr>
        <w:t>Among the recommendations in our last program review was to revise our program outcomes to better reflect what should be expected of individuals pursuing an associate degree in chemistry.  These are being revised and will be implemented and included in next year’s update.</w:t>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4D531F" w:rsidRDefault="004D531F" w:rsidP="00B61D81">
      <w:pPr>
        <w:rPr>
          <w:rFonts w:ascii="Arial" w:hAnsi="Arial" w:cs="Arial"/>
          <w:b/>
          <w:color w:val="000000" w:themeColor="text1"/>
        </w:rPr>
      </w:pPr>
    </w:p>
    <w:tbl>
      <w:tblPr>
        <w:tblW w:w="13060" w:type="dxa"/>
        <w:tblInd w:w="108" w:type="dxa"/>
        <w:tblLook w:val="04A0" w:firstRow="1" w:lastRow="0" w:firstColumn="1" w:lastColumn="0" w:noHBand="0" w:noVBand="1"/>
      </w:tblPr>
      <w:tblGrid>
        <w:gridCol w:w="960"/>
        <w:gridCol w:w="1307"/>
        <w:gridCol w:w="3220"/>
        <w:gridCol w:w="2320"/>
        <w:gridCol w:w="760"/>
        <w:gridCol w:w="760"/>
        <w:gridCol w:w="760"/>
        <w:gridCol w:w="760"/>
        <w:gridCol w:w="760"/>
        <w:gridCol w:w="760"/>
        <w:gridCol w:w="760"/>
      </w:tblGrid>
      <w:tr w:rsidR="002A4CD9" w:rsidRPr="002A4CD9" w:rsidTr="002A4CD9">
        <w:trPr>
          <w:trHeight w:val="600"/>
        </w:trPr>
        <w:tc>
          <w:tcPr>
            <w:tcW w:w="960" w:type="dxa"/>
            <w:tcBorders>
              <w:top w:val="nil"/>
              <w:left w:val="nil"/>
              <w:bottom w:val="nil"/>
              <w:right w:val="nil"/>
            </w:tcBorders>
            <w:shd w:val="clear" w:color="auto" w:fill="auto"/>
            <w:noWrap/>
            <w:hideMark/>
          </w:tcPr>
          <w:p w:rsidR="002A4CD9" w:rsidRPr="002A4CD9" w:rsidRDefault="002A4CD9" w:rsidP="002A4CD9">
            <w:pPr>
              <w:rPr>
                <w:rFonts w:ascii="Calibri" w:hAnsi="Calibri"/>
                <w:color w:val="000000"/>
                <w:sz w:val="22"/>
                <w:szCs w:val="22"/>
              </w:rPr>
            </w:pPr>
            <w:r w:rsidRPr="002A4CD9">
              <w:rPr>
                <w:rFonts w:ascii="Calibri" w:hAnsi="Calibri"/>
                <w:color w:val="000000"/>
                <w:sz w:val="22"/>
                <w:szCs w:val="22"/>
              </w:rPr>
              <w:t>Division</w:t>
            </w:r>
          </w:p>
        </w:tc>
        <w:tc>
          <w:tcPr>
            <w:tcW w:w="1240" w:type="dxa"/>
            <w:tcBorders>
              <w:top w:val="nil"/>
              <w:left w:val="nil"/>
              <w:bottom w:val="nil"/>
              <w:right w:val="nil"/>
            </w:tcBorders>
            <w:shd w:val="clear" w:color="auto" w:fill="auto"/>
            <w:noWrap/>
            <w:hideMark/>
          </w:tcPr>
          <w:p w:rsidR="002A4CD9" w:rsidRPr="002A4CD9" w:rsidRDefault="002A4CD9" w:rsidP="002A4CD9">
            <w:pPr>
              <w:rPr>
                <w:rFonts w:ascii="Calibri" w:hAnsi="Calibri"/>
                <w:color w:val="000000"/>
                <w:sz w:val="22"/>
                <w:szCs w:val="22"/>
              </w:rPr>
            </w:pPr>
            <w:r w:rsidRPr="002A4CD9">
              <w:rPr>
                <w:rFonts w:ascii="Calibri" w:hAnsi="Calibri"/>
                <w:color w:val="000000"/>
                <w:sz w:val="22"/>
                <w:szCs w:val="22"/>
              </w:rPr>
              <w:t>Department</w:t>
            </w:r>
          </w:p>
        </w:tc>
        <w:tc>
          <w:tcPr>
            <w:tcW w:w="3220" w:type="dxa"/>
            <w:tcBorders>
              <w:top w:val="nil"/>
              <w:left w:val="nil"/>
              <w:bottom w:val="nil"/>
              <w:right w:val="nil"/>
            </w:tcBorders>
            <w:shd w:val="clear" w:color="auto" w:fill="auto"/>
            <w:noWrap/>
            <w:hideMark/>
          </w:tcPr>
          <w:p w:rsidR="002A4CD9" w:rsidRPr="002A4CD9" w:rsidRDefault="002A4CD9" w:rsidP="002A4CD9">
            <w:pPr>
              <w:rPr>
                <w:rFonts w:ascii="Calibri" w:hAnsi="Calibri"/>
                <w:color w:val="000000"/>
                <w:sz w:val="22"/>
                <w:szCs w:val="22"/>
              </w:rPr>
            </w:pPr>
            <w:r w:rsidRPr="002A4CD9">
              <w:rPr>
                <w:rFonts w:ascii="Calibri" w:hAnsi="Calibri"/>
                <w:color w:val="000000"/>
                <w:sz w:val="22"/>
                <w:szCs w:val="22"/>
              </w:rPr>
              <w:t>Department Name</w:t>
            </w:r>
          </w:p>
        </w:tc>
        <w:tc>
          <w:tcPr>
            <w:tcW w:w="2320" w:type="dxa"/>
            <w:tcBorders>
              <w:top w:val="nil"/>
              <w:left w:val="nil"/>
              <w:bottom w:val="nil"/>
              <w:right w:val="nil"/>
            </w:tcBorders>
            <w:shd w:val="clear" w:color="auto" w:fill="auto"/>
            <w:noWrap/>
            <w:hideMark/>
          </w:tcPr>
          <w:p w:rsidR="002A4CD9" w:rsidRPr="002A4CD9" w:rsidRDefault="002A4CD9" w:rsidP="002A4CD9">
            <w:pPr>
              <w:rPr>
                <w:rFonts w:ascii="Calibri" w:hAnsi="Calibri"/>
                <w:color w:val="000000"/>
                <w:sz w:val="22"/>
                <w:szCs w:val="22"/>
              </w:rPr>
            </w:pPr>
            <w:r w:rsidRPr="002A4CD9">
              <w:rPr>
                <w:rFonts w:ascii="Calibri" w:hAnsi="Calibri"/>
                <w:color w:val="000000"/>
                <w:sz w:val="22"/>
                <w:szCs w:val="22"/>
              </w:rPr>
              <w:t>Program</w:t>
            </w:r>
          </w:p>
        </w:tc>
        <w:tc>
          <w:tcPr>
            <w:tcW w:w="760" w:type="dxa"/>
            <w:tcBorders>
              <w:top w:val="nil"/>
              <w:left w:val="nil"/>
              <w:bottom w:val="nil"/>
              <w:right w:val="nil"/>
            </w:tcBorders>
            <w:shd w:val="clear" w:color="auto" w:fill="auto"/>
            <w:hideMark/>
          </w:tcPr>
          <w:p w:rsidR="002A4CD9" w:rsidRPr="002A4CD9" w:rsidRDefault="002A4CD9" w:rsidP="002A4CD9">
            <w:pPr>
              <w:jc w:val="center"/>
              <w:rPr>
                <w:rFonts w:ascii="Calibri" w:hAnsi="Calibri"/>
                <w:color w:val="000000"/>
                <w:sz w:val="22"/>
                <w:szCs w:val="22"/>
              </w:rPr>
            </w:pPr>
            <w:r w:rsidRPr="002A4CD9">
              <w:rPr>
                <w:rFonts w:ascii="Calibri" w:hAnsi="Calibri"/>
                <w:color w:val="000000"/>
                <w:sz w:val="22"/>
                <w:szCs w:val="22"/>
              </w:rPr>
              <w:t>FY 07-08</w:t>
            </w:r>
          </w:p>
        </w:tc>
        <w:tc>
          <w:tcPr>
            <w:tcW w:w="760" w:type="dxa"/>
            <w:tcBorders>
              <w:top w:val="nil"/>
              <w:left w:val="nil"/>
              <w:bottom w:val="nil"/>
              <w:right w:val="nil"/>
            </w:tcBorders>
            <w:shd w:val="clear" w:color="auto" w:fill="auto"/>
            <w:hideMark/>
          </w:tcPr>
          <w:p w:rsidR="002A4CD9" w:rsidRPr="002A4CD9" w:rsidRDefault="002A4CD9" w:rsidP="002A4CD9">
            <w:pPr>
              <w:jc w:val="center"/>
              <w:rPr>
                <w:rFonts w:ascii="Calibri" w:hAnsi="Calibri"/>
                <w:color w:val="000000"/>
                <w:sz w:val="22"/>
                <w:szCs w:val="22"/>
              </w:rPr>
            </w:pPr>
            <w:r w:rsidRPr="002A4CD9">
              <w:rPr>
                <w:rFonts w:ascii="Calibri" w:hAnsi="Calibri"/>
                <w:color w:val="000000"/>
                <w:sz w:val="22"/>
                <w:szCs w:val="22"/>
              </w:rPr>
              <w:t>FY 08-09</w:t>
            </w:r>
          </w:p>
        </w:tc>
        <w:tc>
          <w:tcPr>
            <w:tcW w:w="760" w:type="dxa"/>
            <w:tcBorders>
              <w:top w:val="nil"/>
              <w:left w:val="nil"/>
              <w:bottom w:val="nil"/>
              <w:right w:val="nil"/>
            </w:tcBorders>
            <w:shd w:val="clear" w:color="auto" w:fill="auto"/>
            <w:hideMark/>
          </w:tcPr>
          <w:p w:rsidR="002A4CD9" w:rsidRPr="002A4CD9" w:rsidRDefault="002A4CD9" w:rsidP="002A4CD9">
            <w:pPr>
              <w:jc w:val="center"/>
              <w:rPr>
                <w:rFonts w:ascii="Calibri" w:hAnsi="Calibri"/>
                <w:color w:val="000000"/>
                <w:sz w:val="22"/>
                <w:szCs w:val="22"/>
              </w:rPr>
            </w:pPr>
            <w:r w:rsidRPr="002A4CD9">
              <w:rPr>
                <w:rFonts w:ascii="Calibri" w:hAnsi="Calibri"/>
                <w:color w:val="000000"/>
                <w:sz w:val="22"/>
                <w:szCs w:val="22"/>
              </w:rPr>
              <w:t>FY 09-10</w:t>
            </w:r>
          </w:p>
        </w:tc>
        <w:tc>
          <w:tcPr>
            <w:tcW w:w="760" w:type="dxa"/>
            <w:tcBorders>
              <w:top w:val="nil"/>
              <w:left w:val="nil"/>
              <w:bottom w:val="nil"/>
              <w:right w:val="nil"/>
            </w:tcBorders>
            <w:shd w:val="clear" w:color="auto" w:fill="auto"/>
            <w:hideMark/>
          </w:tcPr>
          <w:p w:rsidR="002A4CD9" w:rsidRPr="002A4CD9" w:rsidRDefault="002A4CD9" w:rsidP="002A4CD9">
            <w:pPr>
              <w:jc w:val="center"/>
              <w:rPr>
                <w:rFonts w:ascii="Calibri" w:hAnsi="Calibri"/>
                <w:color w:val="000000"/>
                <w:sz w:val="22"/>
                <w:szCs w:val="22"/>
              </w:rPr>
            </w:pPr>
            <w:r w:rsidRPr="002A4CD9">
              <w:rPr>
                <w:rFonts w:ascii="Calibri" w:hAnsi="Calibri"/>
                <w:color w:val="000000"/>
                <w:sz w:val="22"/>
                <w:szCs w:val="22"/>
              </w:rPr>
              <w:t>FY 10-11</w:t>
            </w:r>
          </w:p>
        </w:tc>
        <w:tc>
          <w:tcPr>
            <w:tcW w:w="760" w:type="dxa"/>
            <w:tcBorders>
              <w:top w:val="nil"/>
              <w:left w:val="nil"/>
              <w:bottom w:val="nil"/>
              <w:right w:val="nil"/>
            </w:tcBorders>
            <w:shd w:val="clear" w:color="auto" w:fill="auto"/>
            <w:hideMark/>
          </w:tcPr>
          <w:p w:rsidR="002A4CD9" w:rsidRPr="002A4CD9" w:rsidRDefault="002A4CD9" w:rsidP="002A4CD9">
            <w:pPr>
              <w:jc w:val="center"/>
              <w:rPr>
                <w:rFonts w:ascii="Calibri" w:hAnsi="Calibri"/>
                <w:color w:val="000000"/>
                <w:sz w:val="22"/>
                <w:szCs w:val="22"/>
              </w:rPr>
            </w:pPr>
            <w:r w:rsidRPr="002A4CD9">
              <w:rPr>
                <w:rFonts w:ascii="Calibri" w:hAnsi="Calibri"/>
                <w:color w:val="000000"/>
                <w:sz w:val="22"/>
                <w:szCs w:val="22"/>
              </w:rPr>
              <w:t>FY 11-12</w:t>
            </w:r>
          </w:p>
        </w:tc>
        <w:tc>
          <w:tcPr>
            <w:tcW w:w="760" w:type="dxa"/>
            <w:tcBorders>
              <w:top w:val="nil"/>
              <w:left w:val="nil"/>
              <w:bottom w:val="nil"/>
              <w:right w:val="nil"/>
            </w:tcBorders>
            <w:shd w:val="clear" w:color="auto" w:fill="auto"/>
            <w:hideMark/>
          </w:tcPr>
          <w:p w:rsidR="002A4CD9" w:rsidRPr="002A4CD9" w:rsidRDefault="002A4CD9" w:rsidP="002A4CD9">
            <w:pPr>
              <w:jc w:val="center"/>
              <w:rPr>
                <w:rFonts w:ascii="Calibri" w:hAnsi="Calibri"/>
                <w:color w:val="000000"/>
                <w:sz w:val="22"/>
                <w:szCs w:val="22"/>
              </w:rPr>
            </w:pPr>
            <w:r w:rsidRPr="002A4CD9">
              <w:rPr>
                <w:rFonts w:ascii="Calibri" w:hAnsi="Calibri"/>
                <w:color w:val="000000"/>
                <w:sz w:val="22"/>
                <w:szCs w:val="22"/>
              </w:rPr>
              <w:t>FY 12-13</w:t>
            </w:r>
          </w:p>
        </w:tc>
        <w:tc>
          <w:tcPr>
            <w:tcW w:w="760" w:type="dxa"/>
            <w:tcBorders>
              <w:top w:val="nil"/>
              <w:left w:val="nil"/>
              <w:bottom w:val="nil"/>
              <w:right w:val="nil"/>
            </w:tcBorders>
            <w:shd w:val="clear" w:color="auto" w:fill="auto"/>
            <w:hideMark/>
          </w:tcPr>
          <w:p w:rsidR="002A4CD9" w:rsidRPr="002A4CD9" w:rsidRDefault="002A4CD9" w:rsidP="002A4CD9">
            <w:pPr>
              <w:jc w:val="center"/>
              <w:rPr>
                <w:rFonts w:ascii="Calibri" w:hAnsi="Calibri"/>
                <w:color w:val="000000"/>
                <w:sz w:val="22"/>
                <w:szCs w:val="22"/>
              </w:rPr>
            </w:pPr>
            <w:r w:rsidRPr="002A4CD9">
              <w:rPr>
                <w:rFonts w:ascii="Calibri" w:hAnsi="Calibri"/>
                <w:color w:val="000000"/>
                <w:sz w:val="22"/>
                <w:szCs w:val="22"/>
              </w:rPr>
              <w:t>FY 13-14</w:t>
            </w:r>
          </w:p>
        </w:tc>
      </w:tr>
      <w:tr w:rsidR="002A4CD9" w:rsidRPr="002A4CD9" w:rsidTr="002A4CD9">
        <w:trPr>
          <w:trHeight w:val="300"/>
        </w:trPr>
        <w:tc>
          <w:tcPr>
            <w:tcW w:w="960" w:type="dxa"/>
            <w:tcBorders>
              <w:top w:val="nil"/>
              <w:left w:val="nil"/>
              <w:bottom w:val="nil"/>
              <w:right w:val="nil"/>
            </w:tcBorders>
            <w:shd w:val="clear" w:color="auto" w:fill="auto"/>
            <w:noWrap/>
            <w:vAlign w:val="bottom"/>
            <w:hideMark/>
          </w:tcPr>
          <w:p w:rsidR="002A4CD9" w:rsidRPr="002A4CD9" w:rsidRDefault="002A4CD9" w:rsidP="002A4CD9">
            <w:pPr>
              <w:rPr>
                <w:rFonts w:ascii="Calibri" w:hAnsi="Calibri"/>
                <w:color w:val="000000"/>
                <w:sz w:val="22"/>
                <w:szCs w:val="22"/>
              </w:rPr>
            </w:pPr>
            <w:r w:rsidRPr="002A4CD9">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2A4CD9" w:rsidRPr="002A4CD9" w:rsidRDefault="002A4CD9" w:rsidP="002A4CD9">
            <w:pPr>
              <w:rPr>
                <w:rFonts w:ascii="Calibri" w:hAnsi="Calibri"/>
                <w:color w:val="000000"/>
                <w:sz w:val="22"/>
                <w:szCs w:val="22"/>
              </w:rPr>
            </w:pPr>
            <w:r w:rsidRPr="002A4CD9">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2A4CD9" w:rsidRPr="002A4CD9" w:rsidRDefault="002A4CD9" w:rsidP="002A4CD9">
            <w:pPr>
              <w:rPr>
                <w:rFonts w:ascii="Calibri" w:hAnsi="Calibri"/>
                <w:color w:val="000000"/>
                <w:sz w:val="22"/>
                <w:szCs w:val="22"/>
              </w:rPr>
            </w:pPr>
            <w:r w:rsidRPr="002A4CD9">
              <w:rPr>
                <w:rFonts w:ascii="Calibri" w:hAnsi="Calibri"/>
                <w:color w:val="000000"/>
                <w:sz w:val="22"/>
                <w:szCs w:val="22"/>
              </w:rPr>
              <w:t>Chemistry</w:t>
            </w:r>
          </w:p>
        </w:tc>
        <w:tc>
          <w:tcPr>
            <w:tcW w:w="2320" w:type="dxa"/>
            <w:tcBorders>
              <w:top w:val="nil"/>
              <w:left w:val="nil"/>
              <w:bottom w:val="nil"/>
              <w:right w:val="nil"/>
            </w:tcBorders>
            <w:shd w:val="clear" w:color="auto" w:fill="auto"/>
            <w:noWrap/>
            <w:vAlign w:val="bottom"/>
            <w:hideMark/>
          </w:tcPr>
          <w:p w:rsidR="002A4CD9" w:rsidRPr="002A4CD9" w:rsidRDefault="002A4CD9" w:rsidP="002A4CD9">
            <w:pPr>
              <w:rPr>
                <w:rFonts w:ascii="Calibri" w:hAnsi="Calibri"/>
                <w:color w:val="000000"/>
                <w:sz w:val="22"/>
                <w:szCs w:val="22"/>
              </w:rPr>
            </w:pPr>
            <w:r w:rsidRPr="002A4CD9">
              <w:rPr>
                <w:rFonts w:ascii="Calibri" w:hAnsi="Calibri"/>
                <w:color w:val="000000"/>
                <w:sz w:val="22"/>
                <w:szCs w:val="22"/>
              </w:rPr>
              <w:t>CHEE.AS</w:t>
            </w:r>
          </w:p>
        </w:tc>
        <w:tc>
          <w:tcPr>
            <w:tcW w:w="760" w:type="dxa"/>
            <w:tcBorders>
              <w:top w:val="nil"/>
              <w:left w:val="nil"/>
              <w:bottom w:val="nil"/>
              <w:right w:val="nil"/>
            </w:tcBorders>
            <w:shd w:val="clear" w:color="auto" w:fill="auto"/>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9</w:t>
            </w:r>
          </w:p>
        </w:tc>
        <w:tc>
          <w:tcPr>
            <w:tcW w:w="760" w:type="dxa"/>
            <w:tcBorders>
              <w:top w:val="nil"/>
              <w:left w:val="nil"/>
              <w:bottom w:val="nil"/>
              <w:right w:val="nil"/>
            </w:tcBorders>
            <w:shd w:val="clear" w:color="auto" w:fill="auto"/>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w:t>
            </w:r>
          </w:p>
        </w:tc>
      </w:tr>
      <w:tr w:rsidR="002A4CD9" w:rsidRPr="002A4CD9" w:rsidTr="002A4CD9">
        <w:trPr>
          <w:trHeight w:val="300"/>
        </w:trPr>
        <w:tc>
          <w:tcPr>
            <w:tcW w:w="960" w:type="dxa"/>
            <w:tcBorders>
              <w:top w:val="nil"/>
              <w:left w:val="nil"/>
              <w:bottom w:val="nil"/>
              <w:right w:val="nil"/>
            </w:tcBorders>
            <w:shd w:val="clear" w:color="000000" w:fill="D9D9D9"/>
            <w:noWrap/>
            <w:vAlign w:val="bottom"/>
            <w:hideMark/>
          </w:tcPr>
          <w:p w:rsidR="002A4CD9" w:rsidRPr="002A4CD9" w:rsidRDefault="002A4CD9" w:rsidP="002A4CD9">
            <w:pPr>
              <w:rPr>
                <w:rFonts w:ascii="Calibri" w:hAnsi="Calibri"/>
                <w:color w:val="000000"/>
                <w:sz w:val="22"/>
                <w:szCs w:val="22"/>
              </w:rPr>
            </w:pPr>
            <w:r w:rsidRPr="002A4CD9">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2A4CD9" w:rsidRPr="002A4CD9" w:rsidRDefault="002A4CD9" w:rsidP="002A4CD9">
            <w:pPr>
              <w:rPr>
                <w:rFonts w:ascii="Calibri" w:hAnsi="Calibri"/>
                <w:color w:val="000000"/>
                <w:sz w:val="22"/>
                <w:szCs w:val="22"/>
              </w:rPr>
            </w:pPr>
            <w:r w:rsidRPr="002A4CD9">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2A4CD9" w:rsidRPr="002A4CD9" w:rsidRDefault="002A4CD9" w:rsidP="002A4CD9">
            <w:pPr>
              <w:rPr>
                <w:rFonts w:ascii="Calibri" w:hAnsi="Calibri"/>
                <w:color w:val="000000"/>
                <w:sz w:val="22"/>
                <w:szCs w:val="22"/>
              </w:rPr>
            </w:pPr>
            <w:r w:rsidRPr="002A4CD9">
              <w:rPr>
                <w:rFonts w:ascii="Calibri" w:hAnsi="Calibri"/>
                <w:color w:val="000000"/>
                <w:sz w:val="22"/>
                <w:szCs w:val="22"/>
              </w:rPr>
              <w:t>Chemistry</w:t>
            </w:r>
          </w:p>
        </w:tc>
        <w:tc>
          <w:tcPr>
            <w:tcW w:w="2320" w:type="dxa"/>
            <w:tcBorders>
              <w:top w:val="nil"/>
              <w:left w:val="nil"/>
              <w:bottom w:val="nil"/>
              <w:right w:val="nil"/>
            </w:tcBorders>
            <w:shd w:val="clear" w:color="000000" w:fill="D9D9D9"/>
            <w:noWrap/>
            <w:vAlign w:val="bottom"/>
            <w:hideMark/>
          </w:tcPr>
          <w:p w:rsidR="002A4CD9" w:rsidRPr="002A4CD9" w:rsidRDefault="002A4CD9" w:rsidP="002A4CD9">
            <w:pPr>
              <w:rPr>
                <w:rFonts w:ascii="Calibri" w:hAnsi="Calibri"/>
                <w:color w:val="000000"/>
                <w:sz w:val="22"/>
                <w:szCs w:val="22"/>
              </w:rPr>
            </w:pPr>
            <w:r w:rsidRPr="002A4CD9">
              <w:rPr>
                <w:rFonts w:ascii="Calibri" w:hAnsi="Calibri"/>
                <w:color w:val="000000"/>
                <w:sz w:val="22"/>
                <w:szCs w:val="22"/>
              </w:rPr>
              <w:t>CHEE.S.AS</w:t>
            </w:r>
          </w:p>
        </w:tc>
        <w:tc>
          <w:tcPr>
            <w:tcW w:w="760" w:type="dxa"/>
            <w:tcBorders>
              <w:top w:val="nil"/>
              <w:left w:val="nil"/>
              <w:bottom w:val="nil"/>
              <w:right w:val="nil"/>
            </w:tcBorders>
            <w:shd w:val="clear" w:color="000000" w:fill="D9D9D9"/>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3</w:t>
            </w:r>
          </w:p>
        </w:tc>
      </w:tr>
      <w:tr w:rsidR="002A4CD9" w:rsidRPr="002A4CD9" w:rsidTr="002A4CD9">
        <w:trPr>
          <w:trHeight w:val="300"/>
        </w:trPr>
        <w:tc>
          <w:tcPr>
            <w:tcW w:w="960" w:type="dxa"/>
            <w:tcBorders>
              <w:top w:val="nil"/>
              <w:left w:val="nil"/>
              <w:bottom w:val="nil"/>
              <w:right w:val="nil"/>
            </w:tcBorders>
            <w:shd w:val="clear" w:color="auto" w:fill="auto"/>
            <w:noWrap/>
            <w:vAlign w:val="bottom"/>
            <w:hideMark/>
          </w:tcPr>
          <w:p w:rsidR="002A4CD9" w:rsidRPr="002A4CD9" w:rsidRDefault="002A4CD9" w:rsidP="002A4CD9">
            <w:pPr>
              <w:rPr>
                <w:rFonts w:ascii="Calibri" w:hAnsi="Calibri"/>
                <w:color w:val="000000"/>
                <w:sz w:val="22"/>
                <w:szCs w:val="22"/>
              </w:rPr>
            </w:pPr>
            <w:r w:rsidRPr="002A4CD9">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2A4CD9" w:rsidRPr="002A4CD9" w:rsidRDefault="002A4CD9" w:rsidP="002A4CD9">
            <w:pPr>
              <w:rPr>
                <w:rFonts w:ascii="Calibri" w:hAnsi="Calibri"/>
                <w:color w:val="000000"/>
                <w:sz w:val="22"/>
                <w:szCs w:val="22"/>
              </w:rPr>
            </w:pPr>
            <w:r w:rsidRPr="002A4CD9">
              <w:rPr>
                <w:rFonts w:ascii="Calibri" w:hAnsi="Calibri"/>
                <w:color w:val="000000"/>
                <w:sz w:val="22"/>
                <w:szCs w:val="22"/>
              </w:rPr>
              <w:t>0357</w:t>
            </w:r>
          </w:p>
        </w:tc>
        <w:tc>
          <w:tcPr>
            <w:tcW w:w="3220" w:type="dxa"/>
            <w:tcBorders>
              <w:top w:val="nil"/>
              <w:left w:val="nil"/>
              <w:bottom w:val="nil"/>
              <w:right w:val="nil"/>
            </w:tcBorders>
            <w:shd w:val="clear" w:color="auto" w:fill="auto"/>
            <w:noWrap/>
            <w:vAlign w:val="bottom"/>
            <w:hideMark/>
          </w:tcPr>
          <w:p w:rsidR="002A4CD9" w:rsidRPr="002A4CD9" w:rsidRDefault="002A4CD9" w:rsidP="002A4CD9">
            <w:pPr>
              <w:rPr>
                <w:rFonts w:ascii="Calibri" w:hAnsi="Calibri"/>
                <w:color w:val="000000"/>
                <w:sz w:val="22"/>
                <w:szCs w:val="22"/>
              </w:rPr>
            </w:pPr>
            <w:r w:rsidRPr="002A4CD9">
              <w:rPr>
                <w:rFonts w:ascii="Calibri" w:hAnsi="Calibri"/>
                <w:color w:val="000000"/>
                <w:sz w:val="22"/>
                <w:szCs w:val="22"/>
              </w:rPr>
              <w:t>Geology</w:t>
            </w:r>
          </w:p>
        </w:tc>
        <w:tc>
          <w:tcPr>
            <w:tcW w:w="2320" w:type="dxa"/>
            <w:tcBorders>
              <w:top w:val="nil"/>
              <w:left w:val="nil"/>
              <w:bottom w:val="nil"/>
              <w:right w:val="nil"/>
            </w:tcBorders>
            <w:shd w:val="clear" w:color="auto" w:fill="auto"/>
            <w:noWrap/>
            <w:vAlign w:val="bottom"/>
            <w:hideMark/>
          </w:tcPr>
          <w:p w:rsidR="002A4CD9" w:rsidRPr="002A4CD9" w:rsidRDefault="002A4CD9" w:rsidP="002A4CD9">
            <w:pPr>
              <w:rPr>
                <w:rFonts w:ascii="Calibri" w:hAnsi="Calibri"/>
                <w:color w:val="000000"/>
                <w:sz w:val="22"/>
                <w:szCs w:val="22"/>
              </w:rPr>
            </w:pPr>
            <w:r w:rsidRPr="002A4CD9">
              <w:rPr>
                <w:rFonts w:ascii="Calibri" w:hAnsi="Calibri"/>
                <w:color w:val="000000"/>
                <w:sz w:val="22"/>
                <w:szCs w:val="22"/>
              </w:rPr>
              <w:t>GLGE.AS</w:t>
            </w:r>
          </w:p>
        </w:tc>
        <w:tc>
          <w:tcPr>
            <w:tcW w:w="760" w:type="dxa"/>
            <w:tcBorders>
              <w:top w:val="nil"/>
              <w:left w:val="nil"/>
              <w:bottom w:val="nil"/>
              <w:right w:val="nil"/>
            </w:tcBorders>
            <w:shd w:val="clear" w:color="auto" w:fill="auto"/>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2A4CD9" w:rsidRPr="002A4CD9" w:rsidRDefault="002A4CD9" w:rsidP="002A4CD9">
            <w:pPr>
              <w:jc w:val="right"/>
              <w:rPr>
                <w:rFonts w:ascii="Calibri" w:hAnsi="Calibri"/>
                <w:color w:val="000000"/>
                <w:sz w:val="22"/>
                <w:szCs w:val="22"/>
              </w:rPr>
            </w:pPr>
            <w:r w:rsidRPr="002A4CD9">
              <w:rPr>
                <w:rFonts w:ascii="Calibri" w:hAnsi="Calibri"/>
                <w:color w:val="000000"/>
                <w:sz w:val="22"/>
                <w:szCs w:val="22"/>
              </w:rPr>
              <w:t>.</w:t>
            </w:r>
          </w:p>
        </w:tc>
      </w:tr>
    </w:tbl>
    <w:p w:rsidR="004D531F" w:rsidRDefault="004D531F">
      <w:pPr>
        <w:spacing w:after="200" w:line="276" w:lineRule="auto"/>
        <w:rPr>
          <w:rFonts w:ascii="Arial" w:hAnsi="Arial" w:cs="Arial"/>
          <w:b/>
          <w:color w:val="000000" w:themeColor="text1"/>
        </w:rPr>
      </w:pPr>
    </w:p>
    <w:p w:rsidR="002A4CD9" w:rsidRDefault="002A4CD9">
      <w:pPr>
        <w:spacing w:after="200" w:line="276" w:lineRule="auto"/>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2920" w:type="dxa"/>
        <w:tblInd w:w="108" w:type="dxa"/>
        <w:tblLook w:val="04A0" w:firstRow="1" w:lastRow="0" w:firstColumn="1" w:lastColumn="0" w:noHBand="0" w:noVBand="1"/>
      </w:tblPr>
      <w:tblGrid>
        <w:gridCol w:w="1420"/>
        <w:gridCol w:w="3220"/>
        <w:gridCol w:w="1760"/>
        <w:gridCol w:w="266"/>
        <w:gridCol w:w="875"/>
        <w:gridCol w:w="875"/>
        <w:gridCol w:w="875"/>
        <w:gridCol w:w="875"/>
        <w:gridCol w:w="1000"/>
        <w:gridCol w:w="960"/>
        <w:gridCol w:w="960"/>
      </w:tblGrid>
      <w:tr w:rsidR="00986BC5" w:rsidRPr="00986BC5" w:rsidTr="00986BC5">
        <w:trPr>
          <w:trHeight w:val="600"/>
        </w:trPr>
        <w:tc>
          <w:tcPr>
            <w:tcW w:w="1420" w:type="dxa"/>
            <w:tcBorders>
              <w:top w:val="nil"/>
              <w:left w:val="nil"/>
              <w:bottom w:val="nil"/>
              <w:right w:val="nil"/>
            </w:tcBorders>
            <w:shd w:val="clear" w:color="auto" w:fill="auto"/>
            <w:hideMark/>
          </w:tcPr>
          <w:p w:rsidR="00986BC5" w:rsidRPr="00986BC5" w:rsidRDefault="00986BC5" w:rsidP="00986BC5">
            <w:pPr>
              <w:rPr>
                <w:rFonts w:ascii="Calibri" w:hAnsi="Calibri"/>
                <w:b/>
                <w:bCs/>
                <w:color w:val="000000"/>
                <w:sz w:val="22"/>
                <w:szCs w:val="22"/>
              </w:rPr>
            </w:pPr>
            <w:r w:rsidRPr="00986BC5">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rsidR="00986BC5" w:rsidRPr="00986BC5" w:rsidRDefault="00986BC5" w:rsidP="00986BC5">
            <w:pPr>
              <w:rPr>
                <w:rFonts w:ascii="Calibri" w:hAnsi="Calibri"/>
                <w:b/>
                <w:bCs/>
                <w:color w:val="000000"/>
                <w:sz w:val="22"/>
                <w:szCs w:val="22"/>
              </w:rPr>
            </w:pPr>
            <w:r w:rsidRPr="00986BC5">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rsidR="00986BC5" w:rsidRPr="00986BC5" w:rsidRDefault="00986BC5" w:rsidP="00986BC5">
            <w:pPr>
              <w:rPr>
                <w:rFonts w:ascii="Calibri" w:hAnsi="Calibri"/>
                <w:b/>
                <w:bCs/>
                <w:color w:val="000000"/>
                <w:sz w:val="22"/>
                <w:szCs w:val="22"/>
              </w:rPr>
            </w:pPr>
            <w:r w:rsidRPr="00986BC5">
              <w:rPr>
                <w:rFonts w:ascii="Calibri" w:hAnsi="Calibri"/>
                <w:b/>
                <w:bCs/>
                <w:color w:val="000000"/>
                <w:sz w:val="22"/>
                <w:szCs w:val="22"/>
              </w:rPr>
              <w:t>Course</w:t>
            </w:r>
          </w:p>
        </w:tc>
        <w:tc>
          <w:tcPr>
            <w:tcW w:w="160" w:type="dxa"/>
            <w:tcBorders>
              <w:top w:val="nil"/>
              <w:left w:val="nil"/>
              <w:bottom w:val="nil"/>
              <w:right w:val="nil"/>
            </w:tcBorders>
            <w:shd w:val="clear" w:color="auto" w:fill="auto"/>
            <w:hideMark/>
          </w:tcPr>
          <w:p w:rsidR="00986BC5" w:rsidRPr="00986BC5" w:rsidRDefault="00986BC5" w:rsidP="00986BC5">
            <w:pPr>
              <w:rPr>
                <w:rFonts w:ascii="Calibri" w:hAnsi="Calibri"/>
                <w:b/>
                <w:bCs/>
                <w:color w:val="000000"/>
                <w:sz w:val="22"/>
                <w:szCs w:val="22"/>
              </w:rPr>
            </w:pPr>
          </w:p>
        </w:tc>
        <w:tc>
          <w:tcPr>
            <w:tcW w:w="860" w:type="dxa"/>
            <w:tcBorders>
              <w:top w:val="nil"/>
              <w:left w:val="nil"/>
              <w:bottom w:val="nil"/>
              <w:right w:val="nil"/>
            </w:tcBorders>
            <w:shd w:val="clear" w:color="auto" w:fill="auto"/>
            <w:hideMark/>
          </w:tcPr>
          <w:p w:rsidR="00986BC5" w:rsidRPr="00986BC5" w:rsidRDefault="00986BC5" w:rsidP="00986BC5">
            <w:pPr>
              <w:jc w:val="right"/>
              <w:rPr>
                <w:rFonts w:ascii="Calibri" w:hAnsi="Calibri"/>
                <w:b/>
                <w:bCs/>
                <w:color w:val="000000"/>
                <w:sz w:val="22"/>
                <w:szCs w:val="22"/>
              </w:rPr>
            </w:pPr>
            <w:r w:rsidRPr="00986BC5">
              <w:rPr>
                <w:rFonts w:ascii="Calibri" w:hAnsi="Calibri"/>
                <w:b/>
                <w:bCs/>
                <w:color w:val="000000"/>
                <w:sz w:val="22"/>
                <w:szCs w:val="22"/>
              </w:rPr>
              <w:t>FY 07-08</w:t>
            </w:r>
          </w:p>
        </w:tc>
        <w:tc>
          <w:tcPr>
            <w:tcW w:w="860" w:type="dxa"/>
            <w:tcBorders>
              <w:top w:val="nil"/>
              <w:left w:val="nil"/>
              <w:bottom w:val="nil"/>
              <w:right w:val="nil"/>
            </w:tcBorders>
            <w:shd w:val="clear" w:color="auto" w:fill="auto"/>
            <w:hideMark/>
          </w:tcPr>
          <w:p w:rsidR="00986BC5" w:rsidRPr="00986BC5" w:rsidRDefault="00986BC5" w:rsidP="00986BC5">
            <w:pPr>
              <w:jc w:val="right"/>
              <w:rPr>
                <w:rFonts w:ascii="Calibri" w:hAnsi="Calibri"/>
                <w:b/>
                <w:bCs/>
                <w:color w:val="000000"/>
                <w:sz w:val="22"/>
                <w:szCs w:val="22"/>
              </w:rPr>
            </w:pPr>
            <w:r w:rsidRPr="00986BC5">
              <w:rPr>
                <w:rFonts w:ascii="Calibri" w:hAnsi="Calibri"/>
                <w:b/>
                <w:bCs/>
                <w:color w:val="000000"/>
                <w:sz w:val="22"/>
                <w:szCs w:val="22"/>
              </w:rPr>
              <w:t>FY 08-09</w:t>
            </w:r>
          </w:p>
        </w:tc>
        <w:tc>
          <w:tcPr>
            <w:tcW w:w="860" w:type="dxa"/>
            <w:tcBorders>
              <w:top w:val="nil"/>
              <w:left w:val="nil"/>
              <w:bottom w:val="nil"/>
              <w:right w:val="nil"/>
            </w:tcBorders>
            <w:shd w:val="clear" w:color="auto" w:fill="auto"/>
            <w:hideMark/>
          </w:tcPr>
          <w:p w:rsidR="00986BC5" w:rsidRPr="00986BC5" w:rsidRDefault="00986BC5" w:rsidP="00986BC5">
            <w:pPr>
              <w:jc w:val="right"/>
              <w:rPr>
                <w:rFonts w:ascii="Calibri" w:hAnsi="Calibri"/>
                <w:b/>
                <w:bCs/>
                <w:color w:val="000000"/>
                <w:sz w:val="22"/>
                <w:szCs w:val="22"/>
              </w:rPr>
            </w:pPr>
            <w:r w:rsidRPr="00986BC5">
              <w:rPr>
                <w:rFonts w:ascii="Calibri" w:hAnsi="Calibri"/>
                <w:b/>
                <w:bCs/>
                <w:color w:val="000000"/>
                <w:sz w:val="22"/>
                <w:szCs w:val="22"/>
              </w:rPr>
              <w:t>FY 09-10</w:t>
            </w:r>
          </w:p>
        </w:tc>
        <w:tc>
          <w:tcPr>
            <w:tcW w:w="860" w:type="dxa"/>
            <w:tcBorders>
              <w:top w:val="nil"/>
              <w:left w:val="nil"/>
              <w:bottom w:val="nil"/>
              <w:right w:val="nil"/>
            </w:tcBorders>
            <w:shd w:val="clear" w:color="auto" w:fill="auto"/>
            <w:hideMark/>
          </w:tcPr>
          <w:p w:rsidR="00986BC5" w:rsidRPr="00986BC5" w:rsidRDefault="00986BC5" w:rsidP="00986BC5">
            <w:pPr>
              <w:jc w:val="right"/>
              <w:rPr>
                <w:rFonts w:ascii="Calibri" w:hAnsi="Calibri"/>
                <w:b/>
                <w:bCs/>
                <w:color w:val="000000"/>
                <w:sz w:val="22"/>
                <w:szCs w:val="22"/>
              </w:rPr>
            </w:pPr>
            <w:r w:rsidRPr="00986BC5">
              <w:rPr>
                <w:rFonts w:ascii="Calibri" w:hAnsi="Calibri"/>
                <w:b/>
                <w:bCs/>
                <w:color w:val="000000"/>
                <w:sz w:val="22"/>
                <w:szCs w:val="22"/>
              </w:rPr>
              <w:t>FY 10-11</w:t>
            </w:r>
          </w:p>
        </w:tc>
        <w:tc>
          <w:tcPr>
            <w:tcW w:w="1000" w:type="dxa"/>
            <w:tcBorders>
              <w:top w:val="nil"/>
              <w:left w:val="nil"/>
              <w:bottom w:val="nil"/>
              <w:right w:val="nil"/>
            </w:tcBorders>
            <w:shd w:val="clear" w:color="auto" w:fill="auto"/>
            <w:hideMark/>
          </w:tcPr>
          <w:p w:rsidR="00986BC5" w:rsidRPr="00986BC5" w:rsidRDefault="00986BC5" w:rsidP="00986BC5">
            <w:pPr>
              <w:jc w:val="right"/>
              <w:rPr>
                <w:rFonts w:ascii="Calibri" w:hAnsi="Calibri"/>
                <w:b/>
                <w:bCs/>
                <w:color w:val="000000"/>
                <w:sz w:val="22"/>
                <w:szCs w:val="22"/>
              </w:rPr>
            </w:pPr>
            <w:r w:rsidRPr="00986BC5">
              <w:rPr>
                <w:rFonts w:ascii="Calibri" w:hAnsi="Calibri"/>
                <w:b/>
                <w:bCs/>
                <w:color w:val="000000"/>
                <w:sz w:val="22"/>
                <w:szCs w:val="22"/>
              </w:rPr>
              <w:t>FY 11-12</w:t>
            </w:r>
          </w:p>
        </w:tc>
        <w:tc>
          <w:tcPr>
            <w:tcW w:w="960" w:type="dxa"/>
            <w:tcBorders>
              <w:top w:val="nil"/>
              <w:left w:val="nil"/>
              <w:bottom w:val="nil"/>
              <w:right w:val="nil"/>
            </w:tcBorders>
            <w:shd w:val="clear" w:color="auto" w:fill="auto"/>
            <w:hideMark/>
          </w:tcPr>
          <w:p w:rsidR="00986BC5" w:rsidRPr="00986BC5" w:rsidRDefault="00986BC5" w:rsidP="00986BC5">
            <w:pPr>
              <w:jc w:val="right"/>
              <w:rPr>
                <w:rFonts w:ascii="Calibri" w:hAnsi="Calibri"/>
                <w:b/>
                <w:bCs/>
                <w:color w:val="000000"/>
                <w:sz w:val="22"/>
                <w:szCs w:val="22"/>
              </w:rPr>
            </w:pPr>
            <w:r w:rsidRPr="00986BC5">
              <w:rPr>
                <w:rFonts w:ascii="Calibri" w:hAnsi="Calibri"/>
                <w:b/>
                <w:bCs/>
                <w:color w:val="000000"/>
                <w:sz w:val="22"/>
                <w:szCs w:val="22"/>
              </w:rPr>
              <w:t>FY 12-13</w:t>
            </w:r>
          </w:p>
        </w:tc>
        <w:tc>
          <w:tcPr>
            <w:tcW w:w="960" w:type="dxa"/>
            <w:tcBorders>
              <w:top w:val="nil"/>
              <w:left w:val="nil"/>
              <w:bottom w:val="nil"/>
              <w:right w:val="nil"/>
            </w:tcBorders>
            <w:shd w:val="clear" w:color="auto" w:fill="auto"/>
            <w:hideMark/>
          </w:tcPr>
          <w:p w:rsidR="00986BC5" w:rsidRPr="00986BC5" w:rsidRDefault="00986BC5" w:rsidP="00986BC5">
            <w:pPr>
              <w:jc w:val="right"/>
              <w:rPr>
                <w:rFonts w:ascii="Calibri" w:hAnsi="Calibri"/>
                <w:b/>
                <w:bCs/>
                <w:color w:val="000000"/>
                <w:sz w:val="22"/>
                <w:szCs w:val="22"/>
              </w:rPr>
            </w:pPr>
            <w:r w:rsidRPr="00986BC5">
              <w:rPr>
                <w:rFonts w:ascii="Calibri" w:hAnsi="Calibri"/>
                <w:b/>
                <w:bCs/>
                <w:color w:val="000000"/>
                <w:sz w:val="22"/>
                <w:szCs w:val="22"/>
              </w:rPr>
              <w:t>FY 13-14</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CHE-1111</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61.9%</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63.4%</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lastRenderedPageBreak/>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CHE-1121</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77.0%</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65.5%</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CHE-1151</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CHE-1161</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CHE-120</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67.2%</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66.5%</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63.1%</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60.3%</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66.6%</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71.4%</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CHE-121</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83.3%</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88.0%</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85.7%</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83.3%</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78.2%</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71.4%</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CHE-1211</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70.9%</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74.5%</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CHE-122</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93.6%</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87.3%</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83.7%</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80.1%</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79.2%</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82.6%</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CHE-1221</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81.0%</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87.1%</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CHE-1251</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CHE-126</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CHE-1261</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CHE-127</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CHE-128</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CHE-1311</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62.7%</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78.1%</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CHE-1321</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91.7%</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100.0%</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CHE-1351</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CHE-141</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76.5%</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75.0%</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72.0%</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66.1%</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62.0%</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CHE-142</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86.7%</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93.3%</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92.9%</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92.3%</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91.7%</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CHE-143</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92.3%</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88.9%</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90.0%</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83.3%</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CHE-147</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CHE-148</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CHE-149</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CHE-151</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75.8%</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70.1%</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74.4%</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63.8%</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70.7%</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CHE-152</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74.5%</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76.6%</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79.3%</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77.5%</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79.0%</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CHE-153</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88.5%</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86.0%</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89.4%</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87.3%</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85.0%</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90.3%</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CHE-157</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CHE-158</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CHE-159</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CHE-201</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82.4%</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86.4%</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81.1%</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75.6%</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88.1%</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93.8%</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CHE-202</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86.8%</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91.9%</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84.3%</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84.2%</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90.0%</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93.8%</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CHE-203</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88.2%</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93.5%</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94.0%</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88.3%</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87.5%</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95.7%</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lastRenderedPageBreak/>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CHE-207</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CHE-208</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CHE-209</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CHE-2111</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77.5%</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75.5%</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CHE-2121</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92.5%</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83.6%</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CHE-2151</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CHE-2161</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CHE-245</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CHE-270</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0355</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CHE-297</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0357</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Geology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GLG-1101</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83.5%</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82.2%</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0357</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Geology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GLG-1111</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0357</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Geology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GLG-1201</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87.8%</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80.2%</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0357</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Geology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GLG-1211</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0357</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Geology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GLG-1301</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83.3%</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0357</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Geology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GLG-141</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82.0%</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76.0%</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84.2%</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81.4%</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79.6%</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0357</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Geology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GLG-142</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86.4%</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85.1%</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84.7%</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84.8%</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81.4%</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54.5%</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0357</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Geology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GLG-143</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91.1%</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91.9%</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91.0%</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92.7%</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92.4%</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88.0%</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0357</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Geology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GLG-144</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90.9%</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88.9%</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100.0%</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0357</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Geology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GLG-147</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0357</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Geology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GLG-148</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0357</w:t>
            </w:r>
          </w:p>
        </w:tc>
        <w:tc>
          <w:tcPr>
            <w:tcW w:w="322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Geology</w:t>
            </w:r>
          </w:p>
        </w:tc>
        <w:tc>
          <w:tcPr>
            <w:tcW w:w="17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GLG-149</w:t>
            </w:r>
          </w:p>
        </w:tc>
        <w:tc>
          <w:tcPr>
            <w:tcW w:w="160" w:type="dxa"/>
            <w:tcBorders>
              <w:top w:val="nil"/>
              <w:left w:val="nil"/>
              <w:bottom w:val="nil"/>
              <w:right w:val="nil"/>
            </w:tcBorders>
            <w:shd w:val="clear" w:color="auto" w:fill="auto"/>
            <w:noWrap/>
            <w:vAlign w:val="bottom"/>
            <w:hideMark/>
          </w:tcPr>
          <w:p w:rsidR="00986BC5" w:rsidRPr="00986BC5" w:rsidRDefault="00986BC5" w:rsidP="00986BC5">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r w:rsidR="00986BC5" w:rsidRPr="00986BC5" w:rsidTr="00986BC5">
        <w:trPr>
          <w:trHeight w:val="300"/>
        </w:trPr>
        <w:tc>
          <w:tcPr>
            <w:tcW w:w="14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0357</w:t>
            </w:r>
          </w:p>
        </w:tc>
        <w:tc>
          <w:tcPr>
            <w:tcW w:w="322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Geology</w:t>
            </w:r>
          </w:p>
        </w:tc>
        <w:tc>
          <w:tcPr>
            <w:tcW w:w="17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GLG-297</w:t>
            </w:r>
          </w:p>
        </w:tc>
        <w:tc>
          <w:tcPr>
            <w:tcW w:w="160" w:type="dxa"/>
            <w:tcBorders>
              <w:top w:val="nil"/>
              <w:left w:val="nil"/>
              <w:bottom w:val="nil"/>
              <w:right w:val="nil"/>
            </w:tcBorders>
            <w:shd w:val="clear" w:color="000000" w:fill="D9D9D9"/>
            <w:noWrap/>
            <w:vAlign w:val="bottom"/>
            <w:hideMark/>
          </w:tcPr>
          <w:p w:rsidR="00986BC5" w:rsidRPr="00986BC5" w:rsidRDefault="00986BC5" w:rsidP="00986BC5">
            <w:pPr>
              <w:rPr>
                <w:rFonts w:ascii="Calibri" w:hAnsi="Calibri"/>
                <w:color w:val="000000"/>
                <w:sz w:val="22"/>
                <w:szCs w:val="22"/>
              </w:rPr>
            </w:pPr>
            <w:r w:rsidRPr="00986BC5">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83.3%</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986BC5" w:rsidRPr="00986BC5" w:rsidRDefault="00986BC5" w:rsidP="00986BC5">
            <w:pPr>
              <w:jc w:val="right"/>
              <w:rPr>
                <w:rFonts w:ascii="Calibri" w:hAnsi="Calibri"/>
                <w:color w:val="000000"/>
                <w:sz w:val="22"/>
                <w:szCs w:val="22"/>
              </w:rPr>
            </w:pPr>
            <w:r w:rsidRPr="00986BC5">
              <w:rPr>
                <w:rFonts w:ascii="Calibri" w:hAnsi="Calibri"/>
                <w:color w:val="000000"/>
                <w:sz w:val="22"/>
                <w:szCs w:val="22"/>
              </w:rPr>
              <w:t>.</w:t>
            </w:r>
          </w:p>
        </w:tc>
      </w:tr>
    </w:tbl>
    <w:p w:rsidR="00986BC5" w:rsidRDefault="00986BC5" w:rsidP="00225B53">
      <w:pPr>
        <w:spacing w:after="200" w:line="276" w:lineRule="auto"/>
        <w:rPr>
          <w:rFonts w:ascii="Arial" w:hAnsi="Arial" w:cs="Arial"/>
          <w:b/>
          <w:color w:val="000000" w:themeColor="text1"/>
        </w:rPr>
      </w:pPr>
    </w:p>
    <w:sectPr w:rsidR="00986BC5" w:rsidSect="004D531F">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AA8" w:rsidRDefault="00571AA8" w:rsidP="0094204C">
      <w:r>
        <w:separator/>
      </w:r>
    </w:p>
  </w:endnote>
  <w:endnote w:type="continuationSeparator" w:id="0">
    <w:p w:rsidR="00571AA8" w:rsidRDefault="00571AA8"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EndPr/>
    <w:sdtContent>
      <w:p w:rsidR="00390655" w:rsidRDefault="00390655">
        <w:pPr>
          <w:pStyle w:val="Footer"/>
          <w:jc w:val="right"/>
        </w:pPr>
        <w:r>
          <w:fldChar w:fldCharType="begin"/>
        </w:r>
        <w:r>
          <w:instrText xml:space="preserve"> PAGE   \* MERGEFORMAT </w:instrText>
        </w:r>
        <w:r>
          <w:fldChar w:fldCharType="separate"/>
        </w:r>
        <w:r w:rsidR="00756E24">
          <w:rPr>
            <w:noProof/>
          </w:rPr>
          <w:t>13</w:t>
        </w:r>
        <w:r>
          <w:rPr>
            <w:noProof/>
          </w:rPr>
          <w:fldChar w:fldCharType="end"/>
        </w:r>
      </w:p>
    </w:sdtContent>
  </w:sdt>
  <w:p w:rsidR="00390655" w:rsidRDefault="00390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AA8" w:rsidRDefault="00571AA8" w:rsidP="0094204C">
      <w:r>
        <w:separator/>
      </w:r>
    </w:p>
  </w:footnote>
  <w:footnote w:type="continuationSeparator" w:id="0">
    <w:p w:rsidR="00571AA8" w:rsidRDefault="00571AA8"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916311"/>
    <w:multiLevelType w:val="hybridMultilevel"/>
    <w:tmpl w:val="7A9041C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471F77"/>
    <w:multiLevelType w:val="hybridMultilevel"/>
    <w:tmpl w:val="F1F4AB60"/>
    <w:lvl w:ilvl="0" w:tplc="920E8BE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C217DD"/>
    <w:multiLevelType w:val="hybridMultilevel"/>
    <w:tmpl w:val="37D8B8EC"/>
    <w:lvl w:ilvl="0" w:tplc="920E8BE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737209"/>
    <w:multiLevelType w:val="hybridMultilevel"/>
    <w:tmpl w:val="2C36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DA7935"/>
    <w:multiLevelType w:val="hybridMultilevel"/>
    <w:tmpl w:val="901E63D2"/>
    <w:lvl w:ilvl="0" w:tplc="920E8BE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F7A519B"/>
    <w:multiLevelType w:val="hybridMultilevel"/>
    <w:tmpl w:val="A9022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9">
    <w:nsid w:val="5A857913"/>
    <w:multiLevelType w:val="hybridMultilevel"/>
    <w:tmpl w:val="2D1A88BE"/>
    <w:lvl w:ilvl="0" w:tplc="920E8BE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7E6AD9"/>
    <w:multiLevelType w:val="hybridMultilevel"/>
    <w:tmpl w:val="A7E0E61E"/>
    <w:lvl w:ilvl="0" w:tplc="920E8BE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7"/>
  </w:num>
  <w:num w:numId="4">
    <w:abstractNumId w:val="13"/>
  </w:num>
  <w:num w:numId="5">
    <w:abstractNumId w:val="2"/>
  </w:num>
  <w:num w:numId="6">
    <w:abstractNumId w:val="9"/>
  </w:num>
  <w:num w:numId="7">
    <w:abstractNumId w:val="21"/>
  </w:num>
  <w:num w:numId="8">
    <w:abstractNumId w:val="18"/>
  </w:num>
  <w:num w:numId="9">
    <w:abstractNumId w:val="1"/>
  </w:num>
  <w:num w:numId="10">
    <w:abstractNumId w:val="23"/>
  </w:num>
  <w:num w:numId="11">
    <w:abstractNumId w:val="0"/>
  </w:num>
  <w:num w:numId="12">
    <w:abstractNumId w:val="20"/>
  </w:num>
  <w:num w:numId="13">
    <w:abstractNumId w:val="12"/>
  </w:num>
  <w:num w:numId="14">
    <w:abstractNumId w:val="3"/>
  </w:num>
  <w:num w:numId="15">
    <w:abstractNumId w:val="6"/>
  </w:num>
  <w:num w:numId="16">
    <w:abstractNumId w:val="15"/>
  </w:num>
  <w:num w:numId="17">
    <w:abstractNumId w:val="8"/>
  </w:num>
  <w:num w:numId="18">
    <w:abstractNumId w:val="19"/>
  </w:num>
  <w:num w:numId="19">
    <w:abstractNumId w:val="16"/>
  </w:num>
  <w:num w:numId="20">
    <w:abstractNumId w:val="22"/>
  </w:num>
  <w:num w:numId="21">
    <w:abstractNumId w:val="11"/>
  </w:num>
  <w:num w:numId="22">
    <w:abstractNumId w:val="4"/>
  </w:num>
  <w:num w:numId="23">
    <w:abstractNumId w:val="4"/>
  </w:num>
  <w:num w:numId="24">
    <w:abstractNumId w:val="17"/>
  </w:num>
  <w:num w:numId="2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forms"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4799"/>
    <w:rsid w:val="000148CD"/>
    <w:rsid w:val="000279EB"/>
    <w:rsid w:val="000337E6"/>
    <w:rsid w:val="00034CE6"/>
    <w:rsid w:val="0003612B"/>
    <w:rsid w:val="00036DF9"/>
    <w:rsid w:val="00037073"/>
    <w:rsid w:val="00037907"/>
    <w:rsid w:val="00047777"/>
    <w:rsid w:val="0005371A"/>
    <w:rsid w:val="00054BFD"/>
    <w:rsid w:val="00056964"/>
    <w:rsid w:val="000616F3"/>
    <w:rsid w:val="00063778"/>
    <w:rsid w:val="00065129"/>
    <w:rsid w:val="00072C89"/>
    <w:rsid w:val="000738FE"/>
    <w:rsid w:val="00074BD5"/>
    <w:rsid w:val="00075EFA"/>
    <w:rsid w:val="00080933"/>
    <w:rsid w:val="00097843"/>
    <w:rsid w:val="000A089D"/>
    <w:rsid w:val="000A2A44"/>
    <w:rsid w:val="000A2C70"/>
    <w:rsid w:val="000A4EE0"/>
    <w:rsid w:val="000A682F"/>
    <w:rsid w:val="000B0D23"/>
    <w:rsid w:val="000B261C"/>
    <w:rsid w:val="000B37A9"/>
    <w:rsid w:val="000D1111"/>
    <w:rsid w:val="000D3A39"/>
    <w:rsid w:val="000D722B"/>
    <w:rsid w:val="000E2148"/>
    <w:rsid w:val="000E4EFE"/>
    <w:rsid w:val="000F0AF3"/>
    <w:rsid w:val="000F154F"/>
    <w:rsid w:val="000F1823"/>
    <w:rsid w:val="000F21F2"/>
    <w:rsid w:val="000F2F76"/>
    <w:rsid w:val="000F4249"/>
    <w:rsid w:val="000F4830"/>
    <w:rsid w:val="0010227C"/>
    <w:rsid w:val="001026AA"/>
    <w:rsid w:val="001104C4"/>
    <w:rsid w:val="001136BA"/>
    <w:rsid w:val="0011426D"/>
    <w:rsid w:val="00115E77"/>
    <w:rsid w:val="001201D5"/>
    <w:rsid w:val="00120277"/>
    <w:rsid w:val="00120E81"/>
    <w:rsid w:val="001240D0"/>
    <w:rsid w:val="001324D2"/>
    <w:rsid w:val="00133ED6"/>
    <w:rsid w:val="00142776"/>
    <w:rsid w:val="00143DD8"/>
    <w:rsid w:val="001532B7"/>
    <w:rsid w:val="00153AD7"/>
    <w:rsid w:val="001560EA"/>
    <w:rsid w:val="001628B1"/>
    <w:rsid w:val="001704C8"/>
    <w:rsid w:val="00172221"/>
    <w:rsid w:val="00174C4B"/>
    <w:rsid w:val="001803A0"/>
    <w:rsid w:val="0018073B"/>
    <w:rsid w:val="00181457"/>
    <w:rsid w:val="00183806"/>
    <w:rsid w:val="00183A7F"/>
    <w:rsid w:val="00184AE5"/>
    <w:rsid w:val="0018751E"/>
    <w:rsid w:val="0018798A"/>
    <w:rsid w:val="00190F5C"/>
    <w:rsid w:val="0019135D"/>
    <w:rsid w:val="00195B7B"/>
    <w:rsid w:val="001A1B67"/>
    <w:rsid w:val="001A2E6B"/>
    <w:rsid w:val="001A7AF7"/>
    <w:rsid w:val="001B2147"/>
    <w:rsid w:val="001B45D5"/>
    <w:rsid w:val="001B571A"/>
    <w:rsid w:val="001B6007"/>
    <w:rsid w:val="001B61EA"/>
    <w:rsid w:val="001C202C"/>
    <w:rsid w:val="001C42D0"/>
    <w:rsid w:val="001C5DC3"/>
    <w:rsid w:val="001D0C54"/>
    <w:rsid w:val="001D3E1D"/>
    <w:rsid w:val="001D5757"/>
    <w:rsid w:val="001D7080"/>
    <w:rsid w:val="001D736E"/>
    <w:rsid w:val="001E0764"/>
    <w:rsid w:val="001E38A1"/>
    <w:rsid w:val="001E424E"/>
    <w:rsid w:val="001E6B5A"/>
    <w:rsid w:val="001E7137"/>
    <w:rsid w:val="001F4B9E"/>
    <w:rsid w:val="002006DA"/>
    <w:rsid w:val="002105E7"/>
    <w:rsid w:val="00210FF3"/>
    <w:rsid w:val="002110EE"/>
    <w:rsid w:val="002245AB"/>
    <w:rsid w:val="00225B53"/>
    <w:rsid w:val="0022692B"/>
    <w:rsid w:val="002315EE"/>
    <w:rsid w:val="0023421E"/>
    <w:rsid w:val="002534AC"/>
    <w:rsid w:val="0025548D"/>
    <w:rsid w:val="00255C18"/>
    <w:rsid w:val="00255F7D"/>
    <w:rsid w:val="00256114"/>
    <w:rsid w:val="0025618C"/>
    <w:rsid w:val="00257662"/>
    <w:rsid w:val="00262914"/>
    <w:rsid w:val="00262EFB"/>
    <w:rsid w:val="002641D9"/>
    <w:rsid w:val="00265A99"/>
    <w:rsid w:val="00266F2F"/>
    <w:rsid w:val="0026791C"/>
    <w:rsid w:val="00276B75"/>
    <w:rsid w:val="00280C60"/>
    <w:rsid w:val="00281C63"/>
    <w:rsid w:val="0028439B"/>
    <w:rsid w:val="0028603C"/>
    <w:rsid w:val="002922CE"/>
    <w:rsid w:val="00293D8D"/>
    <w:rsid w:val="002A1D8C"/>
    <w:rsid w:val="002A4CD9"/>
    <w:rsid w:val="002C1797"/>
    <w:rsid w:val="002C39BF"/>
    <w:rsid w:val="002C45ED"/>
    <w:rsid w:val="002C56AC"/>
    <w:rsid w:val="002D1DFE"/>
    <w:rsid w:val="002D2748"/>
    <w:rsid w:val="002D3CAD"/>
    <w:rsid w:val="002D428E"/>
    <w:rsid w:val="002E175B"/>
    <w:rsid w:val="002E28B0"/>
    <w:rsid w:val="002E548B"/>
    <w:rsid w:val="002E5D65"/>
    <w:rsid w:val="002E6B01"/>
    <w:rsid w:val="002F63A2"/>
    <w:rsid w:val="00303041"/>
    <w:rsid w:val="003041DD"/>
    <w:rsid w:val="00305AE1"/>
    <w:rsid w:val="0030733F"/>
    <w:rsid w:val="00307A43"/>
    <w:rsid w:val="00315CE8"/>
    <w:rsid w:val="0031626A"/>
    <w:rsid w:val="00320CDE"/>
    <w:rsid w:val="00320DF3"/>
    <w:rsid w:val="003233E7"/>
    <w:rsid w:val="003254BC"/>
    <w:rsid w:val="00330692"/>
    <w:rsid w:val="00334F25"/>
    <w:rsid w:val="00336A53"/>
    <w:rsid w:val="00337A3A"/>
    <w:rsid w:val="003436B9"/>
    <w:rsid w:val="003454F6"/>
    <w:rsid w:val="00347FFA"/>
    <w:rsid w:val="00350D53"/>
    <w:rsid w:val="003641BA"/>
    <w:rsid w:val="00364869"/>
    <w:rsid w:val="00372B02"/>
    <w:rsid w:val="003741FD"/>
    <w:rsid w:val="00377628"/>
    <w:rsid w:val="0037786D"/>
    <w:rsid w:val="00377D40"/>
    <w:rsid w:val="00390655"/>
    <w:rsid w:val="003A18D7"/>
    <w:rsid w:val="003A298D"/>
    <w:rsid w:val="003B2034"/>
    <w:rsid w:val="003B5176"/>
    <w:rsid w:val="003B5F45"/>
    <w:rsid w:val="003B6EA6"/>
    <w:rsid w:val="003C17F6"/>
    <w:rsid w:val="003C1C8E"/>
    <w:rsid w:val="003D2587"/>
    <w:rsid w:val="003D58C1"/>
    <w:rsid w:val="003D6946"/>
    <w:rsid w:val="003D6D6E"/>
    <w:rsid w:val="003E791C"/>
    <w:rsid w:val="004033B5"/>
    <w:rsid w:val="00404810"/>
    <w:rsid w:val="004118FA"/>
    <w:rsid w:val="00413866"/>
    <w:rsid w:val="00414645"/>
    <w:rsid w:val="00423FAC"/>
    <w:rsid w:val="00424E5D"/>
    <w:rsid w:val="00425F46"/>
    <w:rsid w:val="00426FDB"/>
    <w:rsid w:val="004306DA"/>
    <w:rsid w:val="00434F56"/>
    <w:rsid w:val="004359FC"/>
    <w:rsid w:val="004467C4"/>
    <w:rsid w:val="004537FA"/>
    <w:rsid w:val="00455833"/>
    <w:rsid w:val="004604FB"/>
    <w:rsid w:val="00461386"/>
    <w:rsid w:val="00462D00"/>
    <w:rsid w:val="004644FC"/>
    <w:rsid w:val="00470DD8"/>
    <w:rsid w:val="004710A6"/>
    <w:rsid w:val="004712EB"/>
    <w:rsid w:val="00476425"/>
    <w:rsid w:val="0048088F"/>
    <w:rsid w:val="00480BB2"/>
    <w:rsid w:val="004818E1"/>
    <w:rsid w:val="00481A7E"/>
    <w:rsid w:val="00482F09"/>
    <w:rsid w:val="00483F1B"/>
    <w:rsid w:val="0048427F"/>
    <w:rsid w:val="00491584"/>
    <w:rsid w:val="00495C9D"/>
    <w:rsid w:val="00497536"/>
    <w:rsid w:val="004A692C"/>
    <w:rsid w:val="004B7492"/>
    <w:rsid w:val="004C2B30"/>
    <w:rsid w:val="004C52FC"/>
    <w:rsid w:val="004C7DB2"/>
    <w:rsid w:val="004D32E6"/>
    <w:rsid w:val="004D3BE1"/>
    <w:rsid w:val="004D3C8C"/>
    <w:rsid w:val="004D531F"/>
    <w:rsid w:val="004E227F"/>
    <w:rsid w:val="004E47AA"/>
    <w:rsid w:val="004E4BD6"/>
    <w:rsid w:val="004F41D5"/>
    <w:rsid w:val="004F438D"/>
    <w:rsid w:val="00501019"/>
    <w:rsid w:val="00505F7F"/>
    <w:rsid w:val="0051294F"/>
    <w:rsid w:val="00516463"/>
    <w:rsid w:val="00520FBE"/>
    <w:rsid w:val="0052152C"/>
    <w:rsid w:val="0054350A"/>
    <w:rsid w:val="005531E8"/>
    <w:rsid w:val="005674F9"/>
    <w:rsid w:val="00571AA8"/>
    <w:rsid w:val="00573ECD"/>
    <w:rsid w:val="00575D18"/>
    <w:rsid w:val="00580DF0"/>
    <w:rsid w:val="00585766"/>
    <w:rsid w:val="005863ED"/>
    <w:rsid w:val="005864A4"/>
    <w:rsid w:val="005918B2"/>
    <w:rsid w:val="00592DD4"/>
    <w:rsid w:val="00597F85"/>
    <w:rsid w:val="005A4273"/>
    <w:rsid w:val="005B2484"/>
    <w:rsid w:val="005D19D9"/>
    <w:rsid w:val="005D7892"/>
    <w:rsid w:val="005E6A92"/>
    <w:rsid w:val="005F5F7E"/>
    <w:rsid w:val="005F6B5B"/>
    <w:rsid w:val="005F70D8"/>
    <w:rsid w:val="005F7377"/>
    <w:rsid w:val="0061454F"/>
    <w:rsid w:val="0061712A"/>
    <w:rsid w:val="00624906"/>
    <w:rsid w:val="00626F59"/>
    <w:rsid w:val="006368CC"/>
    <w:rsid w:val="00637591"/>
    <w:rsid w:val="00640611"/>
    <w:rsid w:val="00643904"/>
    <w:rsid w:val="00651CF2"/>
    <w:rsid w:val="006532D6"/>
    <w:rsid w:val="0065453B"/>
    <w:rsid w:val="00654C15"/>
    <w:rsid w:val="006551C4"/>
    <w:rsid w:val="006556AD"/>
    <w:rsid w:val="00660080"/>
    <w:rsid w:val="0066285F"/>
    <w:rsid w:val="0066607A"/>
    <w:rsid w:val="00673CDD"/>
    <w:rsid w:val="00677703"/>
    <w:rsid w:val="006835C1"/>
    <w:rsid w:val="00690A3D"/>
    <w:rsid w:val="0069284B"/>
    <w:rsid w:val="006A2AA3"/>
    <w:rsid w:val="006A3FB5"/>
    <w:rsid w:val="006B5D02"/>
    <w:rsid w:val="006B6194"/>
    <w:rsid w:val="006C142B"/>
    <w:rsid w:val="006C28B1"/>
    <w:rsid w:val="006C3259"/>
    <w:rsid w:val="006C4C0B"/>
    <w:rsid w:val="006C4F5E"/>
    <w:rsid w:val="006D29EE"/>
    <w:rsid w:val="006D67EB"/>
    <w:rsid w:val="006E33A9"/>
    <w:rsid w:val="006E3686"/>
    <w:rsid w:val="006E3C0A"/>
    <w:rsid w:val="006F0183"/>
    <w:rsid w:val="00701ABB"/>
    <w:rsid w:val="007145A3"/>
    <w:rsid w:val="00716A26"/>
    <w:rsid w:val="00740079"/>
    <w:rsid w:val="00740D35"/>
    <w:rsid w:val="00744B47"/>
    <w:rsid w:val="00746675"/>
    <w:rsid w:val="00751FC5"/>
    <w:rsid w:val="00756E24"/>
    <w:rsid w:val="007634F8"/>
    <w:rsid w:val="00764ACB"/>
    <w:rsid w:val="00764F77"/>
    <w:rsid w:val="00771AFF"/>
    <w:rsid w:val="007730BC"/>
    <w:rsid w:val="00780F32"/>
    <w:rsid w:val="00781DA4"/>
    <w:rsid w:val="007825CC"/>
    <w:rsid w:val="007856A2"/>
    <w:rsid w:val="0078669D"/>
    <w:rsid w:val="00786F00"/>
    <w:rsid w:val="00791E19"/>
    <w:rsid w:val="00791FF2"/>
    <w:rsid w:val="0079281D"/>
    <w:rsid w:val="00794EA2"/>
    <w:rsid w:val="007A151D"/>
    <w:rsid w:val="007A43CE"/>
    <w:rsid w:val="007C1FEF"/>
    <w:rsid w:val="007C3A6B"/>
    <w:rsid w:val="007C46D3"/>
    <w:rsid w:val="007C6C52"/>
    <w:rsid w:val="007C74F5"/>
    <w:rsid w:val="007E21DF"/>
    <w:rsid w:val="007E36F4"/>
    <w:rsid w:val="007F3D9F"/>
    <w:rsid w:val="007F45E6"/>
    <w:rsid w:val="007F66F9"/>
    <w:rsid w:val="0080292B"/>
    <w:rsid w:val="008034BE"/>
    <w:rsid w:val="008056C5"/>
    <w:rsid w:val="00805C23"/>
    <w:rsid w:val="00807113"/>
    <w:rsid w:val="00811CF9"/>
    <w:rsid w:val="00817DDA"/>
    <w:rsid w:val="00821011"/>
    <w:rsid w:val="00821283"/>
    <w:rsid w:val="008258DA"/>
    <w:rsid w:val="00827AE5"/>
    <w:rsid w:val="00835DEB"/>
    <w:rsid w:val="00843849"/>
    <w:rsid w:val="00846B10"/>
    <w:rsid w:val="00846D28"/>
    <w:rsid w:val="00847243"/>
    <w:rsid w:val="00864102"/>
    <w:rsid w:val="008642E1"/>
    <w:rsid w:val="00866AD4"/>
    <w:rsid w:val="00875A7C"/>
    <w:rsid w:val="0087612F"/>
    <w:rsid w:val="00877383"/>
    <w:rsid w:val="00880686"/>
    <w:rsid w:val="008836F4"/>
    <w:rsid w:val="008860C1"/>
    <w:rsid w:val="008909D4"/>
    <w:rsid w:val="008926C9"/>
    <w:rsid w:val="008942FA"/>
    <w:rsid w:val="00894E3C"/>
    <w:rsid w:val="00897A68"/>
    <w:rsid w:val="008B1511"/>
    <w:rsid w:val="008B25A5"/>
    <w:rsid w:val="008B52A0"/>
    <w:rsid w:val="008B5550"/>
    <w:rsid w:val="008D4D55"/>
    <w:rsid w:val="008E063A"/>
    <w:rsid w:val="008E6A74"/>
    <w:rsid w:val="008F140E"/>
    <w:rsid w:val="008F3D47"/>
    <w:rsid w:val="008F41A6"/>
    <w:rsid w:val="008F67F3"/>
    <w:rsid w:val="00904E8A"/>
    <w:rsid w:val="009108ED"/>
    <w:rsid w:val="00915049"/>
    <w:rsid w:val="00915CDA"/>
    <w:rsid w:val="00916E6B"/>
    <w:rsid w:val="00916E8D"/>
    <w:rsid w:val="00925394"/>
    <w:rsid w:val="0092540D"/>
    <w:rsid w:val="009268A3"/>
    <w:rsid w:val="00933204"/>
    <w:rsid w:val="0094204C"/>
    <w:rsid w:val="00952FA6"/>
    <w:rsid w:val="00954382"/>
    <w:rsid w:val="00963DD8"/>
    <w:rsid w:val="00966427"/>
    <w:rsid w:val="009778D1"/>
    <w:rsid w:val="00981D62"/>
    <w:rsid w:val="00986BC5"/>
    <w:rsid w:val="00993D75"/>
    <w:rsid w:val="009A2F4E"/>
    <w:rsid w:val="009A616E"/>
    <w:rsid w:val="009A69F0"/>
    <w:rsid w:val="009C1092"/>
    <w:rsid w:val="009D4417"/>
    <w:rsid w:val="009D4970"/>
    <w:rsid w:val="009E19B3"/>
    <w:rsid w:val="009E2519"/>
    <w:rsid w:val="009F2769"/>
    <w:rsid w:val="009F44E5"/>
    <w:rsid w:val="009F71F8"/>
    <w:rsid w:val="00A03C1A"/>
    <w:rsid w:val="00A03DBA"/>
    <w:rsid w:val="00A11155"/>
    <w:rsid w:val="00A14B89"/>
    <w:rsid w:val="00A201E2"/>
    <w:rsid w:val="00A21E6E"/>
    <w:rsid w:val="00A279B7"/>
    <w:rsid w:val="00A316A8"/>
    <w:rsid w:val="00A34037"/>
    <w:rsid w:val="00A341DF"/>
    <w:rsid w:val="00A36DEE"/>
    <w:rsid w:val="00A42859"/>
    <w:rsid w:val="00A51345"/>
    <w:rsid w:val="00A5268C"/>
    <w:rsid w:val="00A54831"/>
    <w:rsid w:val="00A6003D"/>
    <w:rsid w:val="00A6078F"/>
    <w:rsid w:val="00A62968"/>
    <w:rsid w:val="00A63368"/>
    <w:rsid w:val="00A63377"/>
    <w:rsid w:val="00A63ACE"/>
    <w:rsid w:val="00A8476F"/>
    <w:rsid w:val="00AA5463"/>
    <w:rsid w:val="00AB0E32"/>
    <w:rsid w:val="00AC0386"/>
    <w:rsid w:val="00AC56DA"/>
    <w:rsid w:val="00AC62F8"/>
    <w:rsid w:val="00AD4FA7"/>
    <w:rsid w:val="00AE4AD2"/>
    <w:rsid w:val="00AE5F43"/>
    <w:rsid w:val="00AF1271"/>
    <w:rsid w:val="00AF6A23"/>
    <w:rsid w:val="00B034D3"/>
    <w:rsid w:val="00B11F28"/>
    <w:rsid w:val="00B23418"/>
    <w:rsid w:val="00B25C52"/>
    <w:rsid w:val="00B27095"/>
    <w:rsid w:val="00B31728"/>
    <w:rsid w:val="00B34F9E"/>
    <w:rsid w:val="00B363B7"/>
    <w:rsid w:val="00B37814"/>
    <w:rsid w:val="00B42C55"/>
    <w:rsid w:val="00B44B23"/>
    <w:rsid w:val="00B4625A"/>
    <w:rsid w:val="00B50893"/>
    <w:rsid w:val="00B5587B"/>
    <w:rsid w:val="00B608D5"/>
    <w:rsid w:val="00B61D81"/>
    <w:rsid w:val="00B6642B"/>
    <w:rsid w:val="00B700A5"/>
    <w:rsid w:val="00B71307"/>
    <w:rsid w:val="00B75DD0"/>
    <w:rsid w:val="00B764F8"/>
    <w:rsid w:val="00B81607"/>
    <w:rsid w:val="00B8227E"/>
    <w:rsid w:val="00B90F20"/>
    <w:rsid w:val="00B91F1E"/>
    <w:rsid w:val="00B952F8"/>
    <w:rsid w:val="00BA3246"/>
    <w:rsid w:val="00BA411F"/>
    <w:rsid w:val="00BA527A"/>
    <w:rsid w:val="00BA56FF"/>
    <w:rsid w:val="00BB272C"/>
    <w:rsid w:val="00BB28CF"/>
    <w:rsid w:val="00BB4ABC"/>
    <w:rsid w:val="00BB4C9F"/>
    <w:rsid w:val="00BB5574"/>
    <w:rsid w:val="00BB602B"/>
    <w:rsid w:val="00BC12BF"/>
    <w:rsid w:val="00BC5FF1"/>
    <w:rsid w:val="00BC6C11"/>
    <w:rsid w:val="00BD01B6"/>
    <w:rsid w:val="00BD2C4F"/>
    <w:rsid w:val="00BD3E5E"/>
    <w:rsid w:val="00BD3EF3"/>
    <w:rsid w:val="00BE51FF"/>
    <w:rsid w:val="00BF3561"/>
    <w:rsid w:val="00BF556C"/>
    <w:rsid w:val="00BF560A"/>
    <w:rsid w:val="00BF788F"/>
    <w:rsid w:val="00C01CD8"/>
    <w:rsid w:val="00C03728"/>
    <w:rsid w:val="00C05015"/>
    <w:rsid w:val="00C05EFD"/>
    <w:rsid w:val="00C10E68"/>
    <w:rsid w:val="00C124AD"/>
    <w:rsid w:val="00C160B8"/>
    <w:rsid w:val="00C2115B"/>
    <w:rsid w:val="00C22083"/>
    <w:rsid w:val="00C23C6D"/>
    <w:rsid w:val="00C32DEA"/>
    <w:rsid w:val="00C35B15"/>
    <w:rsid w:val="00C44DB4"/>
    <w:rsid w:val="00C45053"/>
    <w:rsid w:val="00C50A91"/>
    <w:rsid w:val="00C52D74"/>
    <w:rsid w:val="00C533F9"/>
    <w:rsid w:val="00C5365F"/>
    <w:rsid w:val="00C56C48"/>
    <w:rsid w:val="00C616FD"/>
    <w:rsid w:val="00C63B58"/>
    <w:rsid w:val="00C7001F"/>
    <w:rsid w:val="00C71F16"/>
    <w:rsid w:val="00C77723"/>
    <w:rsid w:val="00C800A9"/>
    <w:rsid w:val="00C80222"/>
    <w:rsid w:val="00C86826"/>
    <w:rsid w:val="00C86D2C"/>
    <w:rsid w:val="00C90C76"/>
    <w:rsid w:val="00C9326D"/>
    <w:rsid w:val="00CA10D7"/>
    <w:rsid w:val="00CB09E0"/>
    <w:rsid w:val="00CB622F"/>
    <w:rsid w:val="00CC0679"/>
    <w:rsid w:val="00CC582B"/>
    <w:rsid w:val="00CC66AD"/>
    <w:rsid w:val="00CC69E8"/>
    <w:rsid w:val="00CC6AF3"/>
    <w:rsid w:val="00CD0A81"/>
    <w:rsid w:val="00CD2613"/>
    <w:rsid w:val="00CE06A2"/>
    <w:rsid w:val="00CE118B"/>
    <w:rsid w:val="00CF0112"/>
    <w:rsid w:val="00CF34BC"/>
    <w:rsid w:val="00D0057F"/>
    <w:rsid w:val="00D06087"/>
    <w:rsid w:val="00D07030"/>
    <w:rsid w:val="00D15F96"/>
    <w:rsid w:val="00D223DB"/>
    <w:rsid w:val="00D23E74"/>
    <w:rsid w:val="00D31DDA"/>
    <w:rsid w:val="00D3678B"/>
    <w:rsid w:val="00D37C4E"/>
    <w:rsid w:val="00D41E4F"/>
    <w:rsid w:val="00D44D7D"/>
    <w:rsid w:val="00D46F75"/>
    <w:rsid w:val="00D5093F"/>
    <w:rsid w:val="00D52978"/>
    <w:rsid w:val="00D57E53"/>
    <w:rsid w:val="00D609C0"/>
    <w:rsid w:val="00D60F74"/>
    <w:rsid w:val="00D632DC"/>
    <w:rsid w:val="00D67778"/>
    <w:rsid w:val="00D708C3"/>
    <w:rsid w:val="00D72C03"/>
    <w:rsid w:val="00D72CCC"/>
    <w:rsid w:val="00D73E22"/>
    <w:rsid w:val="00D850D0"/>
    <w:rsid w:val="00D9642E"/>
    <w:rsid w:val="00DA03C5"/>
    <w:rsid w:val="00DA5E37"/>
    <w:rsid w:val="00DA7FA2"/>
    <w:rsid w:val="00DB041B"/>
    <w:rsid w:val="00DB17B2"/>
    <w:rsid w:val="00DC0672"/>
    <w:rsid w:val="00DC38CE"/>
    <w:rsid w:val="00DC5CEE"/>
    <w:rsid w:val="00DC7E3C"/>
    <w:rsid w:val="00DD0726"/>
    <w:rsid w:val="00DD1DA6"/>
    <w:rsid w:val="00DD42DB"/>
    <w:rsid w:val="00DE276D"/>
    <w:rsid w:val="00DF5973"/>
    <w:rsid w:val="00DF738A"/>
    <w:rsid w:val="00DF7501"/>
    <w:rsid w:val="00E02F4D"/>
    <w:rsid w:val="00E12A67"/>
    <w:rsid w:val="00E12E4F"/>
    <w:rsid w:val="00E13C55"/>
    <w:rsid w:val="00E149A6"/>
    <w:rsid w:val="00E14C90"/>
    <w:rsid w:val="00E16205"/>
    <w:rsid w:val="00E254D9"/>
    <w:rsid w:val="00E25ACC"/>
    <w:rsid w:val="00E3280B"/>
    <w:rsid w:val="00E4425B"/>
    <w:rsid w:val="00E47A53"/>
    <w:rsid w:val="00E501C6"/>
    <w:rsid w:val="00E55AD1"/>
    <w:rsid w:val="00E642B3"/>
    <w:rsid w:val="00E64B67"/>
    <w:rsid w:val="00E65A59"/>
    <w:rsid w:val="00E66EBA"/>
    <w:rsid w:val="00E7049B"/>
    <w:rsid w:val="00E727BB"/>
    <w:rsid w:val="00E727F2"/>
    <w:rsid w:val="00E73A43"/>
    <w:rsid w:val="00E749F1"/>
    <w:rsid w:val="00E752B1"/>
    <w:rsid w:val="00E779AA"/>
    <w:rsid w:val="00E8246E"/>
    <w:rsid w:val="00E85756"/>
    <w:rsid w:val="00E87116"/>
    <w:rsid w:val="00E90C3C"/>
    <w:rsid w:val="00E90F22"/>
    <w:rsid w:val="00E96021"/>
    <w:rsid w:val="00E97968"/>
    <w:rsid w:val="00EA31E6"/>
    <w:rsid w:val="00EA7AFE"/>
    <w:rsid w:val="00EB3C20"/>
    <w:rsid w:val="00EB54A2"/>
    <w:rsid w:val="00EC0B9E"/>
    <w:rsid w:val="00EC1EB5"/>
    <w:rsid w:val="00EC6B80"/>
    <w:rsid w:val="00ED0C45"/>
    <w:rsid w:val="00ED4142"/>
    <w:rsid w:val="00EE3152"/>
    <w:rsid w:val="00EF0D6A"/>
    <w:rsid w:val="00EF15CD"/>
    <w:rsid w:val="00EF1870"/>
    <w:rsid w:val="00EF6E21"/>
    <w:rsid w:val="00F0239E"/>
    <w:rsid w:val="00F07EFD"/>
    <w:rsid w:val="00F1164D"/>
    <w:rsid w:val="00F1200D"/>
    <w:rsid w:val="00F12DC3"/>
    <w:rsid w:val="00F154DF"/>
    <w:rsid w:val="00F17C08"/>
    <w:rsid w:val="00F17F2E"/>
    <w:rsid w:val="00F260DC"/>
    <w:rsid w:val="00F27D5C"/>
    <w:rsid w:val="00F340B8"/>
    <w:rsid w:val="00F37373"/>
    <w:rsid w:val="00F43F29"/>
    <w:rsid w:val="00F509AE"/>
    <w:rsid w:val="00F55884"/>
    <w:rsid w:val="00F60941"/>
    <w:rsid w:val="00F60C52"/>
    <w:rsid w:val="00F60FAC"/>
    <w:rsid w:val="00F622CB"/>
    <w:rsid w:val="00F63E60"/>
    <w:rsid w:val="00F64C38"/>
    <w:rsid w:val="00F7110B"/>
    <w:rsid w:val="00F76BA4"/>
    <w:rsid w:val="00F81080"/>
    <w:rsid w:val="00F8191D"/>
    <w:rsid w:val="00F85CDD"/>
    <w:rsid w:val="00F86156"/>
    <w:rsid w:val="00F920EB"/>
    <w:rsid w:val="00F930A9"/>
    <w:rsid w:val="00F938A3"/>
    <w:rsid w:val="00F94D4D"/>
    <w:rsid w:val="00F95896"/>
    <w:rsid w:val="00FA24D1"/>
    <w:rsid w:val="00FA427A"/>
    <w:rsid w:val="00FA76D9"/>
    <w:rsid w:val="00FA7DDB"/>
    <w:rsid w:val="00FB0E89"/>
    <w:rsid w:val="00FB231A"/>
    <w:rsid w:val="00FB4AA9"/>
    <w:rsid w:val="00FC11BC"/>
    <w:rsid w:val="00FC1435"/>
    <w:rsid w:val="00FC1FC5"/>
    <w:rsid w:val="00FC45CA"/>
    <w:rsid w:val="00FC49AB"/>
    <w:rsid w:val="00FC7F0C"/>
    <w:rsid w:val="00FD4866"/>
    <w:rsid w:val="00FE084D"/>
    <w:rsid w:val="00FE568C"/>
    <w:rsid w:val="00FE6A86"/>
    <w:rsid w:val="00FE789F"/>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EB5FBD-AC62-4EE5-A5D3-2DED5F48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unhideWhenUsed/>
    <w:rsid w:val="0094204C"/>
    <w:pPr>
      <w:tabs>
        <w:tab w:val="center" w:pos="4680"/>
        <w:tab w:val="right" w:pos="9360"/>
      </w:tabs>
    </w:pPr>
  </w:style>
  <w:style w:type="character" w:customStyle="1" w:styleId="HeaderChar">
    <w:name w:val="Header Char"/>
    <w:basedOn w:val="DefaultParagraphFont"/>
    <w:link w:val="Header"/>
    <w:uiPriority w:val="99"/>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54167781">
      <w:bodyDiv w:val="1"/>
      <w:marLeft w:val="0"/>
      <w:marRight w:val="0"/>
      <w:marTop w:val="0"/>
      <w:marBottom w:val="0"/>
      <w:divBdr>
        <w:top w:val="none" w:sz="0" w:space="0" w:color="auto"/>
        <w:left w:val="none" w:sz="0" w:space="0" w:color="auto"/>
        <w:bottom w:val="none" w:sz="0" w:space="0" w:color="auto"/>
        <w:right w:val="none" w:sz="0" w:space="0" w:color="auto"/>
      </w:divBdr>
    </w:div>
    <w:div w:id="26642982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507329826">
      <w:bodyDiv w:val="1"/>
      <w:marLeft w:val="0"/>
      <w:marRight w:val="0"/>
      <w:marTop w:val="0"/>
      <w:marBottom w:val="0"/>
      <w:divBdr>
        <w:top w:val="none" w:sz="0" w:space="0" w:color="auto"/>
        <w:left w:val="none" w:sz="0" w:space="0" w:color="auto"/>
        <w:bottom w:val="none" w:sz="0" w:space="0" w:color="auto"/>
        <w:right w:val="none" w:sz="0" w:space="0" w:color="auto"/>
      </w:divBdr>
    </w:div>
    <w:div w:id="557133832">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58600706">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043866314">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88707787">
      <w:bodyDiv w:val="1"/>
      <w:marLeft w:val="0"/>
      <w:marRight w:val="0"/>
      <w:marTop w:val="0"/>
      <w:marBottom w:val="0"/>
      <w:divBdr>
        <w:top w:val="none" w:sz="0" w:space="0" w:color="auto"/>
        <w:left w:val="none" w:sz="0" w:space="0" w:color="auto"/>
        <w:bottom w:val="none" w:sz="0" w:space="0" w:color="auto"/>
        <w:right w:val="none" w:sz="0" w:space="0" w:color="auto"/>
      </w:divBdr>
    </w:div>
    <w:div w:id="129028423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496648894">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0524662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04847282">
      <w:bodyDiv w:val="1"/>
      <w:marLeft w:val="0"/>
      <w:marRight w:val="0"/>
      <w:marTop w:val="0"/>
      <w:marBottom w:val="0"/>
      <w:divBdr>
        <w:top w:val="none" w:sz="0" w:space="0" w:color="auto"/>
        <w:left w:val="none" w:sz="0" w:space="0" w:color="auto"/>
        <w:bottom w:val="none" w:sz="0" w:space="0" w:color="auto"/>
        <w:right w:val="none" w:sz="0" w:space="0" w:color="auto"/>
      </w:divBdr>
    </w:div>
    <w:div w:id="176241075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'[Charts.xlsx]CHART FOR COMPLETIONS'!$M$6</c:f>
              <c:strCache>
                <c:ptCount val="1"/>
                <c:pt idx="0">
                  <c:v>0355 - Chemistry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2</c:v>
                </c:pt>
                <c:pt idx="1">
                  <c:v>3</c:v>
                </c:pt>
                <c:pt idx="2">
                  <c:v>9</c:v>
                </c:pt>
                <c:pt idx="3">
                  <c:v>1</c:v>
                </c:pt>
                <c:pt idx="4" formatCode="General">
                  <c:v>0</c:v>
                </c:pt>
                <c:pt idx="5" formatCode="General">
                  <c:v>3</c:v>
                </c:pt>
                <c:pt idx="6" formatCode="General">
                  <c:v>3</c:v>
                </c:pt>
              </c:numCache>
            </c:numRef>
          </c:val>
        </c:ser>
        <c:ser>
          <c:idx val="1"/>
          <c:order val="1"/>
          <c:tx>
            <c:strRef>
              <c:f>'[Charts.xlsx]CHART FOR COMPLETIONS'!$M$7</c:f>
              <c:strCache>
                <c:ptCount val="1"/>
                <c:pt idx="0">
                  <c:v>0357 - Geology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COMPLETIONS'!$E$7:$K$7</c:f>
              <c:numCache>
                <c:formatCode>#,##0</c:formatCode>
                <c:ptCount val="7"/>
                <c:pt idx="0">
                  <c:v>0</c:v>
                </c:pt>
                <c:pt idx="1">
                  <c:v>1</c:v>
                </c:pt>
                <c:pt idx="2">
                  <c:v>0</c:v>
                </c:pt>
                <c:pt idx="3">
                  <c:v>0</c:v>
                </c:pt>
                <c:pt idx="4" formatCode="General">
                  <c:v>0</c:v>
                </c:pt>
                <c:pt idx="5" formatCode="General">
                  <c:v>1</c:v>
                </c:pt>
                <c:pt idx="6" formatCode="General">
                  <c:v>0</c:v>
                </c:pt>
              </c:numCache>
            </c:numRef>
          </c:val>
        </c:ser>
        <c:dLbls>
          <c:showLegendKey val="0"/>
          <c:showVal val="0"/>
          <c:showCatName val="0"/>
          <c:showSerName val="0"/>
          <c:showPercent val="0"/>
          <c:showBubbleSize val="0"/>
        </c:dLbls>
        <c:gapWidth val="150"/>
        <c:axId val="230728752"/>
        <c:axId val="230731104"/>
      </c:barChart>
      <c:catAx>
        <c:axId val="230728752"/>
        <c:scaling>
          <c:orientation val="minMax"/>
        </c:scaling>
        <c:delete val="0"/>
        <c:axPos val="b"/>
        <c:numFmt formatCode="General" sourceLinked="0"/>
        <c:majorTickMark val="out"/>
        <c:minorTickMark val="none"/>
        <c:tickLblPos val="nextTo"/>
        <c:crossAx val="230731104"/>
        <c:crosses val="autoZero"/>
        <c:auto val="1"/>
        <c:lblAlgn val="ctr"/>
        <c:lblOffset val="100"/>
        <c:noMultiLvlLbl val="0"/>
      </c:catAx>
      <c:valAx>
        <c:axId val="230731104"/>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230728752"/>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23397-D290-4A1A-9EA5-5AA29D72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20</Pages>
  <Words>4086</Words>
  <Characters>23293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Dorgan, Lonnie</cp:lastModifiedBy>
  <cp:revision>19</cp:revision>
  <cp:lastPrinted>2015-05-01T14:28:00Z</cp:lastPrinted>
  <dcterms:created xsi:type="dcterms:W3CDTF">2015-04-09T21:12:00Z</dcterms:created>
  <dcterms:modified xsi:type="dcterms:W3CDTF">2015-05-01T14:56:00Z</dcterms:modified>
</cp:coreProperties>
</file>