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3C" w:rsidRDefault="005A79E2" w:rsidP="00CF02EE">
      <w:pPr>
        <w:spacing w:before="120" w:beforeAutospacing="0" w:after="240" w:line="240" w:lineRule="auto"/>
        <w:rPr>
          <w:b/>
          <w:sz w:val="24"/>
          <w:szCs w:val="24"/>
          <w:u w:val="single"/>
        </w:rPr>
      </w:pPr>
      <w:r w:rsidRPr="00CB3060">
        <w:rPr>
          <w:sz w:val="24"/>
          <w:szCs w:val="24"/>
        </w:rPr>
        <w:t xml:space="preserve">Program:  </w:t>
      </w:r>
      <w:r w:rsidR="00461F0B">
        <w:rPr>
          <w:sz w:val="24"/>
          <w:szCs w:val="24"/>
          <w:u w:val="single"/>
        </w:rPr>
        <w:t>Chemistry &amp; Geology</w:t>
      </w:r>
      <w:r w:rsidR="00CB3060" w:rsidRPr="00CB3060">
        <w:rPr>
          <w:sz w:val="24"/>
          <w:szCs w:val="24"/>
          <w:u w:val="single"/>
        </w:rPr>
        <w:tab/>
      </w:r>
    </w:p>
    <w:p w:rsidR="00CB3060" w:rsidRDefault="00CB3060" w:rsidP="00CF02EE">
      <w:pPr>
        <w:spacing w:before="120" w:beforeAutospacing="0" w:after="240" w:line="240" w:lineRule="auto"/>
        <w:rPr>
          <w:sz w:val="24"/>
          <w:szCs w:val="24"/>
          <w:u w:val="single"/>
        </w:rPr>
      </w:pPr>
      <w:r>
        <w:rPr>
          <w:sz w:val="24"/>
          <w:szCs w:val="24"/>
          <w:u w:val="single"/>
        </w:rPr>
        <w:t>Section I: Trend Data</w:t>
      </w:r>
    </w:p>
    <w:p w:rsidR="00CB3060" w:rsidRDefault="00CB3060" w:rsidP="00CF02EE">
      <w:pPr>
        <w:pStyle w:val="ListParagraph"/>
        <w:numPr>
          <w:ilvl w:val="0"/>
          <w:numId w:val="1"/>
        </w:numPr>
        <w:spacing w:before="120" w:beforeAutospacing="0" w:after="240" w:line="240" w:lineRule="auto"/>
        <w:rPr>
          <w:sz w:val="24"/>
          <w:szCs w:val="24"/>
        </w:rPr>
      </w:pPr>
      <w:r>
        <w:rPr>
          <w:sz w:val="24"/>
          <w:szCs w:val="24"/>
        </w:rPr>
        <w:t>Program Trend Data</w:t>
      </w:r>
    </w:p>
    <w:p w:rsidR="00625D7D" w:rsidRPr="00312003" w:rsidRDefault="00461F0B" w:rsidP="00461F0B">
      <w:pPr>
        <w:spacing w:after="360" w:line="240" w:lineRule="auto"/>
        <w:ind w:left="720"/>
        <w:rPr>
          <w:sz w:val="24"/>
          <w:szCs w:val="24"/>
        </w:rPr>
      </w:pPr>
      <w:r w:rsidRPr="00312003">
        <w:rPr>
          <w:sz w:val="24"/>
          <w:szCs w:val="24"/>
        </w:rPr>
        <w:t>The department is largely a service entity providing support to associates degree programs within and to service a large contingent of university parallel transfer students.  Enrollment trends vs. prior year are stated in the table below:</w:t>
      </w:r>
    </w:p>
    <w:p w:rsidR="00EE58EB" w:rsidRPr="00EE58EB" w:rsidRDefault="00EE58EB" w:rsidP="00461F0B">
      <w:pPr>
        <w:spacing w:after="360" w:line="240" w:lineRule="auto"/>
        <w:ind w:left="720"/>
        <w:rPr>
          <w:b/>
          <w:sz w:val="20"/>
          <w:szCs w:val="24"/>
        </w:rPr>
      </w:pPr>
      <w:r w:rsidRPr="00EE58EB">
        <w:rPr>
          <w:b/>
          <w:sz w:val="20"/>
          <w:szCs w:val="24"/>
        </w:rPr>
        <w:t>FTE</w:t>
      </w:r>
    </w:p>
    <w:tbl>
      <w:tblPr>
        <w:tblStyle w:val="TableGrid"/>
        <w:tblW w:w="0" w:type="auto"/>
        <w:tblInd w:w="720" w:type="dxa"/>
        <w:tblLook w:val="04A0"/>
      </w:tblPr>
      <w:tblGrid>
        <w:gridCol w:w="1761"/>
        <w:gridCol w:w="1778"/>
        <w:gridCol w:w="1778"/>
        <w:gridCol w:w="1778"/>
      </w:tblGrid>
      <w:tr w:rsidR="00EE58EB" w:rsidRPr="00C11AA2" w:rsidTr="00EE58EB">
        <w:tc>
          <w:tcPr>
            <w:tcW w:w="1761" w:type="dxa"/>
            <w:shd w:val="clear" w:color="auto" w:fill="BFBFBF" w:themeFill="background1" w:themeFillShade="BF"/>
            <w:vAlign w:val="bottom"/>
          </w:tcPr>
          <w:p w:rsidR="00EE58EB" w:rsidRPr="00C11AA2" w:rsidRDefault="00EE58EB" w:rsidP="00461F0B">
            <w:pPr>
              <w:spacing w:after="360"/>
              <w:jc w:val="center"/>
              <w:rPr>
                <w:sz w:val="24"/>
                <w:szCs w:val="24"/>
              </w:rPr>
            </w:pPr>
            <w:r w:rsidRPr="00C11AA2">
              <w:rPr>
                <w:sz w:val="24"/>
                <w:szCs w:val="24"/>
              </w:rPr>
              <w:t>Dept</w:t>
            </w:r>
          </w:p>
        </w:tc>
        <w:tc>
          <w:tcPr>
            <w:tcW w:w="1778" w:type="dxa"/>
            <w:shd w:val="clear" w:color="auto" w:fill="BFBFBF" w:themeFill="background1" w:themeFillShade="BF"/>
            <w:vAlign w:val="bottom"/>
          </w:tcPr>
          <w:p w:rsidR="00EE58EB" w:rsidRPr="00C11AA2" w:rsidRDefault="00EE58EB" w:rsidP="00EE58EB">
            <w:pPr>
              <w:spacing w:after="360"/>
              <w:jc w:val="center"/>
              <w:rPr>
                <w:sz w:val="24"/>
                <w:szCs w:val="24"/>
              </w:rPr>
            </w:pPr>
            <w:r w:rsidRPr="00C11AA2">
              <w:rPr>
                <w:sz w:val="24"/>
                <w:szCs w:val="24"/>
              </w:rPr>
              <w:t>FTE 2008-2009</w:t>
            </w:r>
          </w:p>
        </w:tc>
        <w:tc>
          <w:tcPr>
            <w:tcW w:w="1778" w:type="dxa"/>
            <w:shd w:val="clear" w:color="auto" w:fill="BFBFBF" w:themeFill="background1" w:themeFillShade="BF"/>
            <w:vAlign w:val="bottom"/>
          </w:tcPr>
          <w:p w:rsidR="00EE58EB" w:rsidRPr="00C11AA2" w:rsidRDefault="00EE58EB" w:rsidP="00EE58EB">
            <w:pPr>
              <w:spacing w:after="360"/>
              <w:jc w:val="center"/>
              <w:rPr>
                <w:sz w:val="24"/>
                <w:szCs w:val="24"/>
              </w:rPr>
            </w:pPr>
            <w:r w:rsidRPr="00C11AA2">
              <w:rPr>
                <w:sz w:val="24"/>
                <w:szCs w:val="24"/>
              </w:rPr>
              <w:t>FTE 2009-2010</w:t>
            </w:r>
          </w:p>
        </w:tc>
        <w:tc>
          <w:tcPr>
            <w:tcW w:w="1778" w:type="dxa"/>
            <w:shd w:val="clear" w:color="auto" w:fill="BFBFBF" w:themeFill="background1" w:themeFillShade="BF"/>
            <w:vAlign w:val="bottom"/>
          </w:tcPr>
          <w:p w:rsidR="00EE58EB" w:rsidRPr="00C11AA2" w:rsidRDefault="00EE58EB" w:rsidP="00EE58EB">
            <w:pPr>
              <w:spacing w:after="360"/>
              <w:jc w:val="center"/>
              <w:rPr>
                <w:sz w:val="24"/>
                <w:szCs w:val="24"/>
              </w:rPr>
            </w:pPr>
            <w:r w:rsidRPr="00C11AA2">
              <w:rPr>
                <w:sz w:val="24"/>
                <w:szCs w:val="24"/>
              </w:rPr>
              <w:t>FTE 2010-2011</w:t>
            </w:r>
          </w:p>
        </w:tc>
      </w:tr>
      <w:tr w:rsidR="00EE58EB" w:rsidRPr="00C11AA2" w:rsidTr="00EE58EB">
        <w:tc>
          <w:tcPr>
            <w:tcW w:w="1761" w:type="dxa"/>
            <w:vAlign w:val="center"/>
          </w:tcPr>
          <w:p w:rsidR="00EE58EB" w:rsidRPr="00C11AA2" w:rsidRDefault="00EE58EB" w:rsidP="00461F0B">
            <w:pPr>
              <w:spacing w:after="360"/>
              <w:jc w:val="center"/>
              <w:rPr>
                <w:sz w:val="24"/>
                <w:szCs w:val="24"/>
              </w:rPr>
            </w:pPr>
            <w:r w:rsidRPr="00C11AA2">
              <w:rPr>
                <w:sz w:val="24"/>
                <w:szCs w:val="24"/>
              </w:rPr>
              <w:t>CHE</w:t>
            </w:r>
          </w:p>
        </w:tc>
        <w:tc>
          <w:tcPr>
            <w:tcW w:w="1778" w:type="dxa"/>
            <w:vAlign w:val="bottom"/>
          </w:tcPr>
          <w:p w:rsidR="00EE58EB" w:rsidRPr="00C11AA2" w:rsidRDefault="00EE58EB" w:rsidP="00EE58EB">
            <w:pPr>
              <w:spacing w:after="360"/>
              <w:jc w:val="center"/>
              <w:rPr>
                <w:sz w:val="24"/>
                <w:szCs w:val="24"/>
              </w:rPr>
            </w:pPr>
            <w:r w:rsidRPr="00C11AA2">
              <w:rPr>
                <w:sz w:val="24"/>
                <w:szCs w:val="24"/>
              </w:rPr>
              <w:t>671.93</w:t>
            </w:r>
          </w:p>
        </w:tc>
        <w:tc>
          <w:tcPr>
            <w:tcW w:w="1778" w:type="dxa"/>
            <w:vAlign w:val="bottom"/>
          </w:tcPr>
          <w:p w:rsidR="00EE58EB" w:rsidRPr="00C11AA2" w:rsidRDefault="00EE58EB" w:rsidP="00EE58EB">
            <w:pPr>
              <w:spacing w:after="360"/>
              <w:jc w:val="center"/>
              <w:rPr>
                <w:sz w:val="24"/>
                <w:szCs w:val="24"/>
              </w:rPr>
            </w:pPr>
            <w:r w:rsidRPr="00C11AA2">
              <w:rPr>
                <w:sz w:val="24"/>
                <w:szCs w:val="24"/>
              </w:rPr>
              <w:t>754.33</w:t>
            </w:r>
          </w:p>
        </w:tc>
        <w:tc>
          <w:tcPr>
            <w:tcW w:w="1778" w:type="dxa"/>
            <w:vAlign w:val="bottom"/>
          </w:tcPr>
          <w:p w:rsidR="00EE58EB" w:rsidRPr="00C11AA2" w:rsidRDefault="00EE58EB" w:rsidP="00EE58EB">
            <w:pPr>
              <w:spacing w:after="360"/>
              <w:jc w:val="center"/>
              <w:rPr>
                <w:sz w:val="24"/>
                <w:szCs w:val="24"/>
              </w:rPr>
            </w:pPr>
            <w:r w:rsidRPr="00C11AA2">
              <w:rPr>
                <w:sz w:val="24"/>
                <w:szCs w:val="24"/>
              </w:rPr>
              <w:t>744.27</w:t>
            </w:r>
          </w:p>
        </w:tc>
      </w:tr>
      <w:tr w:rsidR="00EE58EB" w:rsidRPr="00C11AA2" w:rsidTr="00EE58EB">
        <w:tc>
          <w:tcPr>
            <w:tcW w:w="1761" w:type="dxa"/>
            <w:vAlign w:val="center"/>
          </w:tcPr>
          <w:p w:rsidR="00EE58EB" w:rsidRPr="00C11AA2" w:rsidRDefault="00EE58EB" w:rsidP="00461F0B">
            <w:pPr>
              <w:spacing w:after="360"/>
              <w:jc w:val="center"/>
              <w:rPr>
                <w:sz w:val="24"/>
                <w:szCs w:val="24"/>
              </w:rPr>
            </w:pPr>
            <w:r w:rsidRPr="00C11AA2">
              <w:rPr>
                <w:sz w:val="24"/>
                <w:szCs w:val="24"/>
              </w:rPr>
              <w:t>GLG</w:t>
            </w:r>
          </w:p>
        </w:tc>
        <w:tc>
          <w:tcPr>
            <w:tcW w:w="1778" w:type="dxa"/>
            <w:vAlign w:val="bottom"/>
          </w:tcPr>
          <w:p w:rsidR="00EE58EB" w:rsidRPr="00C11AA2" w:rsidRDefault="00EE58EB" w:rsidP="00EE58EB">
            <w:pPr>
              <w:spacing w:after="360"/>
              <w:jc w:val="center"/>
              <w:rPr>
                <w:sz w:val="24"/>
                <w:szCs w:val="24"/>
              </w:rPr>
            </w:pPr>
            <w:r w:rsidRPr="00C11AA2">
              <w:rPr>
                <w:sz w:val="24"/>
                <w:szCs w:val="24"/>
              </w:rPr>
              <w:t>223.47</w:t>
            </w:r>
          </w:p>
        </w:tc>
        <w:tc>
          <w:tcPr>
            <w:tcW w:w="1778" w:type="dxa"/>
            <w:vAlign w:val="bottom"/>
          </w:tcPr>
          <w:p w:rsidR="00EE58EB" w:rsidRPr="00C11AA2" w:rsidRDefault="00EE58EB" w:rsidP="00EE58EB">
            <w:pPr>
              <w:spacing w:after="360"/>
              <w:jc w:val="center"/>
              <w:rPr>
                <w:sz w:val="24"/>
                <w:szCs w:val="24"/>
              </w:rPr>
            </w:pPr>
            <w:r w:rsidRPr="00C11AA2">
              <w:rPr>
                <w:sz w:val="24"/>
                <w:szCs w:val="24"/>
              </w:rPr>
              <w:t>258.40</w:t>
            </w:r>
          </w:p>
        </w:tc>
        <w:tc>
          <w:tcPr>
            <w:tcW w:w="1778" w:type="dxa"/>
            <w:vAlign w:val="bottom"/>
          </w:tcPr>
          <w:p w:rsidR="00EE58EB" w:rsidRPr="00C11AA2" w:rsidRDefault="00EE58EB" w:rsidP="00EE58EB">
            <w:pPr>
              <w:spacing w:after="360"/>
              <w:jc w:val="center"/>
              <w:rPr>
                <w:sz w:val="24"/>
                <w:szCs w:val="24"/>
              </w:rPr>
            </w:pPr>
            <w:r w:rsidRPr="00C11AA2">
              <w:rPr>
                <w:sz w:val="24"/>
                <w:szCs w:val="24"/>
              </w:rPr>
              <w:t>254.13</w:t>
            </w:r>
          </w:p>
        </w:tc>
      </w:tr>
    </w:tbl>
    <w:p w:rsidR="00461F0B" w:rsidRPr="00D20A8B" w:rsidRDefault="00D20A8B" w:rsidP="00461F0B">
      <w:pPr>
        <w:spacing w:after="360" w:line="240" w:lineRule="auto"/>
        <w:ind w:left="720"/>
        <w:rPr>
          <w:b/>
          <w:sz w:val="20"/>
          <w:szCs w:val="24"/>
        </w:rPr>
      </w:pPr>
      <w:r w:rsidRPr="00D20A8B">
        <w:rPr>
          <w:b/>
          <w:sz w:val="20"/>
          <w:szCs w:val="24"/>
        </w:rPr>
        <w:t>Success Rates</w:t>
      </w:r>
    </w:p>
    <w:tbl>
      <w:tblPr>
        <w:tblStyle w:val="TableGrid"/>
        <w:tblW w:w="0" w:type="auto"/>
        <w:tblInd w:w="720" w:type="dxa"/>
        <w:tblLook w:val="04A0"/>
      </w:tblPr>
      <w:tblGrid>
        <w:gridCol w:w="1761"/>
        <w:gridCol w:w="1778"/>
        <w:gridCol w:w="1778"/>
        <w:gridCol w:w="1778"/>
      </w:tblGrid>
      <w:tr w:rsidR="00D20A8B" w:rsidRPr="00C11AA2" w:rsidTr="00D5583F">
        <w:tc>
          <w:tcPr>
            <w:tcW w:w="1761"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Dept</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FTE 2008-2009</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FTE 2009-2010</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FTE 2010-2011</w:t>
            </w:r>
          </w:p>
        </w:tc>
      </w:tr>
      <w:tr w:rsidR="00D20A8B" w:rsidRPr="00C11AA2" w:rsidTr="00D5583F">
        <w:tc>
          <w:tcPr>
            <w:tcW w:w="1761" w:type="dxa"/>
            <w:vAlign w:val="center"/>
          </w:tcPr>
          <w:p w:rsidR="00D20A8B" w:rsidRPr="00C11AA2" w:rsidRDefault="00D20A8B" w:rsidP="00D5583F">
            <w:pPr>
              <w:spacing w:after="360"/>
              <w:jc w:val="center"/>
              <w:rPr>
                <w:sz w:val="24"/>
                <w:szCs w:val="24"/>
              </w:rPr>
            </w:pPr>
            <w:r w:rsidRPr="00C11AA2">
              <w:rPr>
                <w:sz w:val="24"/>
                <w:szCs w:val="24"/>
              </w:rPr>
              <w:t>CHE</w:t>
            </w:r>
          </w:p>
        </w:tc>
        <w:tc>
          <w:tcPr>
            <w:tcW w:w="1778" w:type="dxa"/>
            <w:vAlign w:val="bottom"/>
          </w:tcPr>
          <w:p w:rsidR="00D20A8B" w:rsidRPr="00C11AA2" w:rsidRDefault="00D20A8B" w:rsidP="00D5583F">
            <w:pPr>
              <w:spacing w:after="360"/>
              <w:jc w:val="center"/>
              <w:rPr>
                <w:sz w:val="24"/>
                <w:szCs w:val="24"/>
              </w:rPr>
            </w:pPr>
            <w:r w:rsidRPr="00C11AA2">
              <w:rPr>
                <w:sz w:val="24"/>
                <w:szCs w:val="24"/>
              </w:rPr>
              <w:t>64.53%</w:t>
            </w:r>
          </w:p>
        </w:tc>
        <w:tc>
          <w:tcPr>
            <w:tcW w:w="1778" w:type="dxa"/>
            <w:vAlign w:val="bottom"/>
          </w:tcPr>
          <w:p w:rsidR="00D20A8B" w:rsidRPr="00C11AA2" w:rsidRDefault="00D20A8B" w:rsidP="00D5583F">
            <w:pPr>
              <w:spacing w:after="360"/>
              <w:jc w:val="center"/>
              <w:rPr>
                <w:sz w:val="24"/>
                <w:szCs w:val="24"/>
              </w:rPr>
            </w:pPr>
            <w:r w:rsidRPr="00C11AA2">
              <w:rPr>
                <w:sz w:val="24"/>
                <w:szCs w:val="24"/>
              </w:rPr>
              <w:t>62.26%</w:t>
            </w:r>
          </w:p>
        </w:tc>
        <w:tc>
          <w:tcPr>
            <w:tcW w:w="1778" w:type="dxa"/>
            <w:vAlign w:val="bottom"/>
          </w:tcPr>
          <w:p w:rsidR="00D20A8B" w:rsidRPr="00C11AA2" w:rsidRDefault="00D20A8B" w:rsidP="00D5583F">
            <w:pPr>
              <w:spacing w:after="360"/>
              <w:jc w:val="center"/>
              <w:rPr>
                <w:sz w:val="24"/>
                <w:szCs w:val="24"/>
              </w:rPr>
            </w:pPr>
            <w:r w:rsidRPr="00C11AA2">
              <w:rPr>
                <w:sz w:val="24"/>
                <w:szCs w:val="24"/>
              </w:rPr>
              <w:t>57.20%</w:t>
            </w:r>
          </w:p>
        </w:tc>
      </w:tr>
      <w:tr w:rsidR="00D20A8B" w:rsidRPr="00C11AA2" w:rsidTr="00D5583F">
        <w:tc>
          <w:tcPr>
            <w:tcW w:w="1761" w:type="dxa"/>
            <w:vAlign w:val="center"/>
          </w:tcPr>
          <w:p w:rsidR="00D20A8B" w:rsidRPr="00C11AA2" w:rsidRDefault="00D20A8B" w:rsidP="00D5583F">
            <w:pPr>
              <w:spacing w:after="360"/>
              <w:jc w:val="center"/>
              <w:rPr>
                <w:sz w:val="24"/>
                <w:szCs w:val="24"/>
              </w:rPr>
            </w:pPr>
            <w:r w:rsidRPr="00C11AA2">
              <w:rPr>
                <w:sz w:val="24"/>
                <w:szCs w:val="24"/>
              </w:rPr>
              <w:t>GLG</w:t>
            </w:r>
          </w:p>
        </w:tc>
        <w:tc>
          <w:tcPr>
            <w:tcW w:w="1778" w:type="dxa"/>
            <w:vAlign w:val="bottom"/>
          </w:tcPr>
          <w:p w:rsidR="00D20A8B" w:rsidRPr="00C11AA2" w:rsidRDefault="00D20A8B" w:rsidP="00D5583F">
            <w:pPr>
              <w:spacing w:after="360"/>
              <w:jc w:val="center"/>
              <w:rPr>
                <w:sz w:val="24"/>
                <w:szCs w:val="24"/>
              </w:rPr>
            </w:pPr>
            <w:r w:rsidRPr="00C11AA2">
              <w:rPr>
                <w:sz w:val="24"/>
                <w:szCs w:val="24"/>
              </w:rPr>
              <w:t>75.14%</w:t>
            </w:r>
          </w:p>
        </w:tc>
        <w:tc>
          <w:tcPr>
            <w:tcW w:w="1778" w:type="dxa"/>
            <w:vAlign w:val="bottom"/>
          </w:tcPr>
          <w:p w:rsidR="00D20A8B" w:rsidRPr="00C11AA2" w:rsidRDefault="00D20A8B" w:rsidP="00D5583F">
            <w:pPr>
              <w:spacing w:after="360"/>
              <w:jc w:val="center"/>
              <w:rPr>
                <w:sz w:val="24"/>
                <w:szCs w:val="24"/>
              </w:rPr>
            </w:pPr>
            <w:r w:rsidRPr="00C11AA2">
              <w:rPr>
                <w:sz w:val="24"/>
                <w:szCs w:val="24"/>
              </w:rPr>
              <w:t>80.98%</w:t>
            </w:r>
          </w:p>
        </w:tc>
        <w:tc>
          <w:tcPr>
            <w:tcW w:w="1778" w:type="dxa"/>
            <w:vAlign w:val="bottom"/>
          </w:tcPr>
          <w:p w:rsidR="00D20A8B" w:rsidRPr="00C11AA2" w:rsidRDefault="00D20A8B" w:rsidP="00D5583F">
            <w:pPr>
              <w:spacing w:after="360"/>
              <w:jc w:val="center"/>
              <w:rPr>
                <w:sz w:val="24"/>
                <w:szCs w:val="24"/>
              </w:rPr>
            </w:pPr>
            <w:r w:rsidRPr="00C11AA2">
              <w:rPr>
                <w:sz w:val="24"/>
                <w:szCs w:val="24"/>
              </w:rPr>
              <w:t>78.80%</w:t>
            </w:r>
          </w:p>
        </w:tc>
      </w:tr>
    </w:tbl>
    <w:p w:rsidR="00625D7D" w:rsidRDefault="00D20A8B" w:rsidP="00D20A8B">
      <w:pPr>
        <w:spacing w:after="360" w:line="240" w:lineRule="auto"/>
        <w:ind w:left="720"/>
        <w:rPr>
          <w:b/>
          <w:sz w:val="20"/>
          <w:szCs w:val="24"/>
        </w:rPr>
      </w:pPr>
      <w:r>
        <w:rPr>
          <w:b/>
          <w:sz w:val="20"/>
          <w:szCs w:val="24"/>
        </w:rPr>
        <w:t>Degree Completion</w:t>
      </w:r>
    </w:p>
    <w:tbl>
      <w:tblPr>
        <w:tblStyle w:val="TableGrid"/>
        <w:tblW w:w="0" w:type="auto"/>
        <w:tblInd w:w="720" w:type="dxa"/>
        <w:tblLook w:val="04A0"/>
      </w:tblPr>
      <w:tblGrid>
        <w:gridCol w:w="1761"/>
        <w:gridCol w:w="1778"/>
        <w:gridCol w:w="1778"/>
        <w:gridCol w:w="1778"/>
      </w:tblGrid>
      <w:tr w:rsidR="00D20A8B" w:rsidRPr="00C11AA2" w:rsidTr="00D5583F">
        <w:tc>
          <w:tcPr>
            <w:tcW w:w="1761"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Dept</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AC</w:t>
            </w:r>
            <w:r w:rsidRPr="00C11AA2">
              <w:rPr>
                <w:sz w:val="24"/>
                <w:szCs w:val="24"/>
              </w:rPr>
              <w:t xml:space="preserve"> 2008-2009</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AC</w:t>
            </w:r>
            <w:r w:rsidRPr="00C11AA2">
              <w:rPr>
                <w:sz w:val="24"/>
                <w:szCs w:val="24"/>
              </w:rPr>
              <w:t xml:space="preserve"> 2009-2010</w:t>
            </w:r>
          </w:p>
        </w:tc>
        <w:tc>
          <w:tcPr>
            <w:tcW w:w="1778" w:type="dxa"/>
            <w:shd w:val="clear" w:color="auto" w:fill="BFBFBF" w:themeFill="background1" w:themeFillShade="BF"/>
            <w:vAlign w:val="bottom"/>
          </w:tcPr>
          <w:p w:rsidR="00D20A8B" w:rsidRPr="00C11AA2" w:rsidRDefault="00D20A8B" w:rsidP="00D5583F">
            <w:pPr>
              <w:spacing w:after="360"/>
              <w:jc w:val="center"/>
              <w:rPr>
                <w:sz w:val="24"/>
                <w:szCs w:val="24"/>
              </w:rPr>
            </w:pPr>
            <w:r w:rsidRPr="00C11AA2">
              <w:rPr>
                <w:sz w:val="24"/>
                <w:szCs w:val="24"/>
              </w:rPr>
              <w:t>AC</w:t>
            </w:r>
            <w:r w:rsidRPr="00C11AA2">
              <w:rPr>
                <w:sz w:val="24"/>
                <w:szCs w:val="24"/>
              </w:rPr>
              <w:t xml:space="preserve"> 2010-2011</w:t>
            </w:r>
          </w:p>
        </w:tc>
      </w:tr>
      <w:tr w:rsidR="00D20A8B" w:rsidRPr="00C11AA2" w:rsidTr="00D5583F">
        <w:tc>
          <w:tcPr>
            <w:tcW w:w="1761" w:type="dxa"/>
            <w:vAlign w:val="center"/>
          </w:tcPr>
          <w:p w:rsidR="00D20A8B" w:rsidRPr="00C11AA2" w:rsidRDefault="00D20A8B" w:rsidP="00D5583F">
            <w:pPr>
              <w:spacing w:after="360"/>
              <w:jc w:val="center"/>
              <w:rPr>
                <w:sz w:val="24"/>
                <w:szCs w:val="24"/>
              </w:rPr>
            </w:pPr>
            <w:r w:rsidRPr="00C11AA2">
              <w:rPr>
                <w:sz w:val="24"/>
                <w:szCs w:val="24"/>
              </w:rPr>
              <w:t>CHE</w:t>
            </w:r>
          </w:p>
        </w:tc>
        <w:tc>
          <w:tcPr>
            <w:tcW w:w="1778" w:type="dxa"/>
            <w:vAlign w:val="bottom"/>
          </w:tcPr>
          <w:p w:rsidR="00D20A8B" w:rsidRPr="00C11AA2" w:rsidRDefault="00D20A8B" w:rsidP="00D5583F">
            <w:pPr>
              <w:spacing w:after="360"/>
              <w:jc w:val="center"/>
              <w:rPr>
                <w:sz w:val="24"/>
                <w:szCs w:val="24"/>
              </w:rPr>
            </w:pPr>
            <w:r w:rsidRPr="00C11AA2">
              <w:rPr>
                <w:sz w:val="24"/>
                <w:szCs w:val="24"/>
              </w:rPr>
              <w:t>4</w:t>
            </w:r>
          </w:p>
        </w:tc>
        <w:tc>
          <w:tcPr>
            <w:tcW w:w="1778" w:type="dxa"/>
            <w:vAlign w:val="bottom"/>
          </w:tcPr>
          <w:p w:rsidR="00D20A8B" w:rsidRPr="00C11AA2" w:rsidRDefault="00D20A8B" w:rsidP="00D5583F">
            <w:pPr>
              <w:spacing w:after="360"/>
              <w:jc w:val="center"/>
              <w:rPr>
                <w:sz w:val="24"/>
                <w:szCs w:val="24"/>
              </w:rPr>
            </w:pPr>
            <w:r w:rsidRPr="00C11AA2">
              <w:rPr>
                <w:sz w:val="24"/>
                <w:szCs w:val="24"/>
              </w:rPr>
              <w:t>4</w:t>
            </w:r>
          </w:p>
        </w:tc>
        <w:tc>
          <w:tcPr>
            <w:tcW w:w="1778" w:type="dxa"/>
            <w:vAlign w:val="bottom"/>
          </w:tcPr>
          <w:p w:rsidR="00D20A8B" w:rsidRPr="00C11AA2" w:rsidRDefault="00D20A8B" w:rsidP="00D5583F">
            <w:pPr>
              <w:spacing w:after="360"/>
              <w:jc w:val="center"/>
              <w:rPr>
                <w:sz w:val="24"/>
                <w:szCs w:val="24"/>
              </w:rPr>
            </w:pPr>
            <w:r w:rsidRPr="00C11AA2">
              <w:rPr>
                <w:sz w:val="24"/>
                <w:szCs w:val="24"/>
              </w:rPr>
              <w:t>7</w:t>
            </w:r>
          </w:p>
        </w:tc>
      </w:tr>
      <w:tr w:rsidR="00D20A8B" w:rsidRPr="00C11AA2" w:rsidTr="00D5583F">
        <w:tc>
          <w:tcPr>
            <w:tcW w:w="1761" w:type="dxa"/>
            <w:vAlign w:val="center"/>
          </w:tcPr>
          <w:p w:rsidR="00D20A8B" w:rsidRPr="00C11AA2" w:rsidRDefault="00D20A8B" w:rsidP="00D5583F">
            <w:pPr>
              <w:spacing w:after="360"/>
              <w:jc w:val="center"/>
              <w:rPr>
                <w:sz w:val="24"/>
                <w:szCs w:val="24"/>
              </w:rPr>
            </w:pPr>
            <w:r w:rsidRPr="00C11AA2">
              <w:rPr>
                <w:sz w:val="24"/>
                <w:szCs w:val="24"/>
              </w:rPr>
              <w:t>GLG</w:t>
            </w:r>
          </w:p>
        </w:tc>
        <w:tc>
          <w:tcPr>
            <w:tcW w:w="1778" w:type="dxa"/>
            <w:vAlign w:val="bottom"/>
          </w:tcPr>
          <w:p w:rsidR="00D20A8B" w:rsidRPr="00C11AA2" w:rsidRDefault="00D20A8B" w:rsidP="00D5583F">
            <w:pPr>
              <w:spacing w:after="360"/>
              <w:jc w:val="center"/>
              <w:rPr>
                <w:sz w:val="24"/>
                <w:szCs w:val="24"/>
              </w:rPr>
            </w:pPr>
            <w:r w:rsidRPr="00C11AA2">
              <w:rPr>
                <w:sz w:val="24"/>
                <w:szCs w:val="24"/>
              </w:rPr>
              <w:t>1</w:t>
            </w:r>
          </w:p>
        </w:tc>
        <w:tc>
          <w:tcPr>
            <w:tcW w:w="1778" w:type="dxa"/>
            <w:vAlign w:val="bottom"/>
          </w:tcPr>
          <w:p w:rsidR="00D20A8B" w:rsidRPr="00C11AA2" w:rsidRDefault="00D20A8B" w:rsidP="00D5583F">
            <w:pPr>
              <w:spacing w:after="360"/>
              <w:jc w:val="center"/>
              <w:rPr>
                <w:sz w:val="24"/>
                <w:szCs w:val="24"/>
              </w:rPr>
            </w:pPr>
            <w:r w:rsidRPr="00C11AA2">
              <w:rPr>
                <w:sz w:val="24"/>
                <w:szCs w:val="24"/>
              </w:rPr>
              <w:t>0</w:t>
            </w:r>
          </w:p>
        </w:tc>
        <w:tc>
          <w:tcPr>
            <w:tcW w:w="1778" w:type="dxa"/>
            <w:vAlign w:val="bottom"/>
          </w:tcPr>
          <w:p w:rsidR="00D20A8B" w:rsidRPr="00C11AA2" w:rsidRDefault="00D20A8B" w:rsidP="00D5583F">
            <w:pPr>
              <w:spacing w:after="360"/>
              <w:jc w:val="center"/>
              <w:rPr>
                <w:sz w:val="24"/>
                <w:szCs w:val="24"/>
              </w:rPr>
            </w:pPr>
            <w:r w:rsidRPr="00C11AA2">
              <w:rPr>
                <w:sz w:val="24"/>
                <w:szCs w:val="24"/>
              </w:rPr>
              <w:t>0</w:t>
            </w:r>
          </w:p>
        </w:tc>
      </w:tr>
    </w:tbl>
    <w:p w:rsidR="00D20A8B" w:rsidRPr="00625D7D" w:rsidRDefault="00D20A8B" w:rsidP="00D20A8B">
      <w:pPr>
        <w:spacing w:after="360" w:line="240" w:lineRule="auto"/>
        <w:ind w:left="720"/>
        <w:rPr>
          <w:b/>
          <w:sz w:val="20"/>
          <w:szCs w:val="24"/>
        </w:rPr>
      </w:pPr>
    </w:p>
    <w:p w:rsidR="00D87A7F" w:rsidRDefault="00D87A7F" w:rsidP="00D87A7F">
      <w:pPr>
        <w:spacing w:after="0" w:line="240" w:lineRule="auto"/>
        <w:ind w:left="720"/>
        <w:jc w:val="center"/>
        <w:rPr>
          <w:sz w:val="20"/>
          <w:szCs w:val="24"/>
        </w:rPr>
      </w:pPr>
    </w:p>
    <w:p w:rsidR="00CB3060" w:rsidRPr="00CB3060" w:rsidRDefault="00CB3060" w:rsidP="00E20ED5">
      <w:pPr>
        <w:pStyle w:val="ListParagraph"/>
        <w:keepLines/>
        <w:numPr>
          <w:ilvl w:val="0"/>
          <w:numId w:val="1"/>
        </w:numPr>
        <w:rPr>
          <w:sz w:val="24"/>
          <w:szCs w:val="24"/>
        </w:rPr>
      </w:pPr>
      <w:r>
        <w:rPr>
          <w:sz w:val="24"/>
          <w:szCs w:val="24"/>
        </w:rPr>
        <w:lastRenderedPageBreak/>
        <w:t xml:space="preserve">Interpretation and Analysis of Data  </w:t>
      </w:r>
      <w:r w:rsidRPr="00CB3060">
        <w:rPr>
          <w:i/>
          <w:sz w:val="22"/>
          <w:szCs w:val="24"/>
        </w:rPr>
        <w:t xml:space="preserve">  </w:t>
      </w:r>
      <w:r w:rsidRPr="00CB3060">
        <w:rPr>
          <w:i/>
          <w:sz w:val="20"/>
          <w:szCs w:val="24"/>
        </w:rPr>
        <w:t>Suggestions</w:t>
      </w:r>
      <w:r>
        <w:rPr>
          <w:i/>
          <w:sz w:val="20"/>
          <w:szCs w:val="24"/>
        </w:rPr>
        <w:t xml:space="preserve">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w:t>
      </w:r>
      <w:r w:rsidR="006828F9">
        <w:rPr>
          <w:i/>
          <w:sz w:val="20"/>
          <w:szCs w:val="24"/>
        </w:rPr>
        <w:t>t</w:t>
      </w:r>
      <w:r>
        <w:rPr>
          <w:i/>
          <w:sz w:val="20"/>
          <w:szCs w:val="24"/>
        </w:rPr>
        <w:t>ment implement as a result of this data?</w:t>
      </w:r>
    </w:p>
    <w:p w:rsidR="00D20A8B" w:rsidRDefault="00AC782E" w:rsidP="00625D7D">
      <w:pPr>
        <w:spacing w:after="240" w:line="240" w:lineRule="auto"/>
        <w:ind w:left="720"/>
        <w:rPr>
          <w:sz w:val="24"/>
          <w:szCs w:val="24"/>
        </w:rPr>
      </w:pPr>
      <w:r w:rsidRPr="00C11AA2">
        <w:rPr>
          <w:sz w:val="24"/>
          <w:szCs w:val="24"/>
        </w:rPr>
        <w:t xml:space="preserve">After an enrollment spike, it seems enrollment has reached a plateau of late.   </w:t>
      </w:r>
      <w:r w:rsidR="00C11AA2">
        <w:rPr>
          <w:sz w:val="24"/>
          <w:szCs w:val="24"/>
        </w:rPr>
        <w:t xml:space="preserve">I believe the department could have possibly fared better had it known of an enrollment trend away from the preparatory courses used to support allied health programs and toward the university parallel courses.  Schedule offerings are usually prepared well in advance and </w:t>
      </w:r>
      <w:r w:rsidR="00442912">
        <w:rPr>
          <w:sz w:val="24"/>
          <w:szCs w:val="24"/>
        </w:rPr>
        <w:t>some inefficiency in this regard may be the root cause of this lack of growth (i.e. some courses filling more quickly and others never filling, etc.).</w:t>
      </w:r>
    </w:p>
    <w:p w:rsidR="00442912" w:rsidRDefault="00442912" w:rsidP="00625D7D">
      <w:pPr>
        <w:spacing w:after="240" w:line="240" w:lineRule="auto"/>
        <w:ind w:left="720"/>
        <w:rPr>
          <w:sz w:val="24"/>
          <w:szCs w:val="24"/>
        </w:rPr>
      </w:pPr>
      <w:r>
        <w:rPr>
          <w:sz w:val="24"/>
          <w:szCs w:val="24"/>
        </w:rPr>
        <w:t xml:space="preserve">Chemistry success rates seem to be trending downward and this is cause for concern and further investigation.  </w:t>
      </w:r>
    </w:p>
    <w:p w:rsidR="00442912" w:rsidRPr="00C11AA2" w:rsidRDefault="00442912" w:rsidP="00625D7D">
      <w:pPr>
        <w:spacing w:after="240" w:line="240" w:lineRule="auto"/>
        <w:ind w:left="720"/>
        <w:rPr>
          <w:sz w:val="24"/>
          <w:szCs w:val="24"/>
        </w:rPr>
      </w:pPr>
      <w:r>
        <w:rPr>
          <w:sz w:val="24"/>
          <w:szCs w:val="24"/>
        </w:rPr>
        <w:t xml:space="preserve">Chemistry degree completion does seem to be rising and given the above enrollment trends, this should continue.  </w:t>
      </w:r>
    </w:p>
    <w:p w:rsidR="00D20A8B" w:rsidRDefault="00D20A8B" w:rsidP="00625D7D">
      <w:pPr>
        <w:spacing w:after="240" w:line="240" w:lineRule="auto"/>
        <w:ind w:left="720"/>
        <w:rPr>
          <w:sz w:val="20"/>
          <w:szCs w:val="24"/>
        </w:rPr>
      </w:pPr>
    </w:p>
    <w:p w:rsidR="00D20A8B" w:rsidRDefault="00D20A8B" w:rsidP="00625D7D">
      <w:pPr>
        <w:spacing w:after="240" w:line="240" w:lineRule="auto"/>
        <w:ind w:left="720"/>
        <w:rPr>
          <w:sz w:val="20"/>
          <w:szCs w:val="24"/>
        </w:rPr>
      </w:pPr>
    </w:p>
    <w:p w:rsidR="00D20A8B" w:rsidRDefault="00D20A8B" w:rsidP="00625D7D">
      <w:pPr>
        <w:spacing w:after="240" w:line="240" w:lineRule="auto"/>
        <w:ind w:left="720"/>
        <w:rPr>
          <w:sz w:val="20"/>
          <w:szCs w:val="24"/>
        </w:rPr>
      </w:pPr>
    </w:p>
    <w:p w:rsidR="00A52E15" w:rsidRDefault="00A52E15" w:rsidP="00625D7D">
      <w:pPr>
        <w:spacing w:after="240" w:line="240" w:lineRule="auto"/>
        <w:ind w:left="720"/>
        <w:rPr>
          <w:sz w:val="20"/>
          <w:szCs w:val="24"/>
        </w:rPr>
      </w:pPr>
    </w:p>
    <w:p w:rsidR="00CB3060" w:rsidRDefault="00CB3060" w:rsidP="00CB3060">
      <w:pPr>
        <w:rPr>
          <w:sz w:val="24"/>
          <w:szCs w:val="24"/>
          <w:u w:val="single"/>
        </w:rPr>
      </w:pPr>
      <w:r>
        <w:rPr>
          <w:sz w:val="24"/>
          <w:szCs w:val="24"/>
          <w:u w:val="single"/>
        </w:rPr>
        <w:t xml:space="preserve">Section II: Progress </w:t>
      </w:r>
      <w:proofErr w:type="gramStart"/>
      <w:r>
        <w:rPr>
          <w:sz w:val="24"/>
          <w:szCs w:val="24"/>
          <w:u w:val="single"/>
        </w:rPr>
        <w:t>Since</w:t>
      </w:r>
      <w:proofErr w:type="gramEnd"/>
      <w:r>
        <w:rPr>
          <w:sz w:val="24"/>
          <w:szCs w:val="24"/>
          <w:u w:val="single"/>
        </w:rPr>
        <w:t xml:space="preserve"> the Most Recent Review</w:t>
      </w:r>
    </w:p>
    <w:p w:rsidR="00CB3060" w:rsidRPr="00C11AA2" w:rsidRDefault="00CB3060" w:rsidP="00CB3060">
      <w:pPr>
        <w:pStyle w:val="ListParagraph"/>
        <w:numPr>
          <w:ilvl w:val="0"/>
          <w:numId w:val="2"/>
        </w:numPr>
        <w:spacing w:after="240" w:line="240" w:lineRule="auto"/>
        <w:contextualSpacing w:val="0"/>
        <w:rPr>
          <w:sz w:val="24"/>
          <w:szCs w:val="24"/>
        </w:rPr>
      </w:pPr>
      <w:r w:rsidRPr="00D87A7F">
        <w:rPr>
          <w:sz w:val="20"/>
          <w:szCs w:val="24"/>
        </w:rPr>
        <w:t>What was the fiscal year of the most recent Program Rev</w:t>
      </w:r>
      <w:r w:rsidR="00D20A8B">
        <w:rPr>
          <w:sz w:val="20"/>
          <w:szCs w:val="24"/>
        </w:rPr>
        <w:t>iew for this program?</w:t>
      </w:r>
      <w:r w:rsidR="00D20A8B">
        <w:rPr>
          <w:sz w:val="20"/>
          <w:szCs w:val="24"/>
        </w:rPr>
        <w:br/>
      </w:r>
      <w:r w:rsidR="00D20A8B">
        <w:rPr>
          <w:sz w:val="20"/>
          <w:szCs w:val="24"/>
        </w:rPr>
        <w:br/>
      </w:r>
      <w:r w:rsidR="00ED0AB9">
        <w:rPr>
          <w:sz w:val="20"/>
          <w:szCs w:val="24"/>
        </w:rPr>
        <w:tab/>
      </w:r>
      <w:r w:rsidR="00D20A8B" w:rsidRPr="00C11AA2">
        <w:rPr>
          <w:sz w:val="24"/>
          <w:szCs w:val="24"/>
        </w:rPr>
        <w:t>2007</w:t>
      </w:r>
    </w:p>
    <w:p w:rsidR="00ED0AB9" w:rsidRDefault="00CB3060" w:rsidP="00ED0AB9">
      <w:pPr>
        <w:pStyle w:val="ListParagraph"/>
        <w:rPr>
          <w:rFonts w:ascii="Arial" w:hAnsi="Arial" w:cs="Arial"/>
        </w:rPr>
      </w:pPr>
      <w:r w:rsidRPr="00D20A8B">
        <w:rPr>
          <w:sz w:val="20"/>
          <w:szCs w:val="24"/>
        </w:rPr>
        <w:t>Briefly summarize the goals that were listed in Section IV part E of the most recent Program Review Self-Study (this section of the Self-Study asks “What are the department’s/program’s goals and rationale for expanding and improving student learning, including new courses, programs, delivery formats and locations”)?</w:t>
      </w:r>
      <w:r w:rsidRPr="00D20A8B">
        <w:rPr>
          <w:sz w:val="20"/>
          <w:szCs w:val="24"/>
        </w:rPr>
        <w:br/>
      </w:r>
      <w:r w:rsidRPr="00D20A8B">
        <w:rPr>
          <w:sz w:val="20"/>
          <w:szCs w:val="24"/>
        </w:rPr>
        <w:br/>
      </w:r>
      <w:r w:rsidR="00ED0AB9">
        <w:rPr>
          <w:sz w:val="20"/>
          <w:szCs w:val="20"/>
        </w:rPr>
        <w:tab/>
      </w:r>
      <w:r w:rsidR="00ED0AB9" w:rsidRPr="00C11AA2">
        <w:rPr>
          <w:sz w:val="24"/>
          <w:szCs w:val="24"/>
        </w:rPr>
        <w:t xml:space="preserve">The department was charged with greater managing the heavier load of adjunct </w:t>
      </w:r>
      <w:r w:rsidR="00C11AA2">
        <w:rPr>
          <w:sz w:val="24"/>
          <w:szCs w:val="24"/>
        </w:rPr>
        <w:tab/>
      </w:r>
      <w:r w:rsidR="00ED0AB9" w:rsidRPr="00C11AA2">
        <w:rPr>
          <w:sz w:val="24"/>
          <w:szCs w:val="24"/>
        </w:rPr>
        <w:t xml:space="preserve">faculty and documenting learning outcomes.  I believe we have made progress on </w:t>
      </w:r>
      <w:r w:rsidR="00C11AA2">
        <w:rPr>
          <w:sz w:val="24"/>
          <w:szCs w:val="24"/>
        </w:rPr>
        <w:tab/>
      </w:r>
      <w:r w:rsidR="00ED0AB9" w:rsidRPr="00C11AA2">
        <w:rPr>
          <w:sz w:val="24"/>
          <w:szCs w:val="24"/>
        </w:rPr>
        <w:t>that front.</w:t>
      </w:r>
      <w:r w:rsidR="00ED0AB9">
        <w:rPr>
          <w:rFonts w:ascii="Arial" w:hAnsi="Arial" w:cs="Arial"/>
        </w:rPr>
        <w:t xml:space="preserve">  </w:t>
      </w:r>
    </w:p>
    <w:p w:rsidR="00D20A8B" w:rsidRDefault="00D20A8B" w:rsidP="00ED0AB9">
      <w:pPr>
        <w:pStyle w:val="ListParagraph"/>
        <w:spacing w:after="240"/>
        <w:ind w:left="1080"/>
        <w:contextualSpacing w:val="0"/>
        <w:rPr>
          <w:sz w:val="20"/>
          <w:szCs w:val="24"/>
        </w:rPr>
      </w:pPr>
    </w:p>
    <w:p w:rsidR="00374403" w:rsidRPr="00C11AA2" w:rsidRDefault="00374403" w:rsidP="00121D1B">
      <w:pPr>
        <w:pStyle w:val="ListParagraph"/>
        <w:numPr>
          <w:ilvl w:val="0"/>
          <w:numId w:val="2"/>
        </w:numPr>
        <w:spacing w:after="240"/>
        <w:contextualSpacing w:val="0"/>
        <w:rPr>
          <w:sz w:val="24"/>
          <w:szCs w:val="24"/>
        </w:rPr>
      </w:pPr>
      <w:r w:rsidRPr="00ED0AB9">
        <w:rPr>
          <w:sz w:val="20"/>
          <w:szCs w:val="24"/>
        </w:rPr>
        <w:t>Have these goals changed since your last Program Review Self-Study?  If so, please describe the changes.</w:t>
      </w:r>
      <w:r w:rsidRPr="00ED0AB9">
        <w:rPr>
          <w:sz w:val="20"/>
          <w:szCs w:val="24"/>
        </w:rPr>
        <w:br/>
      </w:r>
      <w:r w:rsidRPr="00ED0AB9">
        <w:rPr>
          <w:sz w:val="20"/>
          <w:szCs w:val="24"/>
        </w:rPr>
        <w:br/>
      </w:r>
      <w:r w:rsidR="00ED0AB9">
        <w:rPr>
          <w:sz w:val="20"/>
          <w:szCs w:val="24"/>
        </w:rPr>
        <w:lastRenderedPageBreak/>
        <w:tab/>
      </w:r>
      <w:r w:rsidR="00AC782E" w:rsidRPr="00C11AA2">
        <w:rPr>
          <w:sz w:val="24"/>
          <w:szCs w:val="24"/>
        </w:rPr>
        <w:t xml:space="preserve">Not substantially.  This continues to be a challenge for this department given the </w:t>
      </w:r>
      <w:r w:rsidR="00C11AA2">
        <w:rPr>
          <w:sz w:val="24"/>
          <w:szCs w:val="24"/>
        </w:rPr>
        <w:tab/>
      </w:r>
      <w:r w:rsidR="00AC782E" w:rsidRPr="00C11AA2">
        <w:rPr>
          <w:sz w:val="24"/>
          <w:szCs w:val="24"/>
        </w:rPr>
        <w:t xml:space="preserve">ratio of FT/PT faculty near 50%.  </w:t>
      </w:r>
    </w:p>
    <w:p w:rsidR="00AC782E" w:rsidRPr="00C11AA2" w:rsidRDefault="00AC782E" w:rsidP="00AC782E">
      <w:pPr>
        <w:pStyle w:val="ListParagraph"/>
        <w:spacing w:after="240"/>
        <w:ind w:left="1080"/>
        <w:contextualSpacing w:val="0"/>
        <w:rPr>
          <w:sz w:val="24"/>
          <w:szCs w:val="24"/>
        </w:rPr>
      </w:pPr>
      <w:r w:rsidRPr="00C11AA2">
        <w:rPr>
          <w:sz w:val="24"/>
          <w:szCs w:val="24"/>
        </w:rPr>
        <w:tab/>
        <w:t xml:space="preserve">One additional goal which has become a great item of emphasis is safety.  This is </w:t>
      </w:r>
      <w:r w:rsidR="00C11AA2">
        <w:rPr>
          <w:sz w:val="24"/>
          <w:szCs w:val="24"/>
        </w:rPr>
        <w:tab/>
      </w:r>
      <w:r w:rsidRPr="00C11AA2">
        <w:rPr>
          <w:sz w:val="24"/>
          <w:szCs w:val="24"/>
        </w:rPr>
        <w:t xml:space="preserve">largely a concern in the chemistry area.  </w:t>
      </w:r>
    </w:p>
    <w:p w:rsidR="00ED0AB9" w:rsidRPr="00442912" w:rsidRDefault="00374403" w:rsidP="00ED0AB9">
      <w:pPr>
        <w:pStyle w:val="ListParagraph"/>
        <w:numPr>
          <w:ilvl w:val="0"/>
          <w:numId w:val="2"/>
        </w:numPr>
        <w:spacing w:after="240"/>
        <w:contextualSpacing w:val="0"/>
        <w:rPr>
          <w:sz w:val="20"/>
          <w:szCs w:val="24"/>
        </w:rPr>
      </w:pPr>
      <w:r w:rsidRPr="00ED0AB9">
        <w:rPr>
          <w:sz w:val="20"/>
          <w:szCs w:val="24"/>
        </w:rPr>
        <w:t>What progress has been made toward meeting any of the goals listed above in the past year?</w:t>
      </w:r>
      <w:r w:rsidRPr="00ED0AB9">
        <w:rPr>
          <w:sz w:val="20"/>
          <w:szCs w:val="24"/>
        </w:rPr>
        <w:br/>
      </w:r>
      <w:r w:rsidRPr="00ED0AB9">
        <w:rPr>
          <w:sz w:val="20"/>
          <w:szCs w:val="24"/>
        </w:rPr>
        <w:br/>
      </w:r>
      <w:r w:rsidR="00442912">
        <w:rPr>
          <w:sz w:val="24"/>
          <w:szCs w:val="24"/>
        </w:rPr>
        <w:tab/>
        <w:t>One item you to be mentioned later</w:t>
      </w:r>
      <w:r w:rsidR="00C11AA2">
        <w:rPr>
          <w:sz w:val="24"/>
          <w:szCs w:val="24"/>
        </w:rPr>
        <w:t xml:space="preserve"> is the </w:t>
      </w:r>
      <w:r w:rsidR="00442912">
        <w:rPr>
          <w:sz w:val="24"/>
          <w:szCs w:val="24"/>
        </w:rPr>
        <w:t xml:space="preserve">newfound </w:t>
      </w:r>
      <w:r w:rsidR="00C11AA2">
        <w:rPr>
          <w:sz w:val="24"/>
          <w:szCs w:val="24"/>
        </w:rPr>
        <w:t xml:space="preserve">ability for the CHE </w:t>
      </w:r>
      <w:r w:rsidR="00C11AA2">
        <w:rPr>
          <w:sz w:val="24"/>
          <w:szCs w:val="24"/>
        </w:rPr>
        <w:tab/>
        <w:t>department to administer the American Chemical Society</w:t>
      </w:r>
      <w:r w:rsidR="00442912">
        <w:rPr>
          <w:sz w:val="24"/>
          <w:szCs w:val="24"/>
        </w:rPr>
        <w:t xml:space="preserve"> National General and </w:t>
      </w:r>
      <w:r w:rsidR="00442912">
        <w:rPr>
          <w:sz w:val="24"/>
          <w:szCs w:val="24"/>
        </w:rPr>
        <w:tab/>
        <w:t xml:space="preserve">Organic Chemistry exams, which are semester-based.  </w:t>
      </w:r>
    </w:p>
    <w:p w:rsidR="00ED0AB9" w:rsidRDefault="00ED0AB9" w:rsidP="00ED0AB9">
      <w:pPr>
        <w:pStyle w:val="ListParagraph"/>
        <w:spacing w:after="240"/>
        <w:ind w:left="1080"/>
        <w:contextualSpacing w:val="0"/>
        <w:rPr>
          <w:sz w:val="20"/>
          <w:szCs w:val="24"/>
        </w:rPr>
      </w:pPr>
    </w:p>
    <w:p w:rsidR="00374403" w:rsidRPr="00ED0AB9" w:rsidRDefault="00374403" w:rsidP="00ED0AB9">
      <w:pPr>
        <w:pStyle w:val="ListParagraph"/>
        <w:spacing w:after="240"/>
        <w:ind w:left="1080"/>
        <w:contextualSpacing w:val="0"/>
        <w:rPr>
          <w:sz w:val="20"/>
          <w:szCs w:val="24"/>
        </w:rPr>
      </w:pPr>
      <w:r w:rsidRPr="00ED0AB9">
        <w:rPr>
          <w:sz w:val="20"/>
          <w:szCs w:val="24"/>
        </w:rPr>
        <w:t>What recommendations for Action were made by the review team to the most recent Program Review?  What progress has been made towards meeting these recommendations in the past year?</w:t>
      </w:r>
    </w:p>
    <w:p w:rsidR="00AC782E" w:rsidRPr="00C11AA2" w:rsidRDefault="00AC782E" w:rsidP="00AC782E">
      <w:pPr>
        <w:pStyle w:val="ListParagraph"/>
        <w:rPr>
          <w:sz w:val="24"/>
          <w:szCs w:val="24"/>
        </w:rPr>
      </w:pPr>
      <w:r>
        <w:rPr>
          <w:b/>
          <w:sz w:val="20"/>
          <w:szCs w:val="24"/>
        </w:rPr>
        <w:tab/>
      </w:r>
      <w:r w:rsidRPr="00C11AA2">
        <w:rPr>
          <w:sz w:val="24"/>
          <w:szCs w:val="24"/>
        </w:rPr>
        <w:t xml:space="preserve">The department was specifically charged with proving the assertion that success </w:t>
      </w:r>
      <w:r w:rsidR="00C11AA2">
        <w:rPr>
          <w:sz w:val="24"/>
          <w:szCs w:val="24"/>
        </w:rPr>
        <w:tab/>
      </w:r>
      <w:r w:rsidRPr="00C11AA2">
        <w:rPr>
          <w:sz w:val="24"/>
          <w:szCs w:val="24"/>
        </w:rPr>
        <w:t xml:space="preserve">rates were lower with adjunct faculty than full-time faculty.  After a great deal of </w:t>
      </w:r>
      <w:r w:rsidR="00C11AA2">
        <w:rPr>
          <w:sz w:val="24"/>
          <w:szCs w:val="24"/>
        </w:rPr>
        <w:tab/>
      </w:r>
      <w:r w:rsidRPr="00C11AA2">
        <w:rPr>
          <w:sz w:val="24"/>
          <w:szCs w:val="24"/>
        </w:rPr>
        <w:t xml:space="preserve">data mining, this was discussed in two annual updates ago and no further </w:t>
      </w:r>
      <w:r w:rsidR="00C11AA2">
        <w:rPr>
          <w:sz w:val="24"/>
          <w:szCs w:val="24"/>
        </w:rPr>
        <w:tab/>
      </w:r>
      <w:r w:rsidRPr="00C11AA2">
        <w:rPr>
          <w:sz w:val="24"/>
          <w:szCs w:val="24"/>
        </w:rPr>
        <w:t xml:space="preserve">communication has been made to the department regarding </w:t>
      </w:r>
      <w:r w:rsidRPr="00C11AA2">
        <w:rPr>
          <w:sz w:val="24"/>
          <w:szCs w:val="24"/>
        </w:rPr>
        <w:tab/>
      </w:r>
      <w:r w:rsidR="00210612" w:rsidRPr="00C11AA2">
        <w:rPr>
          <w:sz w:val="24"/>
          <w:szCs w:val="24"/>
        </w:rPr>
        <w:t xml:space="preserve">the findings, which is </w:t>
      </w:r>
      <w:r w:rsidR="00C11AA2">
        <w:rPr>
          <w:sz w:val="24"/>
          <w:szCs w:val="24"/>
        </w:rPr>
        <w:tab/>
      </w:r>
      <w:r w:rsidR="00210612" w:rsidRPr="00C11AA2">
        <w:rPr>
          <w:sz w:val="24"/>
          <w:szCs w:val="24"/>
        </w:rPr>
        <w:t>somewhat demoralizing, especially right about now</w:t>
      </w:r>
      <w:r w:rsidRPr="00C11AA2">
        <w:rPr>
          <w:sz w:val="24"/>
          <w:szCs w:val="24"/>
        </w:rPr>
        <w:t xml:space="preserve">.  </w:t>
      </w:r>
    </w:p>
    <w:p w:rsidR="000D35D6" w:rsidRDefault="000D35D6">
      <w:pPr>
        <w:rPr>
          <w:b/>
          <w:sz w:val="20"/>
          <w:szCs w:val="24"/>
        </w:rPr>
      </w:pPr>
      <w:r>
        <w:rPr>
          <w:b/>
          <w:sz w:val="20"/>
          <w:szCs w:val="24"/>
        </w:rPr>
        <w:br w:type="page"/>
      </w:r>
    </w:p>
    <w:p w:rsidR="00E4637F" w:rsidRPr="00E4637F" w:rsidRDefault="00E4637F" w:rsidP="00E4637F">
      <w:pPr>
        <w:rPr>
          <w:sz w:val="24"/>
          <w:szCs w:val="24"/>
          <w:u w:val="single"/>
        </w:rPr>
      </w:pPr>
      <w:r w:rsidRPr="00E4637F">
        <w:rPr>
          <w:sz w:val="24"/>
          <w:szCs w:val="24"/>
          <w:u w:val="single"/>
        </w:rPr>
        <w:lastRenderedPageBreak/>
        <w:t>Section I</w:t>
      </w:r>
      <w:r>
        <w:rPr>
          <w:sz w:val="24"/>
          <w:szCs w:val="24"/>
          <w:u w:val="single"/>
        </w:rPr>
        <w:t>I</w:t>
      </w:r>
      <w:r w:rsidRPr="00E4637F">
        <w:rPr>
          <w:sz w:val="24"/>
          <w:szCs w:val="24"/>
          <w:u w:val="single"/>
        </w:rPr>
        <w:t xml:space="preserve">I: </w:t>
      </w:r>
      <w:r>
        <w:rPr>
          <w:sz w:val="24"/>
          <w:szCs w:val="24"/>
          <w:u w:val="single"/>
        </w:rPr>
        <w:t>Assessment of Outcomes</w:t>
      </w:r>
    </w:p>
    <w:p w:rsidR="000D35D6" w:rsidRDefault="00E4637F" w:rsidP="00E4637F">
      <w:pPr>
        <w:spacing w:after="240"/>
        <w:rPr>
          <w:sz w:val="20"/>
          <w:szCs w:val="24"/>
        </w:rPr>
      </w:pPr>
      <w:r>
        <w:rPr>
          <w:sz w:val="20"/>
          <w:szCs w:val="24"/>
        </w:rPr>
        <w:t xml:space="preserve">The Program Outcomes for this program are listed below.  </w:t>
      </w:r>
      <w:r w:rsidRPr="00E4637F">
        <w:rPr>
          <w:sz w:val="20"/>
          <w:szCs w:val="24"/>
        </w:rPr>
        <w:t>At least one-third of your program outcomes must be assessed as part of this Annual Update, and across the next three years of these program outcomes must be assessed at least once.</w:t>
      </w:r>
    </w:p>
    <w:tbl>
      <w:tblPr>
        <w:tblStyle w:val="TableGrid"/>
        <w:tblW w:w="0" w:type="auto"/>
        <w:tblLook w:val="04A0"/>
      </w:tblPr>
      <w:tblGrid>
        <w:gridCol w:w="4518"/>
        <w:gridCol w:w="1260"/>
        <w:gridCol w:w="1620"/>
        <w:gridCol w:w="2178"/>
      </w:tblGrid>
      <w:tr w:rsidR="00E4637F" w:rsidRPr="006828F9" w:rsidTr="00E53392">
        <w:trPr>
          <w:tblHeader/>
        </w:trPr>
        <w:tc>
          <w:tcPr>
            <w:tcW w:w="4518" w:type="dxa"/>
            <w:shd w:val="clear" w:color="auto" w:fill="D9D9D9" w:themeFill="background1" w:themeFillShade="D9"/>
            <w:vAlign w:val="center"/>
          </w:tcPr>
          <w:p w:rsidR="00E4637F" w:rsidRPr="00E4637F" w:rsidRDefault="00AC782E" w:rsidP="00E53392">
            <w:pPr>
              <w:spacing w:after="240"/>
              <w:jc w:val="center"/>
              <w:rPr>
                <w:b/>
                <w:sz w:val="20"/>
                <w:szCs w:val="24"/>
                <w:u w:val="single"/>
              </w:rPr>
            </w:pPr>
            <w:r>
              <w:rPr>
                <w:sz w:val="18"/>
                <w:szCs w:val="24"/>
                <w:u w:val="single"/>
              </w:rPr>
              <w:t>Chemistry &amp; Geology</w:t>
            </w:r>
            <w:r w:rsidR="00E4637F" w:rsidRPr="00024B50">
              <w:rPr>
                <w:sz w:val="18"/>
                <w:szCs w:val="24"/>
                <w:u w:val="single"/>
              </w:rPr>
              <w:br/>
            </w:r>
            <w:r w:rsidR="00E4637F" w:rsidRPr="00024B50">
              <w:rPr>
                <w:sz w:val="18"/>
                <w:szCs w:val="24"/>
              </w:rPr>
              <w:t>Program Outcomes</w:t>
            </w:r>
          </w:p>
        </w:tc>
        <w:tc>
          <w:tcPr>
            <w:tcW w:w="1260" w:type="dxa"/>
            <w:shd w:val="clear" w:color="auto" w:fill="D9D9D9" w:themeFill="background1" w:themeFillShade="D9"/>
            <w:vAlign w:val="center"/>
          </w:tcPr>
          <w:p w:rsidR="00E4637F" w:rsidRPr="00E4637F" w:rsidRDefault="00E4637F" w:rsidP="00E53392">
            <w:pPr>
              <w:spacing w:after="240"/>
              <w:rPr>
                <w:b/>
                <w:sz w:val="18"/>
                <w:szCs w:val="18"/>
              </w:rPr>
            </w:pPr>
            <w:r w:rsidRPr="00E4637F">
              <w:rPr>
                <w:sz w:val="18"/>
                <w:szCs w:val="18"/>
              </w:rPr>
              <w:t>In which courses are these program outcomes addressed?</w:t>
            </w:r>
          </w:p>
        </w:tc>
        <w:tc>
          <w:tcPr>
            <w:tcW w:w="1620" w:type="dxa"/>
            <w:shd w:val="clear" w:color="auto" w:fill="D9D9D9" w:themeFill="background1" w:themeFillShade="D9"/>
            <w:vAlign w:val="center"/>
          </w:tcPr>
          <w:p w:rsidR="00E4637F" w:rsidRPr="00E4637F" w:rsidRDefault="00E4637F" w:rsidP="00E53392">
            <w:pPr>
              <w:spacing w:after="240"/>
              <w:rPr>
                <w:b/>
                <w:sz w:val="18"/>
                <w:szCs w:val="24"/>
              </w:rPr>
            </w:pPr>
            <w:r w:rsidRPr="00E4637F">
              <w:rPr>
                <w:sz w:val="18"/>
                <w:szCs w:val="24"/>
              </w:rPr>
              <w:t xml:space="preserve">Which of </w:t>
            </w:r>
            <w:r>
              <w:rPr>
                <w:sz w:val="18"/>
                <w:szCs w:val="24"/>
              </w:rPr>
              <w:t>these program outcomes were addressed during the last fiscal year?</w:t>
            </w:r>
          </w:p>
        </w:tc>
        <w:tc>
          <w:tcPr>
            <w:tcW w:w="2178" w:type="dxa"/>
            <w:shd w:val="clear" w:color="auto" w:fill="D9D9D9" w:themeFill="background1" w:themeFillShade="D9"/>
            <w:vAlign w:val="center"/>
          </w:tcPr>
          <w:p w:rsidR="00E4637F" w:rsidRPr="00210612" w:rsidRDefault="00E4637F" w:rsidP="00E53392">
            <w:pPr>
              <w:spacing w:after="240"/>
              <w:jc w:val="center"/>
              <w:rPr>
                <w:sz w:val="18"/>
                <w:szCs w:val="24"/>
              </w:rPr>
            </w:pPr>
            <w:r w:rsidRPr="00024B50">
              <w:rPr>
                <w:sz w:val="18"/>
                <w:szCs w:val="24"/>
              </w:rPr>
              <w:t>Assessment Methods Used</w:t>
            </w:r>
          </w:p>
        </w:tc>
      </w:tr>
      <w:tr w:rsidR="00E4637F" w:rsidRPr="006828F9" w:rsidTr="006828F9">
        <w:tc>
          <w:tcPr>
            <w:tcW w:w="4518" w:type="dxa"/>
            <w:vAlign w:val="center"/>
          </w:tcPr>
          <w:p w:rsidR="00E4637F" w:rsidRPr="00210612" w:rsidRDefault="00AC782E" w:rsidP="00210612">
            <w:pPr>
              <w:rPr>
                <w:b/>
                <w:sz w:val="20"/>
                <w:szCs w:val="20"/>
              </w:rPr>
            </w:pPr>
            <w:r w:rsidRPr="00210612">
              <w:rPr>
                <w:b/>
                <w:sz w:val="20"/>
                <w:szCs w:val="20"/>
              </w:rPr>
              <w:t xml:space="preserve">1) Critical Thinking / Problem Solving </w:t>
            </w:r>
          </w:p>
        </w:tc>
        <w:tc>
          <w:tcPr>
            <w:tcW w:w="1260" w:type="dxa"/>
            <w:vAlign w:val="center"/>
          </w:tcPr>
          <w:p w:rsidR="00E4637F" w:rsidRPr="006923F5" w:rsidRDefault="00210612" w:rsidP="006828F9">
            <w:pPr>
              <w:spacing w:beforeAutospacing="0"/>
              <w:rPr>
                <w:b/>
                <w:sz w:val="18"/>
                <w:szCs w:val="24"/>
              </w:rPr>
            </w:pPr>
            <w:r>
              <w:rPr>
                <w:sz w:val="18"/>
                <w:szCs w:val="24"/>
              </w:rPr>
              <w:t>All courses</w:t>
            </w:r>
          </w:p>
        </w:tc>
        <w:tc>
          <w:tcPr>
            <w:tcW w:w="1620" w:type="dxa"/>
            <w:vAlign w:val="center"/>
          </w:tcPr>
          <w:p w:rsidR="00EC1C54" w:rsidRPr="006923F5" w:rsidRDefault="008A7831" w:rsidP="00591856">
            <w:pPr>
              <w:spacing w:before="100" w:after="240"/>
              <w:jc w:val="right"/>
              <w:rPr>
                <w:b/>
                <w:sz w:val="18"/>
                <w:szCs w:val="24"/>
              </w:rPr>
            </w:pPr>
            <w:r>
              <w:rPr>
                <w:bCs/>
                <w:sz w:val="18"/>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6pt;height:18.6pt" o:ole="">
                  <v:imagedata r:id="rId8" o:title=""/>
                </v:shape>
                <w:control r:id="rId9" w:name="CheckBox1" w:shapeid="_x0000_i1035"/>
              </w:object>
            </w:r>
          </w:p>
        </w:tc>
        <w:tc>
          <w:tcPr>
            <w:tcW w:w="2178" w:type="dxa"/>
            <w:vAlign w:val="center"/>
          </w:tcPr>
          <w:p w:rsidR="006923F5" w:rsidRPr="006923F5" w:rsidRDefault="00210612" w:rsidP="00E53392">
            <w:pPr>
              <w:spacing w:before="120" w:beforeAutospacing="0" w:after="120"/>
              <w:rPr>
                <w:b/>
                <w:sz w:val="18"/>
                <w:szCs w:val="24"/>
              </w:rPr>
            </w:pPr>
            <w:r>
              <w:rPr>
                <w:sz w:val="18"/>
                <w:szCs w:val="24"/>
              </w:rPr>
              <w:t xml:space="preserve">Written exams and laboratory reports.  </w:t>
            </w:r>
          </w:p>
        </w:tc>
      </w:tr>
    </w:tbl>
    <w:p w:rsidR="00E4637F" w:rsidRPr="00312003" w:rsidRDefault="00121D1B" w:rsidP="00121D1B">
      <w:pPr>
        <w:pStyle w:val="ListParagraph"/>
        <w:keepLines/>
        <w:numPr>
          <w:ilvl w:val="0"/>
          <w:numId w:val="4"/>
        </w:numPr>
        <w:spacing w:after="240"/>
        <w:contextualSpacing w:val="0"/>
        <w:rPr>
          <w:sz w:val="20"/>
          <w:szCs w:val="24"/>
        </w:rPr>
      </w:pPr>
      <w:r w:rsidRPr="00C11AA2">
        <w:rPr>
          <w:sz w:val="20"/>
          <w:szCs w:val="24"/>
        </w:rPr>
        <w:t>For the assessment methods listed in the table above, what were the results?  What changes are planned as a result of the data?  How will you det</w:t>
      </w:r>
      <w:r w:rsidR="006828F9" w:rsidRPr="00C11AA2">
        <w:rPr>
          <w:sz w:val="20"/>
          <w:szCs w:val="24"/>
        </w:rPr>
        <w:t>ermine whether those changes had</w:t>
      </w:r>
      <w:r w:rsidRPr="00C11AA2">
        <w:rPr>
          <w:sz w:val="20"/>
          <w:szCs w:val="24"/>
        </w:rPr>
        <w:t xml:space="preserve"> an impact?</w:t>
      </w:r>
      <w:r w:rsidRPr="00C11AA2">
        <w:rPr>
          <w:sz w:val="20"/>
          <w:szCs w:val="24"/>
        </w:rPr>
        <w:br/>
      </w:r>
      <w:r w:rsidRPr="00C11AA2">
        <w:rPr>
          <w:sz w:val="20"/>
          <w:szCs w:val="24"/>
        </w:rPr>
        <w:br/>
      </w:r>
      <w:r w:rsidR="00AF063E" w:rsidRPr="00312003">
        <w:rPr>
          <w:sz w:val="24"/>
          <w:szCs w:val="24"/>
        </w:rPr>
        <w:t>Since this particular outcome encompasses virtually all</w:t>
      </w:r>
      <w:r w:rsidR="00312003" w:rsidRPr="00312003">
        <w:rPr>
          <w:sz w:val="24"/>
          <w:szCs w:val="24"/>
        </w:rPr>
        <w:t xml:space="preserve"> of the departments focus</w:t>
      </w:r>
      <w:r w:rsidR="00312003">
        <w:rPr>
          <w:sz w:val="24"/>
          <w:szCs w:val="24"/>
        </w:rPr>
        <w:t xml:space="preserve">, we look forward to implementing the national ACS exams.  As is discussed in the last section of this update.  </w:t>
      </w:r>
      <w:r w:rsidR="00312003" w:rsidRPr="00312003">
        <w:rPr>
          <w:sz w:val="20"/>
          <w:szCs w:val="24"/>
        </w:rPr>
        <w:t xml:space="preserve"> </w:t>
      </w:r>
    </w:p>
    <w:p w:rsidR="00A320B6" w:rsidRPr="00312003" w:rsidRDefault="00121D1B" w:rsidP="00E53392">
      <w:pPr>
        <w:pStyle w:val="ListParagraph"/>
        <w:numPr>
          <w:ilvl w:val="0"/>
          <w:numId w:val="4"/>
        </w:numPr>
        <w:spacing w:after="240"/>
        <w:contextualSpacing w:val="0"/>
        <w:rPr>
          <w:sz w:val="24"/>
          <w:szCs w:val="24"/>
        </w:rPr>
      </w:pPr>
      <w:r w:rsidRPr="00C11AA2">
        <w:rPr>
          <w:sz w:val="20"/>
          <w:szCs w:val="24"/>
        </w:rPr>
        <w:t>What other changes have been made in past years as a result of assessment of program outcomes?  What evidence is there that these changes have had an impact?</w:t>
      </w:r>
      <w:r w:rsidRPr="00C11AA2">
        <w:rPr>
          <w:sz w:val="20"/>
          <w:szCs w:val="24"/>
        </w:rPr>
        <w:br/>
      </w:r>
      <w:r w:rsidRPr="00C11AA2">
        <w:rPr>
          <w:sz w:val="20"/>
          <w:szCs w:val="24"/>
        </w:rPr>
        <w:br/>
      </w:r>
      <w:r w:rsidR="00312003" w:rsidRPr="00312003">
        <w:rPr>
          <w:sz w:val="24"/>
          <w:szCs w:val="24"/>
        </w:rPr>
        <w:t xml:space="preserve">Administration of ACS General Chemistry and Organic national exams.  </w:t>
      </w:r>
    </w:p>
    <w:p w:rsidR="00312003" w:rsidRPr="00312003" w:rsidRDefault="00121D1B" w:rsidP="006828F9">
      <w:pPr>
        <w:pStyle w:val="ListParagraph"/>
        <w:numPr>
          <w:ilvl w:val="0"/>
          <w:numId w:val="4"/>
        </w:numPr>
        <w:spacing w:after="240"/>
        <w:contextualSpacing w:val="0"/>
        <w:rPr>
          <w:sz w:val="24"/>
          <w:szCs w:val="24"/>
          <w:u w:val="single"/>
        </w:rPr>
      </w:pPr>
      <w:r w:rsidRPr="00C11AA2">
        <w:rPr>
          <w:sz w:val="20"/>
          <w:szCs w:val="24"/>
        </w:rPr>
        <w:t>Describe general education changes/improvements in your program/department during this past academic year (</w:t>
      </w:r>
      <w:r w:rsidR="0010691D" w:rsidRPr="00C11AA2">
        <w:rPr>
          <w:sz w:val="20"/>
          <w:szCs w:val="24"/>
        </w:rPr>
        <w:t>10-11).</w:t>
      </w:r>
    </w:p>
    <w:p w:rsidR="00312003" w:rsidRDefault="0010691D" w:rsidP="00312003">
      <w:pPr>
        <w:pStyle w:val="ListParagraph"/>
        <w:spacing w:after="240"/>
        <w:ind w:left="1080"/>
        <w:contextualSpacing w:val="0"/>
        <w:rPr>
          <w:sz w:val="24"/>
          <w:szCs w:val="24"/>
        </w:rPr>
      </w:pPr>
      <w:r w:rsidRPr="00C11AA2">
        <w:rPr>
          <w:sz w:val="20"/>
          <w:szCs w:val="24"/>
        </w:rPr>
        <w:br/>
      </w:r>
      <w:r w:rsidR="00312003">
        <w:rPr>
          <w:sz w:val="24"/>
          <w:szCs w:val="24"/>
        </w:rPr>
        <w:t xml:space="preserve">1)  </w:t>
      </w:r>
      <w:r w:rsidR="00312003" w:rsidRPr="00312003">
        <w:rPr>
          <w:sz w:val="24"/>
          <w:szCs w:val="24"/>
        </w:rPr>
        <w:t>Administration of ACS General Chemistry and Organic national exams</w:t>
      </w:r>
      <w:r w:rsidR="00312003">
        <w:rPr>
          <w:sz w:val="24"/>
          <w:szCs w:val="24"/>
        </w:rPr>
        <w:t xml:space="preserve"> scheduled for </w:t>
      </w:r>
      <w:proofErr w:type="gramStart"/>
      <w:r w:rsidR="00312003">
        <w:rPr>
          <w:sz w:val="24"/>
          <w:szCs w:val="24"/>
        </w:rPr>
        <w:t>Fall</w:t>
      </w:r>
      <w:proofErr w:type="gramEnd"/>
      <w:r w:rsidR="00312003">
        <w:rPr>
          <w:sz w:val="24"/>
          <w:szCs w:val="24"/>
        </w:rPr>
        <w:t xml:space="preserve"> semester 2012</w:t>
      </w:r>
      <w:r w:rsidR="00312003" w:rsidRPr="00312003">
        <w:rPr>
          <w:sz w:val="24"/>
          <w:szCs w:val="24"/>
        </w:rPr>
        <w:t>.</w:t>
      </w:r>
    </w:p>
    <w:p w:rsidR="00312003" w:rsidRDefault="00312003" w:rsidP="00312003">
      <w:pPr>
        <w:pStyle w:val="ListParagraph"/>
        <w:spacing w:after="240"/>
        <w:ind w:left="1080"/>
        <w:contextualSpacing w:val="0"/>
        <w:rPr>
          <w:sz w:val="24"/>
          <w:szCs w:val="24"/>
        </w:rPr>
      </w:pPr>
      <w:r>
        <w:rPr>
          <w:sz w:val="24"/>
          <w:szCs w:val="24"/>
        </w:rPr>
        <w:t xml:space="preserve">2)  Emphasis </w:t>
      </w:r>
      <w:proofErr w:type="gramStart"/>
      <w:r>
        <w:rPr>
          <w:sz w:val="24"/>
          <w:szCs w:val="24"/>
        </w:rPr>
        <w:t>of  “</w:t>
      </w:r>
      <w:proofErr w:type="gramEnd"/>
      <w:r>
        <w:rPr>
          <w:sz w:val="24"/>
          <w:szCs w:val="24"/>
        </w:rPr>
        <w:t xml:space="preserve">safety across the curriculum” in lab sections. </w:t>
      </w:r>
    </w:p>
    <w:p w:rsidR="00AF063E" w:rsidRDefault="00312003" w:rsidP="00312003">
      <w:pPr>
        <w:pStyle w:val="ListParagraph"/>
        <w:spacing w:after="240"/>
        <w:ind w:left="1080"/>
        <w:contextualSpacing w:val="0"/>
        <w:rPr>
          <w:sz w:val="24"/>
          <w:szCs w:val="24"/>
          <w:u w:val="single"/>
        </w:rPr>
      </w:pPr>
      <w:r w:rsidRPr="00312003">
        <w:rPr>
          <w:sz w:val="24"/>
          <w:szCs w:val="24"/>
        </w:rPr>
        <w:t xml:space="preserve">  </w:t>
      </w:r>
    </w:p>
    <w:p w:rsidR="00312003" w:rsidRPr="00AF063E" w:rsidRDefault="00312003" w:rsidP="00312003">
      <w:pPr>
        <w:pStyle w:val="ListParagraph"/>
        <w:spacing w:after="240"/>
        <w:ind w:left="1080"/>
        <w:contextualSpacing w:val="0"/>
        <w:rPr>
          <w:sz w:val="24"/>
          <w:szCs w:val="24"/>
          <w:u w:val="single"/>
        </w:rPr>
      </w:pPr>
    </w:p>
    <w:p w:rsidR="00AF063E" w:rsidRDefault="00AF063E">
      <w:pPr>
        <w:rPr>
          <w:sz w:val="24"/>
          <w:szCs w:val="24"/>
          <w:u w:val="single"/>
        </w:rPr>
      </w:pPr>
      <w:r>
        <w:rPr>
          <w:sz w:val="24"/>
          <w:szCs w:val="24"/>
          <w:u w:val="single"/>
        </w:rPr>
        <w:br w:type="page"/>
      </w:r>
    </w:p>
    <w:p w:rsidR="006828F9" w:rsidRPr="00AF063E" w:rsidRDefault="0010691D" w:rsidP="00AF063E">
      <w:pPr>
        <w:pStyle w:val="ListParagraph"/>
        <w:spacing w:after="240"/>
        <w:ind w:left="1080"/>
        <w:contextualSpacing w:val="0"/>
        <w:rPr>
          <w:sz w:val="24"/>
          <w:szCs w:val="24"/>
          <w:u w:val="single"/>
        </w:rPr>
      </w:pPr>
      <w:r w:rsidRPr="00AF063E">
        <w:rPr>
          <w:sz w:val="20"/>
          <w:szCs w:val="24"/>
        </w:rPr>
        <w:lastRenderedPageBreak/>
        <w:br/>
      </w:r>
      <w:r w:rsidR="006828F9" w:rsidRPr="00AF063E">
        <w:rPr>
          <w:sz w:val="24"/>
          <w:szCs w:val="24"/>
          <w:u w:val="single"/>
        </w:rPr>
        <w:t>Section IV: Improvement Efforts for the Fiscal Year</w:t>
      </w:r>
    </w:p>
    <w:p w:rsidR="00C11AA2" w:rsidRPr="001124FD" w:rsidRDefault="005878BC" w:rsidP="00C11AA2">
      <w:pPr>
        <w:pStyle w:val="ListParagraph"/>
        <w:numPr>
          <w:ilvl w:val="0"/>
          <w:numId w:val="5"/>
        </w:numPr>
        <w:spacing w:after="240"/>
        <w:contextualSpacing w:val="0"/>
        <w:rPr>
          <w:sz w:val="20"/>
          <w:szCs w:val="24"/>
        </w:rPr>
      </w:pPr>
      <w:r w:rsidRPr="00D87A7F">
        <w:rPr>
          <w:b/>
          <w:sz w:val="24"/>
          <w:szCs w:val="24"/>
          <w:u w:val="single"/>
        </w:rPr>
        <w:t>FY 10-11</w:t>
      </w:r>
      <w:r w:rsidR="00625D7D" w:rsidRPr="00D87A7F">
        <w:rPr>
          <w:b/>
          <w:sz w:val="24"/>
          <w:szCs w:val="24"/>
          <w:u w:val="single"/>
        </w:rPr>
        <w:t>:</w:t>
      </w:r>
      <w:r w:rsidR="00625D7D" w:rsidRPr="00D87A7F">
        <w:rPr>
          <w:sz w:val="20"/>
          <w:szCs w:val="24"/>
        </w:rPr>
        <w:t xml:space="preserve"> What other improvement efforts did the department make in FY </w:t>
      </w:r>
      <w:r w:rsidR="00F070FA" w:rsidRPr="00D87A7F">
        <w:rPr>
          <w:sz w:val="20"/>
          <w:szCs w:val="24"/>
        </w:rPr>
        <w:t>10</w:t>
      </w:r>
      <w:r w:rsidR="00F070FA" w:rsidRPr="00D87A7F">
        <w:rPr>
          <w:sz w:val="20"/>
          <w:szCs w:val="24"/>
        </w:rPr>
        <w:noBreakHyphen/>
        <w:t>11</w:t>
      </w:r>
      <w:r w:rsidR="00625D7D" w:rsidRPr="00D87A7F">
        <w:rPr>
          <w:sz w:val="20"/>
          <w:szCs w:val="24"/>
        </w:rPr>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r w:rsidR="00625D7D" w:rsidRPr="00D87A7F">
        <w:rPr>
          <w:sz w:val="20"/>
          <w:szCs w:val="24"/>
        </w:rPr>
        <w:br/>
      </w:r>
      <w:r w:rsidR="00625D7D" w:rsidRPr="001124FD">
        <w:rPr>
          <w:sz w:val="24"/>
          <w:szCs w:val="24"/>
        </w:rPr>
        <w:br/>
      </w:r>
      <w:r w:rsidR="001124FD" w:rsidRPr="001124FD">
        <w:rPr>
          <w:sz w:val="24"/>
          <w:szCs w:val="24"/>
        </w:rPr>
        <w:t>The CHE department rolled out an internally authored manual for CHE-126 (Lab for Introduction to Chemistry).  This will lower costs for students but also, matches the learning style of the prototypical SCC student, given that the audience for which it is written specifically matches the course.  Commercially produced manuals tend to ring more of a university tone and address concepts at too high of a level for student comprehension.  The manual also addresses safety more rigorously.</w:t>
      </w:r>
    </w:p>
    <w:p w:rsidR="001124FD" w:rsidRPr="001124FD" w:rsidRDefault="001124FD" w:rsidP="001124FD">
      <w:pPr>
        <w:pStyle w:val="ListParagraph"/>
        <w:spacing w:after="240"/>
        <w:ind w:left="1080"/>
        <w:contextualSpacing w:val="0"/>
        <w:rPr>
          <w:sz w:val="20"/>
          <w:szCs w:val="24"/>
        </w:rPr>
      </w:pPr>
      <w:r>
        <w:rPr>
          <w:sz w:val="24"/>
          <w:szCs w:val="24"/>
        </w:rPr>
        <w:t xml:space="preserve">Both CHE and GLG departments made safety an item of emphasis.  The chair along with the college safety officer co-authored an employee safety manual to be read and agreed to by all new hires.  </w:t>
      </w:r>
    </w:p>
    <w:p w:rsidR="001124FD" w:rsidRDefault="001124FD" w:rsidP="001124FD">
      <w:pPr>
        <w:pStyle w:val="ListParagraph"/>
        <w:spacing w:after="240"/>
        <w:ind w:left="1080"/>
        <w:contextualSpacing w:val="0"/>
        <w:rPr>
          <w:sz w:val="20"/>
          <w:szCs w:val="24"/>
        </w:rPr>
      </w:pPr>
    </w:p>
    <w:p w:rsidR="00625D7D" w:rsidRPr="00D87A7F" w:rsidRDefault="00625D7D" w:rsidP="00625D7D">
      <w:pPr>
        <w:pStyle w:val="ListParagraph"/>
        <w:numPr>
          <w:ilvl w:val="0"/>
          <w:numId w:val="5"/>
        </w:numPr>
        <w:spacing w:after="240"/>
        <w:contextualSpacing w:val="0"/>
        <w:rPr>
          <w:sz w:val="20"/>
          <w:szCs w:val="24"/>
        </w:rPr>
      </w:pPr>
      <w:r w:rsidRPr="00D87A7F">
        <w:rPr>
          <w:b/>
          <w:sz w:val="24"/>
          <w:szCs w:val="24"/>
          <w:u w:val="single"/>
        </w:rPr>
        <w:t>FY 1</w:t>
      </w:r>
      <w:r w:rsidR="005878BC" w:rsidRPr="00D87A7F">
        <w:rPr>
          <w:b/>
          <w:sz w:val="24"/>
          <w:szCs w:val="24"/>
          <w:u w:val="single"/>
        </w:rPr>
        <w:t>1</w:t>
      </w:r>
      <w:r w:rsidRPr="00D87A7F">
        <w:rPr>
          <w:b/>
          <w:sz w:val="24"/>
          <w:szCs w:val="24"/>
          <w:u w:val="single"/>
        </w:rPr>
        <w:t>-1</w:t>
      </w:r>
      <w:r w:rsidR="005878BC" w:rsidRPr="00D87A7F">
        <w:rPr>
          <w:b/>
          <w:sz w:val="24"/>
          <w:szCs w:val="24"/>
          <w:u w:val="single"/>
        </w:rPr>
        <w:t>2</w:t>
      </w:r>
      <w:r w:rsidRPr="00D87A7F">
        <w:rPr>
          <w:b/>
          <w:sz w:val="24"/>
          <w:szCs w:val="24"/>
          <w:u w:val="single"/>
        </w:rPr>
        <w:t>:</w:t>
      </w:r>
      <w:r w:rsidRPr="00D87A7F">
        <w:rPr>
          <w:sz w:val="20"/>
          <w:szCs w:val="24"/>
        </w:rPr>
        <w:t xml:space="preserve"> What improvement efforts does the department have planned for FY 1</w:t>
      </w:r>
      <w:r w:rsidR="005878BC" w:rsidRPr="00D87A7F">
        <w:rPr>
          <w:sz w:val="20"/>
          <w:szCs w:val="24"/>
        </w:rPr>
        <w:t>1</w:t>
      </w:r>
      <w:r w:rsidRPr="00D87A7F">
        <w:rPr>
          <w:sz w:val="20"/>
          <w:szCs w:val="24"/>
        </w:rPr>
        <w:noBreakHyphen/>
        <w:t>1</w:t>
      </w:r>
      <w:r w:rsidR="005878BC" w:rsidRPr="00D87A7F">
        <w:rPr>
          <w:sz w:val="20"/>
          <w:szCs w:val="24"/>
        </w:rPr>
        <w:t>2</w:t>
      </w:r>
      <w:r w:rsidRPr="00D87A7F">
        <w:rPr>
          <w:sz w:val="20"/>
          <w:szCs w:val="24"/>
        </w:rPr>
        <w:t>?  How will you know whether you have been successful?</w:t>
      </w:r>
      <w:r w:rsidRPr="00D87A7F">
        <w:rPr>
          <w:sz w:val="20"/>
          <w:szCs w:val="24"/>
        </w:rPr>
        <w:br/>
      </w:r>
      <w:r w:rsidRPr="00D87A7F">
        <w:rPr>
          <w:sz w:val="20"/>
          <w:szCs w:val="24"/>
        </w:rPr>
        <w:br/>
      </w:r>
      <w:r w:rsidR="001124FD" w:rsidRPr="00312003">
        <w:rPr>
          <w:sz w:val="24"/>
          <w:szCs w:val="24"/>
        </w:rPr>
        <w:t xml:space="preserve">As mentioned prior, the CHE department will administer the ACS National exams as a final exam in General Chemistry and soon Organic Chemistry.  This will allow for comparison to national norms on a total and per question basis which will be a huge improvement toward gauging </w:t>
      </w:r>
      <w:r w:rsidR="00312003" w:rsidRPr="00312003">
        <w:rPr>
          <w:sz w:val="24"/>
          <w:szCs w:val="24"/>
        </w:rPr>
        <w:t>our success.</w:t>
      </w:r>
      <w:r w:rsidR="00312003">
        <w:rPr>
          <w:sz w:val="20"/>
          <w:szCs w:val="24"/>
        </w:rPr>
        <w:t xml:space="preserve"> </w:t>
      </w:r>
    </w:p>
    <w:sectPr w:rsidR="00625D7D" w:rsidRPr="00D87A7F" w:rsidSect="0047733C">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98" w:rsidRDefault="00261798" w:rsidP="005A79E2">
      <w:pPr>
        <w:spacing w:before="0" w:after="0" w:line="240" w:lineRule="auto"/>
      </w:pPr>
      <w:r>
        <w:separator/>
      </w:r>
    </w:p>
  </w:endnote>
  <w:endnote w:type="continuationSeparator" w:id="0">
    <w:p w:rsidR="00261798" w:rsidRDefault="00261798" w:rsidP="005A79E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98" w:rsidRDefault="00261798" w:rsidP="005A79E2">
      <w:pPr>
        <w:spacing w:before="0" w:after="0" w:line="240" w:lineRule="auto"/>
      </w:pPr>
      <w:r>
        <w:separator/>
      </w:r>
    </w:p>
  </w:footnote>
  <w:footnote w:type="continuationSeparator" w:id="0">
    <w:p w:rsidR="00261798" w:rsidRDefault="00261798" w:rsidP="005A79E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E2" w:rsidRDefault="005A79E2" w:rsidP="00CF02EE">
    <w:pPr>
      <w:pStyle w:val="Header"/>
      <w:spacing w:before="100" w:after="240"/>
      <w:jc w:val="center"/>
      <w:rPr>
        <w:sz w:val="28"/>
        <w:szCs w:val="20"/>
      </w:rPr>
    </w:pPr>
    <w:r w:rsidRPr="00CB3060">
      <w:rPr>
        <w:sz w:val="24"/>
        <w:szCs w:val="24"/>
      </w:rPr>
      <w:t xml:space="preserve">Sinclair Community </w:t>
    </w:r>
    <w:r w:rsidRPr="00CB3060">
      <w:rPr>
        <w:sz w:val="24"/>
        <w:szCs w:val="20"/>
      </w:rPr>
      <w:t xml:space="preserve">College – </w:t>
    </w:r>
    <w:r w:rsidRPr="00CB3060">
      <w:rPr>
        <w:sz w:val="28"/>
        <w:szCs w:val="20"/>
      </w:rPr>
      <w:t>Continuous Improvement Annual Update</w:t>
    </w:r>
    <w:r w:rsidRPr="00CB3060">
      <w:rPr>
        <w:sz w:val="28"/>
        <w:szCs w:val="20"/>
      </w:rPr>
      <w:br/>
      <w:t>201</w:t>
    </w:r>
    <w:r w:rsidR="00CC65CD">
      <w:rPr>
        <w:sz w:val="28"/>
        <w:szCs w:val="20"/>
      </w:rPr>
      <w:t>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007F"/>
    <w:multiLevelType w:val="hybridMultilevel"/>
    <w:tmpl w:val="D702DEE8"/>
    <w:lvl w:ilvl="0" w:tplc="6E2AA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E13D8"/>
    <w:multiLevelType w:val="multilevel"/>
    <w:tmpl w:val="046AA624"/>
    <w:lvl w:ilvl="0">
      <w:start w:val="1"/>
      <w:numFmt w:val="lowerLetter"/>
      <w:lvlText w:val="%1)"/>
      <w:lvlJc w:val="left"/>
      <w:pPr>
        <w:ind w:left="1080" w:hanging="360"/>
      </w:pPr>
      <w:rPr>
        <w:rFonts w:hint="default"/>
      </w:rPr>
    </w:lvl>
    <w:lvl w:ilvl="1">
      <w:start w:val="2"/>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3DD6796E"/>
    <w:multiLevelType w:val="multilevel"/>
    <w:tmpl w:val="61149C74"/>
    <w:lvl w:ilvl="0">
      <w:start w:val="1"/>
      <w:numFmt w:val="lowerLetter"/>
      <w:lvlText w:val="%1)"/>
      <w:lvlJc w:val="left"/>
      <w:pPr>
        <w:ind w:left="1080" w:hanging="360"/>
      </w:pPr>
      <w:rPr>
        <w:rFonts w:hint="default"/>
      </w:rPr>
    </w:lvl>
    <w:lvl w:ilvl="1">
      <w:start w:val="2"/>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451A3E70"/>
    <w:multiLevelType w:val="hybridMultilevel"/>
    <w:tmpl w:val="CDCA7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0B3259"/>
    <w:multiLevelType w:val="multilevel"/>
    <w:tmpl w:val="1F403D8C"/>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isplayBackgroundShape/>
  <w:proofState w:spelling="clean" w:grammar="clean"/>
  <w:defaultTabStop w:val="720"/>
  <w:characterSpacingControl w:val="doNotCompress"/>
  <w:footnotePr>
    <w:footnote w:id="-1"/>
    <w:footnote w:id="0"/>
  </w:footnotePr>
  <w:endnotePr>
    <w:endnote w:id="-1"/>
    <w:endnote w:id="0"/>
  </w:endnotePr>
  <w:compat/>
  <w:rsids>
    <w:rsidRoot w:val="005A79E2"/>
    <w:rsid w:val="00024B50"/>
    <w:rsid w:val="000D35D6"/>
    <w:rsid w:val="0010691D"/>
    <w:rsid w:val="001124FD"/>
    <w:rsid w:val="00121D1B"/>
    <w:rsid w:val="001C70E3"/>
    <w:rsid w:val="00210612"/>
    <w:rsid w:val="00255396"/>
    <w:rsid w:val="0025593E"/>
    <w:rsid w:val="00261798"/>
    <w:rsid w:val="00312003"/>
    <w:rsid w:val="00316541"/>
    <w:rsid w:val="00374403"/>
    <w:rsid w:val="003B297C"/>
    <w:rsid w:val="003E0034"/>
    <w:rsid w:val="00405728"/>
    <w:rsid w:val="00442912"/>
    <w:rsid w:val="00461F0B"/>
    <w:rsid w:val="0047733C"/>
    <w:rsid w:val="004973A4"/>
    <w:rsid w:val="004A148C"/>
    <w:rsid w:val="00551F4A"/>
    <w:rsid w:val="005878BC"/>
    <w:rsid w:val="00591856"/>
    <w:rsid w:val="005A79E2"/>
    <w:rsid w:val="005C5F8E"/>
    <w:rsid w:val="00625D7D"/>
    <w:rsid w:val="006828F9"/>
    <w:rsid w:val="006923F5"/>
    <w:rsid w:val="006F11C4"/>
    <w:rsid w:val="007F4B51"/>
    <w:rsid w:val="00820270"/>
    <w:rsid w:val="0087644D"/>
    <w:rsid w:val="008A7831"/>
    <w:rsid w:val="008D0A04"/>
    <w:rsid w:val="00915A49"/>
    <w:rsid w:val="009319C2"/>
    <w:rsid w:val="00946F54"/>
    <w:rsid w:val="00A02248"/>
    <w:rsid w:val="00A27322"/>
    <w:rsid w:val="00A320B6"/>
    <w:rsid w:val="00A52E15"/>
    <w:rsid w:val="00A70D9F"/>
    <w:rsid w:val="00A77FF5"/>
    <w:rsid w:val="00A94CC7"/>
    <w:rsid w:val="00AC782E"/>
    <w:rsid w:val="00AF063E"/>
    <w:rsid w:val="00BE163D"/>
    <w:rsid w:val="00C11AA2"/>
    <w:rsid w:val="00CB3060"/>
    <w:rsid w:val="00CC65CD"/>
    <w:rsid w:val="00CF02EE"/>
    <w:rsid w:val="00D20A8B"/>
    <w:rsid w:val="00D256F6"/>
    <w:rsid w:val="00D4295B"/>
    <w:rsid w:val="00D65E6B"/>
    <w:rsid w:val="00D87A7F"/>
    <w:rsid w:val="00D97C23"/>
    <w:rsid w:val="00E20ED5"/>
    <w:rsid w:val="00E4637F"/>
    <w:rsid w:val="00E53392"/>
    <w:rsid w:val="00EC1C54"/>
    <w:rsid w:val="00ED0AB9"/>
    <w:rsid w:val="00EE58EB"/>
    <w:rsid w:val="00EF56A2"/>
    <w:rsid w:val="00EF7D99"/>
    <w:rsid w:val="00F07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kern w:val="36"/>
        <w:sz w:val="48"/>
        <w:szCs w:val="48"/>
        <w:lang w:val="en-US" w:eastAsia="en-US" w:bidi="ar-SA"/>
      </w:rPr>
    </w:rPrDefault>
    <w:pPrDefault>
      <w:pPr>
        <w:spacing w:before="100" w:beforeAutospacing="1"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9E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79E2"/>
  </w:style>
  <w:style w:type="paragraph" w:styleId="Footer">
    <w:name w:val="footer"/>
    <w:basedOn w:val="Normal"/>
    <w:link w:val="FooterChar"/>
    <w:uiPriority w:val="99"/>
    <w:semiHidden/>
    <w:unhideWhenUsed/>
    <w:rsid w:val="005A79E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A79E2"/>
  </w:style>
  <w:style w:type="paragraph" w:styleId="BalloonText">
    <w:name w:val="Balloon Text"/>
    <w:basedOn w:val="Normal"/>
    <w:link w:val="BalloonTextChar"/>
    <w:uiPriority w:val="99"/>
    <w:semiHidden/>
    <w:unhideWhenUsed/>
    <w:rsid w:val="005A79E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E2"/>
    <w:rPr>
      <w:rFonts w:ascii="Tahoma" w:hAnsi="Tahoma" w:cs="Tahoma"/>
      <w:sz w:val="16"/>
      <w:szCs w:val="16"/>
    </w:rPr>
  </w:style>
  <w:style w:type="paragraph" w:styleId="ListParagraph">
    <w:name w:val="List Paragraph"/>
    <w:basedOn w:val="Normal"/>
    <w:uiPriority w:val="34"/>
    <w:qFormat/>
    <w:rsid w:val="00CB3060"/>
    <w:pPr>
      <w:ind w:left="720"/>
      <w:contextualSpacing/>
    </w:pPr>
  </w:style>
  <w:style w:type="table" w:styleId="TableGrid">
    <w:name w:val="Table Grid"/>
    <w:basedOn w:val="TableNormal"/>
    <w:uiPriority w:val="59"/>
    <w:rsid w:val="00E4637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70D9F"/>
    <w:pPr>
      <w:spacing w:before="0" w:after="200" w:line="240" w:lineRule="auto"/>
    </w:pPr>
    <w:rPr>
      <w:color w:val="4F81BD" w:themeColor="accent1"/>
      <w:sz w:val="18"/>
      <w:szCs w:val="18"/>
    </w:rPr>
  </w:style>
  <w:style w:type="character" w:styleId="PlaceholderText">
    <w:name w:val="Placeholder Text"/>
    <w:basedOn w:val="DefaultParagraphFont"/>
    <w:uiPriority w:val="99"/>
    <w:semiHidden/>
    <w:rsid w:val="0059185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F528-6812-45C2-AD3A-409BF764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Marcks</dc:creator>
  <cp:lastModifiedBy>Sinclair Community College</cp:lastModifiedBy>
  <cp:revision>2</cp:revision>
  <cp:lastPrinted>2011-12-15T20:02:00Z</cp:lastPrinted>
  <dcterms:created xsi:type="dcterms:W3CDTF">2011-12-15T20:23:00Z</dcterms:created>
  <dcterms:modified xsi:type="dcterms:W3CDTF">2011-12-15T20:23:00Z</dcterms:modified>
</cp:coreProperties>
</file>