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44" w:rsidRDefault="00E60744" w:rsidP="00E60744">
      <w:pPr>
        <w:jc w:val="center"/>
        <w:rPr>
          <w:rFonts w:ascii="Arial" w:hAnsi="Arial" w:cs="Arial"/>
          <w:b/>
          <w:color w:val="000000" w:themeColor="text1"/>
          <w:sz w:val="28"/>
        </w:rPr>
      </w:pPr>
      <w:r>
        <w:rPr>
          <w:rFonts w:ascii="Arial" w:hAnsi="Arial" w:cs="Arial"/>
          <w:b/>
          <w:color w:val="000000" w:themeColor="text1"/>
          <w:sz w:val="28"/>
        </w:rPr>
        <w:t>Sinclair Community College</w:t>
      </w:r>
    </w:p>
    <w:p w:rsidR="00E60744" w:rsidRDefault="00E60744" w:rsidP="00E60744">
      <w:pPr>
        <w:jc w:val="center"/>
        <w:rPr>
          <w:rFonts w:ascii="Arial" w:hAnsi="Arial" w:cs="Arial"/>
          <w:b/>
          <w:color w:val="000000" w:themeColor="text1"/>
        </w:rPr>
      </w:pPr>
      <w:r>
        <w:rPr>
          <w:rFonts w:ascii="Arial" w:hAnsi="Arial" w:cs="Arial"/>
          <w:b/>
          <w:color w:val="000000" w:themeColor="text1"/>
        </w:rPr>
        <w:t>Continuous Improvement Annual Update 2017-18</w:t>
      </w:r>
    </w:p>
    <w:p w:rsidR="00E60744" w:rsidRDefault="00E60744" w:rsidP="00E60744">
      <w:pPr>
        <w:jc w:val="center"/>
        <w:rPr>
          <w:rFonts w:ascii="Arial" w:hAnsi="Arial" w:cs="Arial"/>
          <w:b/>
          <w:color w:val="000000" w:themeColor="text1"/>
        </w:rPr>
      </w:pPr>
    </w:p>
    <w:p w:rsidR="00E60744" w:rsidRDefault="00E60744" w:rsidP="00E60744">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E60744" w:rsidRDefault="00E60744" w:rsidP="00E60744">
      <w:pPr>
        <w:jc w:val="center"/>
        <w:rPr>
          <w:rFonts w:ascii="Arial" w:hAnsi="Arial" w:cs="Arial"/>
          <w:b/>
          <w:color w:val="000000" w:themeColor="text1"/>
        </w:rPr>
      </w:pPr>
    </w:p>
    <w:p w:rsidR="00E60744" w:rsidRDefault="00E60744" w:rsidP="00E60744">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D90669">
                        <w:rPr>
                          <w:rFonts w:ascii="Arial" w:hAnsi="Arial" w:cs="Arial"/>
                          <w:b/>
                          <w:sz w:val="20"/>
                          <w:szCs w:val="20"/>
                        </w:rPr>
                        <w:t>SME –0565 Construction Management Technology</w:t>
                      </w:r>
                      <w:r w:rsidR="00D90669">
                        <w:rPr>
                          <w:rFonts w:ascii="Arial" w:hAnsi="Arial" w:cs="Arial"/>
                          <w:b/>
                          <w:sz w:val="20"/>
                          <w:szCs w:val="20"/>
                        </w:rPr>
                        <w:br/>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A366C">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636CF">
        <w:rPr>
          <w:rFonts w:ascii="Arial" w:hAnsi="Arial" w:cs="Arial"/>
          <w:color w:val="000000" w:themeColor="text1"/>
        </w:rPr>
        <w:t>2019-2020</w:t>
      </w:r>
    </w:p>
    <w:p w:rsidR="00F0239E" w:rsidRDefault="007334E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94204C" w:rsidRPr="00A47413" w:rsidRDefault="00190F5C" w:rsidP="008258DA">
      <w:pPr>
        <w:tabs>
          <w:tab w:val="left" w:pos="504"/>
        </w:tabs>
        <w:spacing w:after="120"/>
        <w:rPr>
          <w:rFonts w:ascii="Arial" w:hAnsi="Arial" w:cs="Arial"/>
          <w:color w:val="000000" w:themeColor="text1"/>
          <w:sz w:val="22"/>
        </w:rPr>
      </w:pPr>
      <w:r w:rsidRPr="00A47413">
        <w:rPr>
          <w:rFonts w:ascii="Arial" w:hAnsi="Arial" w:cs="Arial"/>
          <w:color w:val="000000" w:themeColor="text1"/>
          <w:sz w:val="22"/>
        </w:rPr>
        <w:t>Below are the goal</w:t>
      </w:r>
      <w:r w:rsidR="000337E6" w:rsidRPr="00A47413">
        <w:rPr>
          <w:rFonts w:ascii="Arial" w:hAnsi="Arial" w:cs="Arial"/>
          <w:color w:val="000000" w:themeColor="text1"/>
          <w:sz w:val="22"/>
        </w:rPr>
        <w:t xml:space="preserve">s </w:t>
      </w:r>
      <w:r w:rsidR="004C7DB2" w:rsidRPr="00A47413">
        <w:rPr>
          <w:rFonts w:ascii="Arial" w:hAnsi="Arial" w:cs="Arial"/>
          <w:color w:val="000000" w:themeColor="text1"/>
          <w:sz w:val="22"/>
        </w:rPr>
        <w:t>from</w:t>
      </w:r>
      <w:r w:rsidR="000337E6" w:rsidRPr="00A47413">
        <w:rPr>
          <w:rFonts w:ascii="Arial" w:hAnsi="Arial" w:cs="Arial"/>
          <w:color w:val="000000" w:themeColor="text1"/>
          <w:sz w:val="22"/>
        </w:rPr>
        <w:t xml:space="preserve"> Section IV part E of </w:t>
      </w:r>
      <w:r w:rsidRPr="00A47413">
        <w:rPr>
          <w:rFonts w:ascii="Arial" w:hAnsi="Arial" w:cs="Arial"/>
          <w:color w:val="000000" w:themeColor="text1"/>
          <w:sz w:val="22"/>
        </w:rPr>
        <w:t xml:space="preserve">your </w:t>
      </w:r>
      <w:r w:rsidR="0037786D" w:rsidRPr="00A47413">
        <w:rPr>
          <w:rFonts w:ascii="Arial" w:hAnsi="Arial" w:cs="Arial"/>
          <w:color w:val="000000" w:themeColor="text1"/>
          <w:sz w:val="22"/>
        </w:rPr>
        <w:t xml:space="preserve">last </w:t>
      </w:r>
      <w:r w:rsidR="000337E6" w:rsidRPr="00A47413">
        <w:rPr>
          <w:rFonts w:ascii="Arial" w:hAnsi="Arial" w:cs="Arial"/>
          <w:color w:val="000000" w:themeColor="text1"/>
          <w:sz w:val="22"/>
        </w:rPr>
        <w:t>Program Review Self-Study</w:t>
      </w:r>
      <w:r w:rsidRPr="00A47413">
        <w:rPr>
          <w:rFonts w:ascii="Arial" w:hAnsi="Arial" w:cs="Arial"/>
          <w:color w:val="000000" w:themeColor="text1"/>
          <w:sz w:val="22"/>
        </w:rPr>
        <w:t>.  D</w:t>
      </w:r>
      <w:r w:rsidR="004C7DB2" w:rsidRPr="00A47413">
        <w:rPr>
          <w:rFonts w:ascii="Arial" w:hAnsi="Arial" w:cs="Arial"/>
          <w:color w:val="000000" w:themeColor="text1"/>
          <w:sz w:val="22"/>
        </w:rPr>
        <w:t>escribe progress or changes made toward meeting each goal</w:t>
      </w:r>
      <w:r w:rsidR="00E642B3" w:rsidRPr="00A47413">
        <w:rPr>
          <w:rFonts w:ascii="Arial" w:hAnsi="Arial" w:cs="Arial"/>
          <w:color w:val="000000" w:themeColor="text1"/>
          <w:sz w:val="22"/>
        </w:rPr>
        <w:t xml:space="preserve"> over the last year</w:t>
      </w:r>
      <w:r w:rsidR="004C7DB2" w:rsidRPr="00A47413">
        <w:rPr>
          <w:rFonts w:ascii="Arial" w:hAnsi="Arial" w:cs="Arial"/>
          <w:color w:val="000000" w:themeColor="text1"/>
          <w:sz w:val="22"/>
        </w:rPr>
        <w:t>.</w:t>
      </w:r>
      <w:r w:rsidR="003C59D8" w:rsidRPr="00A47413">
        <w:rPr>
          <w:rFonts w:ascii="Arial" w:hAnsi="Arial" w:cs="Arial"/>
          <w:color w:val="000000" w:themeColor="text1"/>
          <w:sz w:val="22"/>
        </w:rPr>
        <w:t xml:space="preserve">  Responses from the previous year’s Annual Update are included, </w:t>
      </w:r>
      <w:r w:rsidR="003C59D8" w:rsidRPr="00A47413">
        <w:rPr>
          <w:rFonts w:ascii="Arial" w:hAnsi="Arial" w:cs="Arial"/>
          <w:color w:val="000000" w:themeColor="text1"/>
          <w:sz w:val="22"/>
          <w:u w:val="single"/>
        </w:rPr>
        <w:t>if there have been no changes to report then no changes to the response are necessary</w:t>
      </w:r>
      <w:r w:rsidR="003C59D8" w:rsidRPr="00A47413">
        <w:rPr>
          <w:rFonts w:ascii="Arial" w:hAnsi="Arial" w:cs="Arial"/>
          <w:color w:val="000000" w:themeColor="text1"/>
          <w:sz w:val="22"/>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C2A6E" w:rsidRPr="00A47413" w:rsidTr="001F6669">
        <w:trPr>
          <w:trHeight w:val="466"/>
        </w:trPr>
        <w:tc>
          <w:tcPr>
            <w:tcW w:w="3951"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GOALS</w:t>
            </w:r>
          </w:p>
        </w:tc>
        <w:tc>
          <w:tcPr>
            <w:tcW w:w="2647"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632"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B526C7" w:rsidRPr="00A47413" w:rsidTr="001F6669">
        <w:trPr>
          <w:trHeight w:val="1399"/>
        </w:trPr>
        <w:tc>
          <w:tcPr>
            <w:tcW w:w="3951" w:type="dxa"/>
          </w:tcPr>
          <w:p w:rsidR="00B526C7" w:rsidRPr="00A47413" w:rsidRDefault="00B526C7" w:rsidP="00B64443">
            <w:pPr>
              <w:tabs>
                <w:tab w:val="left" w:pos="1080"/>
              </w:tabs>
              <w:rPr>
                <w:rFonts w:ascii="Arial" w:hAnsi="Arial" w:cs="Arial"/>
                <w:sz w:val="20"/>
                <w:szCs w:val="20"/>
              </w:rPr>
            </w:pPr>
            <w:r>
              <w:rPr>
                <w:rFonts w:ascii="Arial" w:hAnsi="Arial" w:cs="Arial"/>
                <w:color w:val="000000" w:themeColor="text1"/>
                <w:sz w:val="20"/>
                <w:szCs w:val="20"/>
              </w:rPr>
              <w:t>This budget number was recently separated from a larger conglomeration, and thus there are no goals specific to this budget number.</w:t>
            </w:r>
          </w:p>
        </w:tc>
        <w:tc>
          <w:tcPr>
            <w:tcW w:w="2647" w:type="dxa"/>
          </w:tcPr>
          <w:p w:rsidR="00B526C7" w:rsidRPr="00A47413" w:rsidRDefault="00B526C7" w:rsidP="001F6669">
            <w:pPr>
              <w:pStyle w:val="ListParagraph"/>
              <w:ind w:left="0"/>
              <w:rPr>
                <w:rFonts w:ascii="Arial" w:hAnsi="Arial" w:cs="Arial"/>
                <w:color w:val="000000" w:themeColor="text1"/>
                <w:sz w:val="20"/>
                <w:szCs w:val="20"/>
              </w:rPr>
            </w:pPr>
          </w:p>
        </w:tc>
        <w:tc>
          <w:tcPr>
            <w:tcW w:w="6632" w:type="dxa"/>
          </w:tcPr>
          <w:p w:rsidR="00B526C7" w:rsidRPr="00A47413" w:rsidRDefault="00B526C7" w:rsidP="00732CD0">
            <w:pPr>
              <w:pStyle w:val="ListParagraph"/>
              <w:ind w:left="0"/>
              <w:rPr>
                <w:rFonts w:ascii="Arial" w:hAnsi="Arial" w:cs="Arial"/>
                <w:color w:val="000000" w:themeColor="text1"/>
                <w:sz w:val="20"/>
                <w:szCs w:val="20"/>
              </w:rPr>
            </w:pPr>
          </w:p>
        </w:tc>
      </w:tr>
    </w:tbl>
    <w:p w:rsidR="00B11028" w:rsidRDefault="00B11028">
      <w:pPr>
        <w:rPr>
          <w:rFonts w:ascii="Arial" w:hAnsi="Arial" w:cs="Arial"/>
          <w:sz w:val="20"/>
          <w:szCs w:val="20"/>
        </w:rPr>
      </w:pPr>
    </w:p>
    <w:p w:rsidR="00A47413" w:rsidRPr="00A47413" w:rsidRDefault="00A47413">
      <w:pPr>
        <w:rPr>
          <w:rFonts w:ascii="Arial" w:hAnsi="Arial" w:cs="Arial"/>
          <w:sz w:val="20"/>
          <w:szCs w:val="20"/>
        </w:rPr>
      </w:pPr>
    </w:p>
    <w:p w:rsidR="00B64443" w:rsidRDefault="00B64443">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3C59D8" w:rsidRPr="00A47413" w:rsidRDefault="00190F5C" w:rsidP="003C59D8">
      <w:pPr>
        <w:tabs>
          <w:tab w:val="left" w:pos="504"/>
        </w:tabs>
        <w:spacing w:after="12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Below are the </w:t>
      </w:r>
      <w:r w:rsidR="003233E7" w:rsidRPr="00A47413">
        <w:rPr>
          <w:rFonts w:ascii="Arial" w:hAnsi="Arial" w:cs="Arial"/>
          <w:color w:val="000000" w:themeColor="text1"/>
          <w:sz w:val="20"/>
          <w:szCs w:val="20"/>
        </w:rPr>
        <w:t>Recommendations for Action made by the review team</w:t>
      </w:r>
      <w:r w:rsidRPr="00A47413">
        <w:rPr>
          <w:rFonts w:ascii="Arial" w:hAnsi="Arial" w:cs="Arial"/>
          <w:color w:val="000000" w:themeColor="text1"/>
          <w:sz w:val="20"/>
          <w:szCs w:val="20"/>
        </w:rPr>
        <w:t>. D</w:t>
      </w:r>
      <w:r w:rsidR="004C7DB2" w:rsidRPr="00A47413">
        <w:rPr>
          <w:rFonts w:ascii="Arial" w:hAnsi="Arial" w:cs="Arial"/>
          <w:color w:val="000000" w:themeColor="text1"/>
          <w:sz w:val="20"/>
          <w:szCs w:val="20"/>
        </w:rPr>
        <w:t>escribe the progress or changes made toward meeting each recommendation</w:t>
      </w:r>
      <w:r w:rsidR="00E642B3" w:rsidRPr="00A47413">
        <w:rPr>
          <w:rFonts w:ascii="Arial" w:hAnsi="Arial" w:cs="Arial"/>
          <w:color w:val="000000" w:themeColor="text1"/>
          <w:sz w:val="20"/>
          <w:szCs w:val="20"/>
        </w:rPr>
        <w:t xml:space="preserve"> over the last year</w:t>
      </w:r>
      <w:r w:rsidR="004C7DB2" w:rsidRPr="00A47413">
        <w:rPr>
          <w:rFonts w:ascii="Arial" w:hAnsi="Arial" w:cs="Arial"/>
          <w:color w:val="000000" w:themeColor="text1"/>
          <w:sz w:val="20"/>
          <w:szCs w:val="20"/>
        </w:rPr>
        <w:t>.</w:t>
      </w:r>
      <w:r w:rsidR="003C59D8" w:rsidRPr="00A47413">
        <w:rPr>
          <w:rFonts w:ascii="Arial" w:hAnsi="Arial" w:cs="Arial"/>
          <w:color w:val="000000" w:themeColor="text1"/>
          <w:sz w:val="20"/>
          <w:szCs w:val="20"/>
        </w:rPr>
        <w:t xml:space="preserve"> Responses from the previous year’s Annual Update are included, </w:t>
      </w:r>
      <w:r w:rsidR="003C59D8" w:rsidRPr="00A47413">
        <w:rPr>
          <w:rFonts w:ascii="Arial" w:hAnsi="Arial" w:cs="Arial"/>
          <w:color w:val="000000" w:themeColor="text1"/>
          <w:sz w:val="20"/>
          <w:szCs w:val="20"/>
          <w:u w:val="single"/>
        </w:rPr>
        <w:t>if there have been no changes to report then no changes to the response are necessary</w:t>
      </w:r>
      <w:r w:rsidR="003C59D8" w:rsidRPr="00A47413">
        <w:rPr>
          <w:rFonts w:ascii="Arial" w:hAnsi="Arial" w:cs="Arial"/>
          <w:color w:val="000000" w:themeColor="text1"/>
          <w:sz w:val="20"/>
          <w:szCs w:val="20"/>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RECOMMENDATIONS</w:t>
            </w:r>
          </w:p>
        </w:tc>
        <w:tc>
          <w:tcPr>
            <w:tcW w:w="270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48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t>According to the self-study, “students entering the program are generally ill-prepared in math”.  The department is encouraged to consider adding MAT prerequisites to some of its courses early in the program – and perhaps later in the program for higher level MAT courses - based on careful deliberation and data regarding how well students who have not had the proposed prerequisite compare in terms of course completions with those who have had the proposed perquisite.</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 xml:space="preserve">The department has taken care not to include many prerequisites in introductory courses for fear of turning students off initially.   However, the tech math courses once required for the degrees have been changed to MAT1580 </w:t>
            </w:r>
            <w:proofErr w:type="spellStart"/>
            <w:r w:rsidRPr="00A47413">
              <w:rPr>
                <w:rFonts w:ascii="Arial" w:hAnsi="Arial" w:cs="Arial"/>
                <w:sz w:val="20"/>
                <w:szCs w:val="20"/>
              </w:rPr>
              <w:t>Precalculus</w:t>
            </w:r>
            <w:proofErr w:type="spellEnd"/>
            <w:r w:rsidRPr="00A47413">
              <w:rPr>
                <w:rFonts w:ascii="Arial" w:hAnsi="Arial" w:cs="Arial"/>
                <w:sz w:val="20"/>
                <w:szCs w:val="20"/>
              </w:rPr>
              <w:t>.  This will be beneficial for students as they go on to university and will help them be better prepared for industry.</w:t>
            </w:r>
          </w:p>
        </w:tc>
      </w:tr>
    </w:tbl>
    <w:p w:rsidR="00F35173" w:rsidRDefault="00F35173">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lastRenderedPageBreak/>
              <w:t xml:space="preserve">It is clear that the department is collecting assessment data.  The standardization of coursework puts the department at a distinct advantage in this regard relative to many other departments at the college.  The department is encouraged to better document this assessment work by formally collecting and analyzing student assignment and exam scores that relate to general education and program outcomes.  The self-study provided evidence that assessment data was being collected, but in the next self-study it should be made </w:t>
            </w:r>
            <w:proofErr w:type="gramStart"/>
            <w:r w:rsidRPr="00A47413">
              <w:rPr>
                <w:rFonts w:ascii="Arial" w:hAnsi="Arial" w:cs="Arial"/>
                <w:color w:val="000000"/>
                <w:sz w:val="20"/>
                <w:szCs w:val="20"/>
              </w:rPr>
              <w:t>more clear</w:t>
            </w:r>
            <w:proofErr w:type="gramEnd"/>
            <w:r w:rsidRPr="00A47413">
              <w:rPr>
                <w:rFonts w:ascii="Arial" w:hAnsi="Arial" w:cs="Arial"/>
                <w:color w:val="000000"/>
                <w:sz w:val="20"/>
                <w:szCs w:val="20"/>
              </w:rPr>
              <w:t xml:space="preserve"> that this data is being combined, analyzed, reported, and used for improving student learning.   The department is strongly encouraged to work with its Divisional Assessment Coordinator / Learning Liaison to explore ways of combining data across sections and analyzing it in relation to general education and program outcomes.</w:t>
            </w:r>
          </w:p>
          <w:p w:rsidR="008753AC" w:rsidRPr="00A47413" w:rsidRDefault="008753AC" w:rsidP="001F6669">
            <w:pPr>
              <w:autoSpaceDE w:val="0"/>
              <w:autoSpaceDN w:val="0"/>
              <w:adjustRightInd w:val="0"/>
              <w:rPr>
                <w:rFonts w:ascii="Arial" w:hAnsi="Arial" w:cs="Arial"/>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56489E" w:rsidRDefault="0056489E" w:rsidP="00B050BF">
            <w:pPr>
              <w:rPr>
                <w:rFonts w:ascii="Arial" w:hAnsi="Arial" w:cs="Arial"/>
                <w:sz w:val="20"/>
                <w:szCs w:val="20"/>
              </w:rPr>
            </w:pPr>
            <w:r>
              <w:rPr>
                <w:rFonts w:ascii="Arial" w:hAnsi="Arial" w:cs="Arial"/>
                <w:sz w:val="20"/>
                <w:szCs w:val="20"/>
              </w:rPr>
              <w:t>2017/18 Update:  The program received a full six year accreditation from ETAC/ABET.  All minor concerns were voluntarily addressed by faculty.  The chair of the department is in process of collecting exit interview information from the CAT2782 Capstone course.  Information will be aggregated and presented at the fall advisory board meeting.  Major changes based on that information will be voted upon by attendees.</w:t>
            </w:r>
          </w:p>
          <w:p w:rsidR="0056489E" w:rsidRDefault="0056489E" w:rsidP="00B050BF">
            <w:pPr>
              <w:rPr>
                <w:rFonts w:ascii="Arial" w:hAnsi="Arial" w:cs="Arial"/>
                <w:sz w:val="20"/>
                <w:szCs w:val="20"/>
              </w:rPr>
            </w:pPr>
          </w:p>
          <w:p w:rsidR="00B64443" w:rsidRDefault="00B64443" w:rsidP="00B050BF">
            <w:pPr>
              <w:rPr>
                <w:rFonts w:ascii="Arial" w:hAnsi="Arial" w:cs="Arial"/>
                <w:sz w:val="20"/>
                <w:szCs w:val="20"/>
              </w:rPr>
            </w:pPr>
            <w:r>
              <w:rPr>
                <w:rFonts w:ascii="Arial" w:hAnsi="Arial" w:cs="Arial"/>
                <w:sz w:val="20"/>
                <w:szCs w:val="20"/>
              </w:rPr>
              <w:t>2016/17 Update:  The program underwent an extensive assessment, both of student work and curriculum, by ETAC/ABET.  This was the first attempt to accredit the program.  Work began nearly two years in collecting student work, analyzing data, writing a two hundred page self-study, and an onsite visit and review of facilities conducted in October 2016.  Only minor concerns were identified and those concerns are being voluntarily addressed.</w:t>
            </w:r>
          </w:p>
          <w:p w:rsidR="00B64443" w:rsidRDefault="00B64443" w:rsidP="00B050BF">
            <w:pPr>
              <w:rPr>
                <w:rFonts w:ascii="Arial" w:hAnsi="Arial" w:cs="Arial"/>
                <w:sz w:val="20"/>
                <w:szCs w:val="20"/>
              </w:rPr>
            </w:pPr>
          </w:p>
          <w:p w:rsidR="007C2A6E" w:rsidRPr="00A47413" w:rsidRDefault="007C2A6E" w:rsidP="00B050BF">
            <w:pPr>
              <w:rPr>
                <w:rFonts w:ascii="Arial" w:hAnsi="Arial" w:cs="Arial"/>
                <w:sz w:val="20"/>
                <w:szCs w:val="20"/>
              </w:rPr>
            </w:pPr>
            <w:r w:rsidRPr="00A47413">
              <w:rPr>
                <w:rFonts w:ascii="Arial" w:hAnsi="Arial" w:cs="Arial"/>
                <w:sz w:val="20"/>
                <w:szCs w:val="20"/>
              </w:rPr>
              <w:t xml:space="preserve">Data continues to be collected and analyzed.  Often, recommendations from our industry led advisory board are tested, analyzed and considered before that change is made permanently.  </w:t>
            </w:r>
          </w:p>
          <w:p w:rsidR="00B050BF" w:rsidRPr="00A47413" w:rsidRDefault="00B050BF" w:rsidP="00B050BF">
            <w:pPr>
              <w:rPr>
                <w:rFonts w:ascii="Arial" w:hAnsi="Arial" w:cs="Arial"/>
                <w:sz w:val="20"/>
                <w:szCs w:val="20"/>
              </w:rPr>
            </w:pPr>
          </w:p>
          <w:p w:rsidR="00B050BF" w:rsidRPr="00A47413" w:rsidRDefault="00B050BF" w:rsidP="00B050BF">
            <w:pPr>
              <w:rPr>
                <w:rFonts w:ascii="Arial" w:hAnsi="Arial" w:cs="Arial"/>
                <w:sz w:val="20"/>
                <w:szCs w:val="20"/>
              </w:rPr>
            </w:pPr>
            <w:r w:rsidRPr="00A47413">
              <w:rPr>
                <w:rFonts w:ascii="Arial" w:hAnsi="Arial" w:cs="Arial"/>
                <w:sz w:val="20"/>
                <w:szCs w:val="20"/>
              </w:rPr>
              <w:t>The department is also finalizing the self-studies of the Civil Engineering Technology program which is seeking reaccreditation this fall.  The department is also seeking accreditation for the first time for Architectural Technology and Construction Management Technology.</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Social media, such as LinkedIn, provide new avenues for maintaining connections with graduates and gathering data from students who have moved on to the next phase of their careers.  The department is encouraged to consider exploring social media for this reason, and consider whether faculty should be assigned to oversee this.</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004B2EB1">
              <w:rPr>
                <w:rFonts w:ascii="Arial" w:hAnsi="Arial" w:cs="Arial"/>
                <w:sz w:val="20"/>
                <w:szCs w:val="20"/>
              </w:rPr>
              <w:fldChar w:fldCharType="begin">
                <w:ffData>
                  <w:name w:val=""/>
                  <w:enabled/>
                  <w:calcOnExit w:val="0"/>
                  <w:checkBox>
                    <w:sizeAuto/>
                    <w:default w:val="1"/>
                  </w:checkBox>
                </w:ffData>
              </w:fldChar>
            </w:r>
            <w:r w:rsidR="004B2EB1">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004B2EB1">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B050BF" w:rsidRPr="00A47413">
              <w:rPr>
                <w:rFonts w:ascii="Arial" w:hAnsi="Arial" w:cs="Arial"/>
                <w:sz w:val="20"/>
                <w:szCs w:val="20"/>
              </w:rPr>
              <w:fldChar w:fldCharType="begin">
                <w:ffData>
                  <w:name w:val="Check1"/>
                  <w:enabled/>
                  <w:calcOnExit w:val="0"/>
                  <w:checkBox>
                    <w:sizeAuto/>
                    <w:default w:val="0"/>
                  </w:checkBox>
                </w:ffData>
              </w:fldChar>
            </w:r>
            <w:bookmarkStart w:id="0" w:name="Check1"/>
            <w:r w:rsidR="00B050BF"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00B050BF" w:rsidRPr="00A47413">
              <w:rPr>
                <w:rFonts w:ascii="Arial" w:hAnsi="Arial" w:cs="Arial"/>
                <w:sz w:val="20"/>
                <w:szCs w:val="20"/>
              </w:rPr>
              <w:fldChar w:fldCharType="end"/>
            </w:r>
            <w:bookmarkEnd w:id="0"/>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4B2EB1">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4B2EB1">
              <w:rPr>
                <w:rFonts w:ascii="Arial" w:hAnsi="Arial" w:cs="Arial"/>
                <w:sz w:val="20"/>
                <w:szCs w:val="20"/>
              </w:rPr>
              <w:fldChar w:fldCharType="begin">
                <w:ffData>
                  <w:name w:val=""/>
                  <w:enabled/>
                  <w:calcOnExit w:val="0"/>
                  <w:checkBox>
                    <w:sizeAuto/>
                    <w:default w:val="0"/>
                  </w:checkBox>
                </w:ffData>
              </w:fldChar>
            </w:r>
            <w:r w:rsidR="004B2EB1">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004B2EB1">
              <w:rPr>
                <w:rFonts w:ascii="Arial" w:hAnsi="Arial" w:cs="Arial"/>
                <w:sz w:val="20"/>
                <w:szCs w:val="20"/>
              </w:rPr>
              <w:fldChar w:fldCharType="end"/>
            </w:r>
          </w:p>
        </w:tc>
        <w:tc>
          <w:tcPr>
            <w:tcW w:w="6480" w:type="dxa"/>
          </w:tcPr>
          <w:p w:rsidR="004B2EB1" w:rsidRDefault="004B2EB1" w:rsidP="001F6669">
            <w:pPr>
              <w:rPr>
                <w:rFonts w:ascii="Arial" w:hAnsi="Arial" w:cs="Arial"/>
                <w:sz w:val="20"/>
                <w:szCs w:val="20"/>
              </w:rPr>
            </w:pPr>
            <w:r>
              <w:rPr>
                <w:rFonts w:ascii="Arial" w:hAnsi="Arial" w:cs="Arial"/>
                <w:sz w:val="20"/>
                <w:szCs w:val="20"/>
              </w:rPr>
              <w:t>2017/18 Update:  Originally marked at “No Longer Applicable” we are moving this to “In Progress”.  The department has recently hired a part-time program coordinator who has been tasked with creating and maintaining social media (with marketing approval).  The program coordinator is currently working with Denny Wilson.</w:t>
            </w:r>
          </w:p>
          <w:p w:rsidR="004B2EB1" w:rsidRDefault="004B2EB1" w:rsidP="001F6669">
            <w:pPr>
              <w:rPr>
                <w:rFonts w:ascii="Arial" w:hAnsi="Arial" w:cs="Arial"/>
                <w:sz w:val="20"/>
                <w:szCs w:val="20"/>
              </w:rPr>
            </w:pPr>
          </w:p>
          <w:p w:rsidR="00DC0519" w:rsidRDefault="00DC0519" w:rsidP="001F6669">
            <w:pPr>
              <w:rPr>
                <w:rFonts w:ascii="Arial" w:hAnsi="Arial" w:cs="Arial"/>
                <w:sz w:val="20"/>
                <w:szCs w:val="20"/>
              </w:rPr>
            </w:pPr>
            <w:r>
              <w:rPr>
                <w:rFonts w:ascii="Arial" w:hAnsi="Arial" w:cs="Arial"/>
                <w:sz w:val="20"/>
                <w:szCs w:val="20"/>
              </w:rPr>
              <w:t>2016/17 Update:  The department is utilizing Dennis Wilson to showcase department events, such as our annual open house, via social media outlets.</w:t>
            </w:r>
          </w:p>
          <w:p w:rsidR="00DC0519" w:rsidRDefault="00DC0519" w:rsidP="001F6669">
            <w:pPr>
              <w:rPr>
                <w:rFonts w:ascii="Arial" w:hAnsi="Arial" w:cs="Arial"/>
                <w:sz w:val="20"/>
                <w:szCs w:val="20"/>
              </w:rPr>
            </w:pPr>
          </w:p>
          <w:p w:rsidR="004B2EB1" w:rsidRPr="00A47413" w:rsidRDefault="00B050BF" w:rsidP="001F6669">
            <w:pPr>
              <w:rPr>
                <w:rFonts w:ascii="Arial" w:hAnsi="Arial" w:cs="Arial"/>
                <w:sz w:val="20"/>
                <w:szCs w:val="20"/>
              </w:rPr>
            </w:pPr>
            <w:r w:rsidRPr="00A47413">
              <w:rPr>
                <w:rFonts w:ascii="Arial" w:hAnsi="Arial" w:cs="Arial"/>
                <w:sz w:val="20"/>
                <w:szCs w:val="20"/>
              </w:rPr>
              <w:t>After the department set up both Facebook and Twitter accounts, marketing asked us to take them both down.  The department complied with the request.</w:t>
            </w:r>
          </w:p>
        </w:tc>
      </w:tr>
    </w:tbl>
    <w:p w:rsidR="00F35173" w:rsidRDefault="00F35173">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lastRenderedPageBreak/>
              <w:t>Related to the above recommendation, the department is encouraged to explore other ways of tracking graduates, and also for tracking co-op experiences.  There are currently efforts underway to better document students in all internship and co-op experiences at the college, and hopefully in the next self-study the department will be positioned to describe the number and scope of co-op experiences its students participate in.</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The division now has a full time internship coordinator</w:t>
            </w:r>
            <w:r w:rsidR="00DB0717" w:rsidRPr="00A47413">
              <w:rPr>
                <w:rFonts w:ascii="Arial" w:hAnsi="Arial" w:cs="Arial"/>
                <w:sz w:val="20"/>
                <w:szCs w:val="20"/>
              </w:rPr>
              <w:t>, Chad Bridgman</w:t>
            </w:r>
            <w:r w:rsidRPr="00A47413">
              <w:rPr>
                <w:rFonts w:ascii="Arial" w:hAnsi="Arial" w:cs="Arial"/>
                <w:sz w:val="20"/>
                <w:szCs w:val="20"/>
              </w:rPr>
              <w:t xml:space="preserve"> that tracks internship opportunities and students within the program.  The coordinator is now tracking data electronically so that it can better be evaluated.</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t>The department is encouraged to continue its work with dual enrollment and other high school linkage efforts, funneling students from high school into Sinclair as they begin college.  Its efforts in high school linkages have been exemplary, and it is hoped that this will continue in the years to come.</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EF7309" w:rsidRDefault="00EF7309" w:rsidP="00DA508D">
            <w:pPr>
              <w:rPr>
                <w:rFonts w:ascii="Arial" w:hAnsi="Arial" w:cs="Arial"/>
                <w:sz w:val="20"/>
                <w:szCs w:val="20"/>
              </w:rPr>
            </w:pPr>
            <w:r>
              <w:rPr>
                <w:rFonts w:ascii="Arial" w:hAnsi="Arial" w:cs="Arial"/>
                <w:sz w:val="20"/>
                <w:szCs w:val="20"/>
              </w:rPr>
              <w:t>2017/18 Update:  The department continues to work with the CCP office and has increased its CCP offerings since last year.  The departments newly hired part-time program coordinator is helping form additional high school connections, especially with high school advisors.</w:t>
            </w:r>
          </w:p>
          <w:p w:rsidR="00EF7309" w:rsidRDefault="00EF7309" w:rsidP="00DA508D">
            <w:pPr>
              <w:rPr>
                <w:rFonts w:ascii="Arial" w:hAnsi="Arial" w:cs="Arial"/>
                <w:sz w:val="20"/>
                <w:szCs w:val="20"/>
              </w:rPr>
            </w:pPr>
          </w:p>
          <w:p w:rsidR="00051D36" w:rsidRDefault="00051D36" w:rsidP="00DA508D">
            <w:pPr>
              <w:rPr>
                <w:rFonts w:ascii="Arial" w:hAnsi="Arial" w:cs="Arial"/>
                <w:sz w:val="20"/>
                <w:szCs w:val="20"/>
              </w:rPr>
            </w:pPr>
            <w:r>
              <w:rPr>
                <w:rFonts w:ascii="Arial" w:hAnsi="Arial" w:cs="Arial"/>
                <w:sz w:val="20"/>
                <w:szCs w:val="20"/>
              </w:rPr>
              <w:t>2016/17 Update:  The department is working closely with Melissa Tolle in the College Credit Plus office to identify schools and teachers that align with course offerings within the degree.  Partnerships with Stebbins high school have strengthened including offering the CAT2700 internship class.</w:t>
            </w:r>
          </w:p>
          <w:p w:rsidR="00051D36" w:rsidRDefault="00051D36" w:rsidP="00DA508D">
            <w:pPr>
              <w:rPr>
                <w:rFonts w:ascii="Arial" w:hAnsi="Arial" w:cs="Arial"/>
                <w:sz w:val="20"/>
                <w:szCs w:val="20"/>
              </w:rPr>
            </w:pPr>
          </w:p>
          <w:p w:rsidR="007C2A6E" w:rsidRPr="00A47413" w:rsidRDefault="00DB0717" w:rsidP="00DA508D">
            <w:pPr>
              <w:rPr>
                <w:rFonts w:ascii="Arial" w:hAnsi="Arial" w:cs="Arial"/>
                <w:sz w:val="20"/>
                <w:szCs w:val="20"/>
              </w:rPr>
            </w:pPr>
            <w:r w:rsidRPr="00A47413">
              <w:rPr>
                <w:rFonts w:ascii="Arial" w:hAnsi="Arial" w:cs="Arial"/>
                <w:sz w:val="20"/>
                <w:szCs w:val="20"/>
              </w:rPr>
              <w:t xml:space="preserve">The department will have taught twelve (12) college credit plus classes this year.  The courses include CAT1161 Introduction to Civil and Architectural Technology, </w:t>
            </w:r>
            <w:r w:rsidR="00DA508D" w:rsidRPr="00A47413">
              <w:rPr>
                <w:rFonts w:ascii="Arial" w:hAnsi="Arial" w:cs="Arial"/>
                <w:sz w:val="20"/>
                <w:szCs w:val="20"/>
              </w:rPr>
              <w:t xml:space="preserve">CAT1121 Introduction to Revit &amp; BIM, </w:t>
            </w:r>
            <w:r w:rsidRPr="00A47413">
              <w:rPr>
                <w:rFonts w:ascii="Arial" w:hAnsi="Arial" w:cs="Arial"/>
                <w:sz w:val="20"/>
                <w:szCs w:val="20"/>
              </w:rPr>
              <w:t xml:space="preserve">CAT1201 Construction Methods &amp; Materials, </w:t>
            </w:r>
            <w:r w:rsidR="00DA508D" w:rsidRPr="00A47413">
              <w:rPr>
                <w:rFonts w:ascii="Arial" w:hAnsi="Arial" w:cs="Arial"/>
                <w:sz w:val="20"/>
                <w:szCs w:val="20"/>
              </w:rPr>
              <w:t xml:space="preserve">CAT1701 Construction/Craft Skills, CAT1741 Residential Electrical Systems, </w:t>
            </w:r>
            <w:proofErr w:type="gramStart"/>
            <w:r w:rsidR="00DA508D" w:rsidRPr="00A47413">
              <w:rPr>
                <w:rFonts w:ascii="Arial" w:hAnsi="Arial" w:cs="Arial"/>
                <w:sz w:val="20"/>
                <w:szCs w:val="20"/>
              </w:rPr>
              <w:t>CAT</w:t>
            </w:r>
            <w:proofErr w:type="gramEnd"/>
            <w:r w:rsidR="00DA508D" w:rsidRPr="00A47413">
              <w:rPr>
                <w:rFonts w:ascii="Arial" w:hAnsi="Arial" w:cs="Arial"/>
                <w:sz w:val="20"/>
                <w:szCs w:val="20"/>
              </w:rPr>
              <w:t xml:space="preserve"> 1761 Interior &amp; Exterior Finishes, </w:t>
            </w:r>
            <w:r w:rsidRPr="00A47413">
              <w:rPr>
                <w:rFonts w:ascii="Arial" w:hAnsi="Arial" w:cs="Arial"/>
                <w:sz w:val="20"/>
                <w:szCs w:val="20"/>
              </w:rPr>
              <w:t xml:space="preserve">MET1151 </w:t>
            </w:r>
            <w:r w:rsidR="00DA508D" w:rsidRPr="00A47413">
              <w:rPr>
                <w:rFonts w:ascii="Arial" w:hAnsi="Arial" w:cs="Arial"/>
                <w:sz w:val="20"/>
                <w:szCs w:val="20"/>
              </w:rPr>
              <w:t>Guitar Manufacturing using Science, Technology, Engineering &amp; Mathematic Concepts, and MET1231 Introduction to Drafting &amp; Design using Inventor.</w:t>
            </w:r>
          </w:p>
          <w:p w:rsidR="008753AC" w:rsidRPr="00A47413" w:rsidRDefault="008753AC" w:rsidP="00DA508D">
            <w:pPr>
              <w:rPr>
                <w:rFonts w:ascii="Arial" w:hAnsi="Arial" w:cs="Arial"/>
                <w:sz w:val="20"/>
                <w:szCs w:val="20"/>
              </w:rPr>
            </w:pP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t xml:space="preserve">The department is strongly encouraged to update articulation agreements for semesters and explore whether articulations with new institutions might be appropriate.  The </w:t>
            </w:r>
            <w:r w:rsidRPr="00A47413">
              <w:rPr>
                <w:rFonts w:ascii="Arial" w:hAnsi="Arial" w:cs="Arial"/>
                <w:color w:val="000000"/>
                <w:sz w:val="20"/>
                <w:szCs w:val="20"/>
              </w:rPr>
              <w:lastRenderedPageBreak/>
              <w:t>Assistant Dean in the division can be a valuable resource in this regard.</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482D10" w:rsidRDefault="00482D10" w:rsidP="001F6669">
            <w:pPr>
              <w:rPr>
                <w:rFonts w:ascii="Arial" w:hAnsi="Arial" w:cs="Arial"/>
                <w:sz w:val="20"/>
                <w:szCs w:val="20"/>
              </w:rPr>
            </w:pPr>
            <w:r>
              <w:rPr>
                <w:rFonts w:ascii="Arial" w:hAnsi="Arial" w:cs="Arial"/>
                <w:sz w:val="20"/>
                <w:szCs w:val="20"/>
              </w:rPr>
              <w:t xml:space="preserve">2017/18 Update:  The department is currently working to identify new articulation agreements and update existing agreements including </w:t>
            </w:r>
            <w:r w:rsidR="003069B3">
              <w:rPr>
                <w:rFonts w:ascii="Arial" w:hAnsi="Arial" w:cs="Arial"/>
                <w:sz w:val="20"/>
                <w:szCs w:val="20"/>
              </w:rPr>
              <w:t>c</w:t>
            </w:r>
            <w:r>
              <w:rPr>
                <w:rFonts w:ascii="Arial" w:hAnsi="Arial" w:cs="Arial"/>
                <w:sz w:val="20"/>
                <w:szCs w:val="20"/>
              </w:rPr>
              <w:t>reating a centralized repository within the department of those agreements.</w:t>
            </w:r>
          </w:p>
          <w:p w:rsidR="00482D10" w:rsidRDefault="00482D10" w:rsidP="001F6669">
            <w:pPr>
              <w:rPr>
                <w:rFonts w:ascii="Arial" w:hAnsi="Arial" w:cs="Arial"/>
                <w:sz w:val="20"/>
                <w:szCs w:val="20"/>
              </w:rPr>
            </w:pPr>
          </w:p>
          <w:p w:rsidR="00CA551B" w:rsidRDefault="00CA551B" w:rsidP="001F6669">
            <w:pPr>
              <w:rPr>
                <w:rFonts w:ascii="Arial" w:hAnsi="Arial" w:cs="Arial"/>
                <w:sz w:val="20"/>
                <w:szCs w:val="20"/>
              </w:rPr>
            </w:pPr>
            <w:r>
              <w:rPr>
                <w:rFonts w:ascii="Arial" w:hAnsi="Arial" w:cs="Arial"/>
                <w:sz w:val="20"/>
                <w:szCs w:val="20"/>
              </w:rPr>
              <w:lastRenderedPageBreak/>
              <w:t>2016/17 Update:  Over the past year, the department has focused on agreements with high schools via College Credit Plus</w:t>
            </w:r>
            <w:r w:rsidR="00494FDD">
              <w:rPr>
                <w:rFonts w:ascii="Arial" w:hAnsi="Arial" w:cs="Arial"/>
                <w:sz w:val="20"/>
                <w:szCs w:val="20"/>
              </w:rPr>
              <w:t>.  Janeil Bernheisel is helping the department draft agreements.</w:t>
            </w:r>
          </w:p>
          <w:p w:rsidR="00CA551B" w:rsidRDefault="00CA551B" w:rsidP="001F6669">
            <w:pPr>
              <w:rPr>
                <w:rFonts w:ascii="Arial" w:hAnsi="Arial" w:cs="Arial"/>
                <w:sz w:val="20"/>
                <w:szCs w:val="20"/>
              </w:rPr>
            </w:pPr>
          </w:p>
          <w:p w:rsidR="007C2A6E" w:rsidRPr="00A47413" w:rsidRDefault="008753AC" w:rsidP="00F35173">
            <w:pPr>
              <w:rPr>
                <w:rFonts w:ascii="Arial" w:hAnsi="Arial" w:cs="Arial"/>
                <w:sz w:val="20"/>
                <w:szCs w:val="20"/>
              </w:rPr>
            </w:pPr>
            <w:r w:rsidRPr="00A47413">
              <w:rPr>
                <w:rFonts w:ascii="Arial" w:hAnsi="Arial" w:cs="Arial"/>
                <w:sz w:val="20"/>
                <w:szCs w:val="20"/>
              </w:rPr>
              <w:t>The department met with Franklin University to work on articulation agreements for Architectural Technology, Civil Engineering Technology, Construction Management Technology, Energy Management Technology, Environmental Engineering Technology, HVAC-R Engineering Technology and Mechanical Engineering Technology.  These degrees would transfer into a Bachelor of Science in Applied Management.  Details are still being finalized.</w:t>
            </w:r>
          </w:p>
        </w:tc>
      </w:tr>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lastRenderedPageBreak/>
              <w:t>There appears to be some confusion in the minds of some students regarding which programs are transfer programs and which are designed to result in a terminal degree.  The department is encouraged to explore new ways of making students aware of these distinctions – much work has already been done, but it seems that additional efforts are needed.</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131D28" w:rsidRDefault="00131D28" w:rsidP="001F6669">
            <w:pPr>
              <w:rPr>
                <w:rFonts w:ascii="Arial" w:hAnsi="Arial" w:cs="Arial"/>
                <w:sz w:val="20"/>
                <w:szCs w:val="20"/>
              </w:rPr>
            </w:pPr>
            <w:r>
              <w:rPr>
                <w:rFonts w:ascii="Arial" w:hAnsi="Arial" w:cs="Arial"/>
                <w:sz w:val="20"/>
                <w:szCs w:val="20"/>
              </w:rPr>
              <w:t>2017/18 Update:  The department has worked over the past year to better educate students interested in the program of transfer opportunities.  This comes in the form of face to face meetings (with students and parents), college and career fairs and the department’s annual open house.</w:t>
            </w:r>
          </w:p>
          <w:p w:rsidR="00131D28" w:rsidRDefault="00131D28" w:rsidP="001F6669">
            <w:pPr>
              <w:rPr>
                <w:rFonts w:ascii="Arial" w:hAnsi="Arial" w:cs="Arial"/>
                <w:sz w:val="20"/>
                <w:szCs w:val="20"/>
              </w:rPr>
            </w:pPr>
          </w:p>
          <w:p w:rsidR="00056F33" w:rsidRDefault="00056F33" w:rsidP="001F6669">
            <w:pPr>
              <w:rPr>
                <w:rFonts w:ascii="Arial" w:hAnsi="Arial" w:cs="Arial"/>
                <w:sz w:val="20"/>
                <w:szCs w:val="20"/>
              </w:rPr>
            </w:pPr>
            <w:r>
              <w:rPr>
                <w:rFonts w:ascii="Arial" w:hAnsi="Arial" w:cs="Arial"/>
                <w:sz w:val="20"/>
                <w:szCs w:val="20"/>
              </w:rPr>
              <w:t>2016/17 Update:  The department has updated its website to show completion rates, program educational objectives and program outcomes.  A refined open house is scheduled for March 15</w:t>
            </w:r>
            <w:r w:rsidRPr="00056F33">
              <w:rPr>
                <w:rFonts w:ascii="Arial" w:hAnsi="Arial" w:cs="Arial"/>
                <w:sz w:val="20"/>
                <w:szCs w:val="20"/>
                <w:vertAlign w:val="superscript"/>
              </w:rPr>
              <w:t>th</w:t>
            </w:r>
            <w:r>
              <w:rPr>
                <w:rFonts w:ascii="Arial" w:hAnsi="Arial" w:cs="Arial"/>
                <w:sz w:val="20"/>
                <w:szCs w:val="20"/>
              </w:rPr>
              <w:t xml:space="preserve"> and will include current capstone students as hosts for interested individuals.</w:t>
            </w:r>
          </w:p>
          <w:p w:rsidR="00056F33" w:rsidRDefault="00056F33" w:rsidP="001F6669">
            <w:pPr>
              <w:rPr>
                <w:rFonts w:ascii="Arial" w:hAnsi="Arial" w:cs="Arial"/>
                <w:sz w:val="20"/>
                <w:szCs w:val="20"/>
              </w:rPr>
            </w:pPr>
          </w:p>
          <w:p w:rsidR="007C2A6E" w:rsidRPr="00A47413" w:rsidRDefault="00285331" w:rsidP="001F6669">
            <w:pPr>
              <w:rPr>
                <w:rFonts w:ascii="Arial" w:hAnsi="Arial" w:cs="Arial"/>
                <w:sz w:val="20"/>
                <w:szCs w:val="20"/>
              </w:rPr>
            </w:pPr>
            <w:r w:rsidRPr="00A47413">
              <w:rPr>
                <w:rFonts w:ascii="Arial" w:hAnsi="Arial" w:cs="Arial"/>
                <w:sz w:val="20"/>
                <w:szCs w:val="20"/>
              </w:rPr>
              <w:t>The department is working to educate students about career and educational pursuits after completing a technology degree.  Work has been done to update the Sinclair website department and program pages as well as hosting an open house that outlines those possibilities.</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Moving all of the programs in the department under a single budget number appears to make sense – the department is encouraged to explore this possibility, although care should be taken to identify and address any potential unintended consequences by conferring with the Budget Office.</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285331" w:rsidRPr="00A47413">
              <w:rPr>
                <w:rFonts w:ascii="Arial" w:hAnsi="Arial" w:cs="Arial"/>
                <w:sz w:val="20"/>
                <w:szCs w:val="20"/>
              </w:rPr>
              <w:fldChar w:fldCharType="begin">
                <w:ffData>
                  <w:name w:val=""/>
                  <w:enabled/>
                  <w:calcOnExit w:val="0"/>
                  <w:checkBox>
                    <w:sizeAuto/>
                    <w:default w:val="1"/>
                  </w:checkBox>
                </w:ffData>
              </w:fldChar>
            </w:r>
            <w:r w:rsidR="00285331"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00285331"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285331">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285331" w:rsidRPr="00A47413">
              <w:rPr>
                <w:rFonts w:ascii="Arial" w:hAnsi="Arial" w:cs="Arial"/>
                <w:sz w:val="20"/>
                <w:szCs w:val="20"/>
              </w:rPr>
              <w:fldChar w:fldCharType="begin">
                <w:ffData>
                  <w:name w:val=""/>
                  <w:enabled/>
                  <w:calcOnExit w:val="0"/>
                  <w:checkBox>
                    <w:sizeAuto/>
                    <w:default w:val="0"/>
                  </w:checkBox>
                </w:ffData>
              </w:fldChar>
            </w:r>
            <w:r w:rsidR="00285331" w:rsidRPr="00A47413">
              <w:rPr>
                <w:rFonts w:ascii="Arial" w:hAnsi="Arial" w:cs="Arial"/>
                <w:sz w:val="20"/>
                <w:szCs w:val="20"/>
              </w:rPr>
              <w:instrText xml:space="preserve"> FORMCHECKBOX </w:instrText>
            </w:r>
            <w:r w:rsidR="001A0F07">
              <w:rPr>
                <w:rFonts w:ascii="Arial" w:hAnsi="Arial" w:cs="Arial"/>
                <w:sz w:val="20"/>
                <w:szCs w:val="20"/>
              </w:rPr>
            </w:r>
            <w:r w:rsidR="001A0F07">
              <w:rPr>
                <w:rFonts w:ascii="Arial" w:hAnsi="Arial" w:cs="Arial"/>
                <w:sz w:val="20"/>
                <w:szCs w:val="20"/>
              </w:rPr>
              <w:fldChar w:fldCharType="separate"/>
            </w:r>
            <w:r w:rsidR="00285331" w:rsidRPr="00A47413">
              <w:rPr>
                <w:rFonts w:ascii="Arial" w:hAnsi="Arial" w:cs="Arial"/>
                <w:sz w:val="20"/>
                <w:szCs w:val="20"/>
              </w:rPr>
              <w:fldChar w:fldCharType="end"/>
            </w:r>
          </w:p>
        </w:tc>
        <w:tc>
          <w:tcPr>
            <w:tcW w:w="6480" w:type="dxa"/>
          </w:tcPr>
          <w:p w:rsidR="007C2A6E" w:rsidRPr="00A47413" w:rsidRDefault="00285331" w:rsidP="001F6669">
            <w:pPr>
              <w:rPr>
                <w:rFonts w:ascii="Arial" w:hAnsi="Arial" w:cs="Arial"/>
                <w:sz w:val="20"/>
                <w:szCs w:val="20"/>
              </w:rPr>
            </w:pPr>
            <w:r w:rsidRPr="00A47413">
              <w:rPr>
                <w:rFonts w:ascii="Arial" w:hAnsi="Arial" w:cs="Arial"/>
                <w:sz w:val="20"/>
                <w:szCs w:val="20"/>
              </w:rPr>
              <w:t xml:space="preserve">After years of attempting to separate the department’s seven programs by GL code, as of July 1, 2015 the department now has a GL code for all programs.  Tracking, data analysis </w:t>
            </w:r>
            <w:r w:rsidR="00ED25C4" w:rsidRPr="00A47413">
              <w:rPr>
                <w:rFonts w:ascii="Arial" w:hAnsi="Arial" w:cs="Arial"/>
                <w:sz w:val="20"/>
                <w:szCs w:val="20"/>
              </w:rPr>
              <w:t>and budgeting</w:t>
            </w:r>
            <w:r w:rsidRPr="00A47413">
              <w:rPr>
                <w:rFonts w:ascii="Arial" w:hAnsi="Arial" w:cs="Arial"/>
                <w:sz w:val="20"/>
                <w:szCs w:val="20"/>
              </w:rPr>
              <w:t xml:space="preserve"> should be much easier as a result.</w:t>
            </w:r>
          </w:p>
        </w:tc>
      </w:tr>
    </w:tbl>
    <w:p w:rsidR="000A05D5" w:rsidRDefault="000A05D5" w:rsidP="003C59D8">
      <w:pPr>
        <w:rPr>
          <w:rFonts w:ascii="Arial" w:hAnsi="Arial" w:cs="Arial"/>
          <w:b/>
          <w:sz w:val="20"/>
          <w:szCs w:val="20"/>
          <w:u w:val="single"/>
        </w:rPr>
      </w:pPr>
    </w:p>
    <w:p w:rsidR="000A05D5" w:rsidRDefault="000A05D5">
      <w:pPr>
        <w:spacing w:after="200" w:line="276" w:lineRule="auto"/>
        <w:rPr>
          <w:rFonts w:ascii="Arial" w:hAnsi="Arial" w:cs="Arial"/>
          <w:b/>
          <w:sz w:val="20"/>
          <w:szCs w:val="20"/>
          <w:u w:val="single"/>
        </w:rPr>
      </w:pPr>
      <w:r>
        <w:rPr>
          <w:rFonts w:ascii="Arial" w:hAnsi="Arial" w:cs="Arial"/>
          <w:b/>
          <w:sz w:val="20"/>
          <w:szCs w:val="20"/>
          <w:u w:val="single"/>
        </w:rPr>
        <w:br w:type="page"/>
      </w:r>
    </w:p>
    <w:p w:rsidR="00C4694F" w:rsidRDefault="00C4694F" w:rsidP="00C4694F">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C4694F" w:rsidRDefault="00C4694F" w:rsidP="00C4694F">
      <w:pPr>
        <w:rPr>
          <w:rFonts w:ascii="Arial" w:hAnsi="Arial" w:cs="Arial"/>
          <w:b/>
          <w:sz w:val="20"/>
          <w:szCs w:val="20"/>
          <w:u w:val="single"/>
        </w:rPr>
      </w:pPr>
    </w:p>
    <w:p w:rsidR="00C4694F" w:rsidRPr="002103B4" w:rsidRDefault="00C4694F" w:rsidP="00C4694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C4694F" w:rsidRPr="000278A4" w:rsidRDefault="00C4694F" w:rsidP="00C4694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597"/>
        <w:gridCol w:w="1575"/>
        <w:gridCol w:w="1845"/>
        <w:gridCol w:w="4433"/>
      </w:tblGrid>
      <w:tr w:rsidR="00C4694F" w:rsidRPr="004C52FC" w:rsidTr="00C95E8F">
        <w:trPr>
          <w:trHeight w:val="72"/>
        </w:trPr>
        <w:tc>
          <w:tcPr>
            <w:tcW w:w="4073" w:type="dxa"/>
            <w:shd w:val="clear" w:color="auto" w:fill="FFFFFF"/>
            <w:vAlign w:val="center"/>
          </w:tcPr>
          <w:p w:rsidR="00C4694F" w:rsidRPr="004C52FC" w:rsidRDefault="00C4694F" w:rsidP="00D0308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597" w:type="dxa"/>
            <w:tcBorders>
              <w:bottom w:val="single" w:sz="4" w:space="0" w:color="auto"/>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575" w:type="dxa"/>
            <w:shd w:val="clear" w:color="auto" w:fill="auto"/>
          </w:tcPr>
          <w:p w:rsidR="00C4694F" w:rsidRPr="004C52FC" w:rsidRDefault="00C4694F" w:rsidP="00D0308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1845" w:type="dxa"/>
            <w:tcBorders>
              <w:bottom w:val="single" w:sz="4" w:space="0" w:color="000000" w:themeColor="text1"/>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C4694F" w:rsidRPr="004C52FC" w:rsidRDefault="00C4694F" w:rsidP="00D0308D">
            <w:pPr>
              <w:jc w:val="center"/>
              <w:rPr>
                <w:rFonts w:asciiTheme="minorHAnsi" w:hAnsiTheme="minorHAnsi" w:cs="Arial"/>
                <w:color w:val="000000" w:themeColor="text1"/>
                <w:sz w:val="20"/>
              </w:rPr>
            </w:pPr>
          </w:p>
        </w:tc>
        <w:tc>
          <w:tcPr>
            <w:tcW w:w="4433" w:type="dxa"/>
            <w:tcBorders>
              <w:bottom w:val="single" w:sz="4" w:space="0" w:color="000000" w:themeColor="text1"/>
            </w:tcBorders>
          </w:tcPr>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C4694F" w:rsidRPr="004C52FC" w:rsidRDefault="00C4694F"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60744" w:rsidRPr="004C52FC" w:rsidTr="00E60744">
        <w:trPr>
          <w:trHeight w:val="72"/>
        </w:trPr>
        <w:tc>
          <w:tcPr>
            <w:tcW w:w="13523" w:type="dxa"/>
            <w:gridSpan w:val="5"/>
            <w:shd w:val="clear" w:color="auto" w:fill="000000" w:themeFill="text1"/>
            <w:vAlign w:val="center"/>
          </w:tcPr>
          <w:p w:rsidR="00E60744" w:rsidRDefault="00E60744" w:rsidP="00E60744">
            <w:pPr>
              <w:ind w:left="50"/>
              <w:rPr>
                <w:rFonts w:ascii="Arial" w:hAnsi="Arial" w:cs="Arial"/>
                <w:sz w:val="20"/>
                <w:szCs w:val="20"/>
              </w:rPr>
            </w:pPr>
            <w:r>
              <w:rPr>
                <w:b/>
              </w:rPr>
              <w:t>THIS YEAR’S ASSESSMENT RESULTS</w:t>
            </w:r>
          </w:p>
        </w:tc>
      </w:tr>
      <w:tr w:rsidR="00E60744" w:rsidRPr="004C52FC" w:rsidTr="00C95E8F">
        <w:trPr>
          <w:trHeight w:val="72"/>
        </w:trPr>
        <w:tc>
          <w:tcPr>
            <w:tcW w:w="4073" w:type="dxa"/>
            <w:shd w:val="clear" w:color="auto" w:fill="FFFFFF"/>
            <w:vAlign w:val="center"/>
          </w:tcPr>
          <w:p w:rsidR="00E60744" w:rsidRPr="001A0F07" w:rsidRDefault="00E60744" w:rsidP="00E60744">
            <w:pPr>
              <w:rPr>
                <w:rFonts w:asciiTheme="minorHAnsi" w:hAnsiTheme="minorHAnsi"/>
                <w:b/>
              </w:rPr>
            </w:pPr>
            <w:r w:rsidRPr="001A0F07">
              <w:rPr>
                <w:rFonts w:asciiTheme="minorHAnsi" w:hAnsiTheme="minorHAnsi" w:cs="Arial"/>
              </w:rPr>
              <w:t>Computer Literacy</w:t>
            </w:r>
          </w:p>
        </w:tc>
        <w:tc>
          <w:tcPr>
            <w:tcW w:w="1597" w:type="dxa"/>
            <w:tcBorders>
              <w:bottom w:val="single" w:sz="4" w:space="0" w:color="auto"/>
            </w:tcBorders>
          </w:tcPr>
          <w:p w:rsidR="00E60744" w:rsidRPr="001A0F07" w:rsidRDefault="00E60744" w:rsidP="00D0308D">
            <w:pPr>
              <w:jc w:val="center"/>
              <w:rPr>
                <w:rFonts w:asciiTheme="minorHAnsi" w:hAnsiTheme="minorHAnsi" w:cs="Arial"/>
                <w:sz w:val="20"/>
              </w:rPr>
            </w:pPr>
            <w:r w:rsidRPr="001A0F07">
              <w:rPr>
                <w:rFonts w:asciiTheme="minorHAnsi" w:hAnsiTheme="minorHAnsi" w:cs="Arial"/>
                <w:b/>
              </w:rPr>
              <w:t>2017-2018</w:t>
            </w:r>
          </w:p>
        </w:tc>
        <w:tc>
          <w:tcPr>
            <w:tcW w:w="1575" w:type="dxa"/>
            <w:shd w:val="clear" w:color="auto" w:fill="auto"/>
          </w:tcPr>
          <w:p w:rsidR="00E60744" w:rsidRPr="001A0F07" w:rsidRDefault="00E60744" w:rsidP="00E60744">
            <w:pPr>
              <w:jc w:val="center"/>
              <w:rPr>
                <w:rFonts w:asciiTheme="minorHAnsi" w:hAnsiTheme="minorHAnsi"/>
                <w:b/>
                <w:bCs/>
              </w:rPr>
            </w:pPr>
            <w:r w:rsidRPr="001A0F07">
              <w:rPr>
                <w:rFonts w:asciiTheme="minorHAnsi" w:hAnsiTheme="minorHAnsi"/>
                <w:b/>
                <w:bCs/>
              </w:rPr>
              <w:t>CAT2782</w:t>
            </w:r>
            <w:r w:rsidRPr="001A0F07">
              <w:rPr>
                <w:rFonts w:asciiTheme="minorHAnsi" w:hAnsiTheme="minorHAnsi"/>
              </w:rPr>
              <w:t xml:space="preserve"> - Construction Management Technology Capstone</w:t>
            </w:r>
          </w:p>
          <w:p w:rsidR="00E60744" w:rsidRPr="001A0F07" w:rsidRDefault="00E60744" w:rsidP="00D0308D">
            <w:pPr>
              <w:jc w:val="center"/>
              <w:rPr>
                <w:rFonts w:asciiTheme="minorHAnsi" w:hAnsiTheme="minorHAnsi" w:cs="Arial"/>
                <w:sz w:val="20"/>
              </w:rPr>
            </w:pPr>
          </w:p>
        </w:tc>
        <w:tc>
          <w:tcPr>
            <w:tcW w:w="1845" w:type="dxa"/>
            <w:tcBorders>
              <w:bottom w:val="single" w:sz="4" w:space="0" w:color="000000" w:themeColor="text1"/>
            </w:tcBorders>
          </w:tcPr>
          <w:p w:rsidR="00E60744" w:rsidRPr="001A0F07" w:rsidRDefault="00B851FA" w:rsidP="00D0308D">
            <w:pPr>
              <w:jc w:val="center"/>
              <w:rPr>
                <w:rFonts w:asciiTheme="minorHAnsi" w:hAnsiTheme="minorHAnsi" w:cs="Arial"/>
                <w:sz w:val="20"/>
              </w:rPr>
            </w:pPr>
            <w:r w:rsidRPr="001A0F07">
              <w:rPr>
                <w:rFonts w:asciiTheme="minorHAnsi" w:hAnsiTheme="minorHAnsi" w:cs="Arial"/>
                <w:sz w:val="20"/>
              </w:rPr>
              <w:t>CAT2782 Construction Management Technology Capstone Dinner and Expo feedback from advisory board member.</w:t>
            </w:r>
          </w:p>
        </w:tc>
        <w:tc>
          <w:tcPr>
            <w:tcW w:w="4433" w:type="dxa"/>
            <w:tcBorders>
              <w:bottom w:val="single" w:sz="4" w:space="0" w:color="000000" w:themeColor="text1"/>
            </w:tcBorders>
          </w:tcPr>
          <w:p w:rsidR="001A0F07" w:rsidRPr="001A0F07" w:rsidRDefault="001A0F07" w:rsidP="001A0F07">
            <w:pPr>
              <w:rPr>
                <w:rFonts w:ascii="Arial" w:hAnsi="Arial" w:cs="Arial"/>
                <w:sz w:val="20"/>
                <w:szCs w:val="20"/>
              </w:rPr>
            </w:pPr>
            <w:r w:rsidRPr="001A0F07">
              <w:rPr>
                <w:rFonts w:ascii="Arial" w:hAnsi="Arial" w:cs="Arial"/>
                <w:sz w:val="20"/>
                <w:szCs w:val="20"/>
              </w:rPr>
              <w:t xml:space="preserve">According to aggregated data tabulated by RAR, the department’s annual Capstone Expo, attendees rated the performance of students </w:t>
            </w:r>
            <w:proofErr w:type="gramStart"/>
            <w:r w:rsidRPr="001A0F07">
              <w:rPr>
                <w:rFonts w:ascii="Arial" w:hAnsi="Arial" w:cs="Arial"/>
                <w:sz w:val="20"/>
                <w:szCs w:val="20"/>
              </w:rPr>
              <w:t>an</w:t>
            </w:r>
            <w:proofErr w:type="gramEnd"/>
            <w:r w:rsidRPr="001A0F07">
              <w:rPr>
                <w:rFonts w:ascii="Arial" w:hAnsi="Arial" w:cs="Arial"/>
                <w:sz w:val="20"/>
                <w:szCs w:val="20"/>
              </w:rPr>
              <w:t xml:space="preserve"> average of 8.</w:t>
            </w:r>
            <w:r w:rsidRPr="001A0F07">
              <w:rPr>
                <w:rFonts w:ascii="Arial" w:hAnsi="Arial" w:cs="Arial"/>
                <w:sz w:val="20"/>
                <w:szCs w:val="20"/>
              </w:rPr>
              <w:t>17</w:t>
            </w:r>
            <w:r w:rsidRPr="001A0F07">
              <w:rPr>
                <w:rFonts w:ascii="Arial" w:hAnsi="Arial" w:cs="Arial"/>
                <w:sz w:val="20"/>
                <w:szCs w:val="20"/>
              </w:rPr>
              <w:t xml:space="preserve"> on a 9 point Likert scale.  </w:t>
            </w:r>
          </w:p>
          <w:p w:rsidR="00E60744" w:rsidRPr="001A0F07" w:rsidRDefault="00E60744" w:rsidP="00D0308D">
            <w:pPr>
              <w:jc w:val="center"/>
              <w:rPr>
                <w:rFonts w:asciiTheme="minorHAnsi" w:hAnsiTheme="minorHAnsi" w:cs="Arial"/>
                <w:sz w:val="20"/>
              </w:rPr>
            </w:pPr>
          </w:p>
        </w:tc>
      </w:tr>
    </w:tbl>
    <w:p w:rsidR="001A0F07" w:rsidRDefault="001A0F07">
      <w:r>
        <w:br w:type="page"/>
      </w: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597"/>
        <w:gridCol w:w="1575"/>
        <w:gridCol w:w="1845"/>
        <w:gridCol w:w="4433"/>
      </w:tblGrid>
      <w:tr w:rsidR="00E60744" w:rsidRPr="004C52FC" w:rsidTr="00E60744">
        <w:trPr>
          <w:trHeight w:val="72"/>
        </w:trPr>
        <w:tc>
          <w:tcPr>
            <w:tcW w:w="13523" w:type="dxa"/>
            <w:gridSpan w:val="5"/>
            <w:shd w:val="clear" w:color="auto" w:fill="000000" w:themeFill="text1"/>
            <w:vAlign w:val="center"/>
          </w:tcPr>
          <w:p w:rsidR="00E60744" w:rsidRDefault="00E60744" w:rsidP="00E60744">
            <w:pPr>
              <w:ind w:left="50"/>
              <w:rPr>
                <w:rFonts w:ascii="Arial" w:hAnsi="Arial" w:cs="Arial"/>
                <w:sz w:val="20"/>
                <w:szCs w:val="20"/>
              </w:rPr>
            </w:pPr>
            <w:r>
              <w:rPr>
                <w:b/>
              </w:rPr>
              <w:lastRenderedPageBreak/>
              <w:t>LAST YEAR’S ASSESSMENT RESULTS</w:t>
            </w:r>
          </w:p>
        </w:tc>
      </w:tr>
      <w:tr w:rsidR="00C4694F" w:rsidRPr="004C52FC" w:rsidTr="00C95E8F">
        <w:trPr>
          <w:trHeight w:val="274"/>
        </w:trPr>
        <w:tc>
          <w:tcPr>
            <w:tcW w:w="4073" w:type="dxa"/>
            <w:tcBorders>
              <w:right w:val="single" w:sz="4" w:space="0" w:color="auto"/>
            </w:tcBorders>
            <w:shd w:val="clear" w:color="auto" w:fill="FFFFFF"/>
            <w:vAlign w:val="center"/>
          </w:tcPr>
          <w:p w:rsidR="00C4694F" w:rsidRPr="00C95E8F" w:rsidRDefault="00C4694F" w:rsidP="00D0308D">
            <w:pPr>
              <w:tabs>
                <w:tab w:val="left" w:pos="5040"/>
              </w:tabs>
              <w:rPr>
                <w:rFonts w:asciiTheme="minorHAnsi" w:hAnsiTheme="minorHAnsi" w:cs="Arial"/>
                <w:color w:val="000000" w:themeColor="text1"/>
              </w:rPr>
            </w:pPr>
            <w:r w:rsidRPr="00C95E8F">
              <w:rPr>
                <w:rFonts w:asciiTheme="minorHAnsi" w:hAnsiTheme="minorHAnsi" w:cs="Arial"/>
                <w:color w:val="000000" w:themeColor="text1"/>
              </w:rPr>
              <w:t>Information Literacy</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C4694F" w:rsidRPr="00C95E8F" w:rsidRDefault="00C4694F" w:rsidP="00D0308D">
            <w:pPr>
              <w:jc w:val="center"/>
              <w:rPr>
                <w:rFonts w:asciiTheme="minorHAnsi" w:hAnsiTheme="minorHAnsi"/>
              </w:rPr>
            </w:pPr>
            <w:r w:rsidRPr="00C95E8F">
              <w:rPr>
                <w:rFonts w:asciiTheme="minorHAnsi" w:hAnsiTheme="minorHAnsi" w:cs="Arial"/>
                <w:b/>
                <w:color w:val="000000" w:themeColor="text1"/>
              </w:rPr>
              <w:t>2016-2017</w:t>
            </w:r>
          </w:p>
        </w:tc>
        <w:tc>
          <w:tcPr>
            <w:tcW w:w="1575" w:type="dxa"/>
            <w:shd w:val="clear" w:color="auto" w:fill="auto"/>
          </w:tcPr>
          <w:p w:rsidR="00C4694F" w:rsidRPr="00C95E8F" w:rsidRDefault="00C4694F" w:rsidP="00C4694F">
            <w:pPr>
              <w:jc w:val="center"/>
              <w:rPr>
                <w:rFonts w:asciiTheme="minorHAnsi" w:hAnsiTheme="minorHAnsi"/>
                <w:b/>
                <w:bCs/>
                <w:color w:val="333333"/>
              </w:rPr>
            </w:pPr>
            <w:r w:rsidRPr="00C95E8F">
              <w:rPr>
                <w:rFonts w:asciiTheme="minorHAnsi" w:hAnsiTheme="minorHAnsi"/>
                <w:b/>
                <w:bCs/>
                <w:color w:val="333333"/>
              </w:rPr>
              <w:t>CAT2782</w:t>
            </w:r>
            <w:r w:rsidRPr="00C95E8F">
              <w:rPr>
                <w:rFonts w:asciiTheme="minorHAnsi" w:hAnsiTheme="minorHAnsi"/>
                <w:color w:val="333333"/>
              </w:rPr>
              <w:t xml:space="preserve"> - Construction Management Technology Capstone</w:t>
            </w:r>
          </w:p>
          <w:p w:rsidR="00C4694F" w:rsidRPr="00C95E8F" w:rsidRDefault="00C4694F" w:rsidP="00D0308D">
            <w:pPr>
              <w:jc w:val="center"/>
              <w:rPr>
                <w:rFonts w:asciiTheme="minorHAnsi" w:hAnsiTheme="minorHAnsi" w:cs="Arial"/>
                <w:color w:val="000000" w:themeColor="text1"/>
              </w:rPr>
            </w:pPr>
          </w:p>
        </w:tc>
        <w:tc>
          <w:tcPr>
            <w:tcW w:w="1845" w:type="dxa"/>
            <w:shd w:val="clear" w:color="auto" w:fill="auto"/>
          </w:tcPr>
          <w:p w:rsidR="00C4694F" w:rsidRPr="00C95E8F" w:rsidRDefault="009364E3" w:rsidP="00E3438F">
            <w:pPr>
              <w:rPr>
                <w:rFonts w:asciiTheme="minorHAnsi" w:hAnsiTheme="minorHAnsi" w:cs="Arial"/>
                <w:color w:val="000000" w:themeColor="text1"/>
              </w:rPr>
            </w:pPr>
            <w:r w:rsidRPr="00C95E8F">
              <w:rPr>
                <w:rFonts w:asciiTheme="minorHAnsi" w:hAnsiTheme="minorHAnsi" w:cs="Arial"/>
                <w:color w:val="000000" w:themeColor="text1"/>
              </w:rPr>
              <w:t>CAT2782 Construction Management Technology Capstone Expo feedback from Advisory Board Members</w:t>
            </w:r>
          </w:p>
        </w:tc>
        <w:tc>
          <w:tcPr>
            <w:tcW w:w="4433" w:type="dxa"/>
            <w:shd w:val="clear" w:color="auto" w:fill="auto"/>
          </w:tcPr>
          <w:p w:rsidR="00C4694F" w:rsidRPr="00C95E8F" w:rsidRDefault="00920FCA" w:rsidP="00D0308D">
            <w:pPr>
              <w:ind w:left="72"/>
              <w:rPr>
                <w:rFonts w:asciiTheme="minorHAnsi" w:hAnsiTheme="minorHAnsi" w:cs="Arial"/>
                <w:color w:val="000000" w:themeColor="text1"/>
              </w:rPr>
            </w:pPr>
            <w:r w:rsidRPr="00C95E8F">
              <w:rPr>
                <w:rFonts w:asciiTheme="minorHAnsi" w:hAnsiTheme="minorHAnsi" w:cs="Arial"/>
                <w:color w:val="000000" w:themeColor="text1"/>
              </w:rPr>
              <w:t>Integrated project teams deliver a review of work to faculty advisors, consultants, advisory board members, Sinclair faculty and administrators in a trade show format.  Work represented should show project completion.</w:t>
            </w:r>
          </w:p>
          <w:p w:rsidR="00920FCA" w:rsidRPr="00C95E8F" w:rsidRDefault="00920FCA" w:rsidP="00D0308D">
            <w:pPr>
              <w:ind w:left="72"/>
              <w:rPr>
                <w:rFonts w:asciiTheme="minorHAnsi" w:hAnsiTheme="minorHAnsi" w:cs="Arial"/>
                <w:color w:val="000000" w:themeColor="text1"/>
              </w:rPr>
            </w:pPr>
          </w:p>
          <w:p w:rsidR="00920FCA" w:rsidRPr="00C95E8F" w:rsidRDefault="00920FCA" w:rsidP="00920FCA">
            <w:pPr>
              <w:ind w:left="72"/>
              <w:rPr>
                <w:rFonts w:asciiTheme="minorHAnsi" w:hAnsiTheme="minorHAnsi" w:cs="Arial"/>
                <w:color w:val="000000" w:themeColor="text1"/>
              </w:rPr>
            </w:pPr>
            <w:r w:rsidRPr="00C95E8F">
              <w:rPr>
                <w:rFonts w:asciiTheme="minorHAnsi" w:hAnsiTheme="minorHAnsi" w:cs="Arial"/>
                <w:color w:val="000000" w:themeColor="text1"/>
              </w:rPr>
              <w:t>Advisory board feedback for this outcome is positive and indicates that students are knowledgeable in this area.</w:t>
            </w:r>
            <w:r w:rsidR="00B971D1" w:rsidRPr="00C95E8F">
              <w:rPr>
                <w:rFonts w:asciiTheme="minorHAnsi" w:hAnsiTheme="minorHAnsi" w:cs="Arial"/>
                <w:color w:val="000000" w:themeColor="text1"/>
              </w:rPr>
              <w:t xml:space="preserve">  Students scored 8.5 on a 9 point Likert score concerning the outcome “Employ logical and concise problem-solving techniques to complex problems.”</w:t>
            </w:r>
          </w:p>
          <w:p w:rsidR="00B971D1" w:rsidRPr="00C95E8F" w:rsidRDefault="00B971D1" w:rsidP="00920FCA">
            <w:pPr>
              <w:ind w:left="72"/>
              <w:rPr>
                <w:rFonts w:asciiTheme="minorHAnsi" w:hAnsiTheme="minorHAnsi" w:cs="Arial"/>
                <w:color w:val="000000" w:themeColor="text1"/>
              </w:rPr>
            </w:pPr>
          </w:p>
          <w:p w:rsidR="00B971D1" w:rsidRPr="00C95E8F" w:rsidRDefault="00B971D1" w:rsidP="00B971D1">
            <w:pPr>
              <w:ind w:left="72"/>
              <w:rPr>
                <w:rFonts w:asciiTheme="minorHAnsi" w:hAnsiTheme="minorHAnsi" w:cs="Arial"/>
                <w:color w:val="000000" w:themeColor="text1"/>
              </w:rPr>
            </w:pPr>
            <w:r w:rsidRPr="00C95E8F">
              <w:rPr>
                <w:rFonts w:asciiTheme="minorHAnsi" w:hAnsiTheme="minorHAnsi" w:cs="Arial"/>
                <w:color w:val="000000" w:themeColor="text1"/>
              </w:rPr>
              <w:t>Specific feedback for the course includes the following comments:</w:t>
            </w:r>
          </w:p>
          <w:p w:rsidR="00B971D1" w:rsidRPr="00C95E8F" w:rsidRDefault="00B971D1" w:rsidP="00B971D1">
            <w:pPr>
              <w:pStyle w:val="ListParagraph"/>
              <w:numPr>
                <w:ilvl w:val="0"/>
                <w:numId w:val="27"/>
              </w:numPr>
              <w:rPr>
                <w:rFonts w:asciiTheme="minorHAnsi" w:hAnsiTheme="minorHAnsi"/>
                <w:color w:val="000000"/>
              </w:rPr>
            </w:pPr>
            <w:r w:rsidRPr="00C95E8F">
              <w:rPr>
                <w:rFonts w:asciiTheme="minorHAnsi" w:hAnsiTheme="minorHAnsi"/>
                <w:color w:val="000000"/>
              </w:rPr>
              <w:t>Good work using tools and data available to you.  Work to understand the logic behind the data used to validate the plan that you created</w:t>
            </w:r>
          </w:p>
          <w:p w:rsidR="00B971D1" w:rsidRPr="00C95E8F" w:rsidRDefault="00B971D1" w:rsidP="00B971D1">
            <w:pPr>
              <w:pStyle w:val="ListParagraph"/>
              <w:numPr>
                <w:ilvl w:val="0"/>
                <w:numId w:val="27"/>
              </w:numPr>
              <w:rPr>
                <w:rFonts w:asciiTheme="minorHAnsi" w:hAnsiTheme="minorHAnsi"/>
                <w:color w:val="000000"/>
              </w:rPr>
            </w:pPr>
            <w:r w:rsidRPr="00C95E8F">
              <w:rPr>
                <w:rFonts w:asciiTheme="minorHAnsi" w:hAnsiTheme="minorHAnsi"/>
                <w:color w:val="000000"/>
              </w:rPr>
              <w:t>Good use of the tools to help develop schedule and estimate.  Challenge your thinking into logic and don't rely solely on the tools.</w:t>
            </w:r>
          </w:p>
          <w:p w:rsidR="00B971D1" w:rsidRPr="00C95E8F" w:rsidRDefault="00B971D1" w:rsidP="00B971D1">
            <w:pPr>
              <w:ind w:left="72"/>
              <w:rPr>
                <w:rFonts w:asciiTheme="minorHAnsi" w:hAnsiTheme="minorHAnsi" w:cs="Arial"/>
                <w:color w:val="000000" w:themeColor="text1"/>
              </w:rPr>
            </w:pPr>
          </w:p>
        </w:tc>
      </w:tr>
    </w:tbl>
    <w:p w:rsidR="00C4694F" w:rsidRDefault="00C4694F" w:rsidP="00C4694F">
      <w:pPr>
        <w:rPr>
          <w:rFonts w:ascii="Arial" w:hAnsi="Arial" w:cs="Arial"/>
          <w:sz w:val="20"/>
          <w:szCs w:val="20"/>
        </w:rPr>
      </w:pPr>
    </w:p>
    <w:p w:rsidR="00C4694F" w:rsidRDefault="00C4694F" w:rsidP="00C4694F">
      <w:pPr>
        <w:rPr>
          <w:rFonts w:ascii="Arial" w:hAnsi="Arial" w:cs="Arial"/>
          <w:sz w:val="20"/>
          <w:szCs w:val="20"/>
        </w:rPr>
      </w:pPr>
    </w:p>
    <w:p w:rsidR="00C4694F" w:rsidRDefault="00C4694F" w:rsidP="00C4694F">
      <w:pPr>
        <w:rPr>
          <w:rFonts w:ascii="Arial" w:hAnsi="Arial" w:cs="Arial"/>
          <w:sz w:val="20"/>
          <w:szCs w:val="20"/>
        </w:rPr>
      </w:pPr>
    </w:p>
    <w:p w:rsidR="001A0F07" w:rsidRDefault="001A0F07">
      <w:pPr>
        <w:spacing w:after="200" w:line="276" w:lineRule="auto"/>
        <w:rPr>
          <w:b/>
          <w:sz w:val="28"/>
          <w:szCs w:val="28"/>
        </w:rPr>
      </w:pPr>
      <w:r>
        <w:rPr>
          <w:b/>
          <w:sz w:val="28"/>
          <w:szCs w:val="28"/>
        </w:rPr>
        <w:br w:type="page"/>
      </w:r>
    </w:p>
    <w:p w:rsidR="00E60744" w:rsidRDefault="00E60744" w:rsidP="00E60744">
      <w:pPr>
        <w:rPr>
          <w:b/>
          <w:sz w:val="28"/>
          <w:szCs w:val="28"/>
        </w:rPr>
      </w:pPr>
      <w:r>
        <w:rPr>
          <w:b/>
          <w:sz w:val="28"/>
          <w:szCs w:val="28"/>
        </w:rPr>
        <w:lastRenderedPageBreak/>
        <w:t xml:space="preserve">AVAILABLE GENERAL EDUCATION RUBRIC DATA FOR STUDENTS IN YOUR DEPARTMENT’S </w:t>
      </w:r>
    </w:p>
    <w:p w:rsidR="00E60744" w:rsidRDefault="00E60744" w:rsidP="00E60744">
      <w:pPr>
        <w:rPr>
          <w:b/>
          <w:sz w:val="28"/>
          <w:szCs w:val="28"/>
        </w:rPr>
      </w:pPr>
      <w:r>
        <w:rPr>
          <w:b/>
          <w:sz w:val="28"/>
          <w:szCs w:val="28"/>
        </w:rPr>
        <w:t>PROGRAMS:</w:t>
      </w:r>
    </w:p>
    <w:p w:rsidR="0095398E" w:rsidRDefault="0095398E">
      <w:pPr>
        <w:spacing w:after="200" w:line="276" w:lineRule="auto"/>
        <w:rPr>
          <w:rFonts w:ascii="Arial" w:hAnsi="Arial" w:cs="Arial"/>
          <w:sz w:val="20"/>
          <w:szCs w:val="20"/>
        </w:rPr>
      </w:pPr>
    </w:p>
    <w:p w:rsidR="00E60744" w:rsidRDefault="00E60744">
      <w:pPr>
        <w:spacing w:after="200" w:line="276" w:lineRule="auto"/>
        <w:rPr>
          <w:rFonts w:ascii="Arial" w:hAnsi="Arial" w:cs="Arial"/>
          <w:sz w:val="20"/>
          <w:szCs w:val="20"/>
        </w:rPr>
      </w:pPr>
    </w:p>
    <w:p w:rsidR="00C4694F" w:rsidRDefault="00C4694F" w:rsidP="00C4694F">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C4694F" w:rsidRDefault="00C4694F" w:rsidP="00C4694F">
      <w:pPr>
        <w:rPr>
          <w:rFonts w:ascii="Arial" w:hAnsi="Arial" w:cs="Arial"/>
          <w:b/>
          <w:color w:val="000000" w:themeColor="text1"/>
          <w:u w:val="single"/>
        </w:rPr>
      </w:pPr>
    </w:p>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7C2A6E" w:rsidRDefault="007C2A6E" w:rsidP="007C2A6E">
      <w:pPr>
        <w:pStyle w:val="ListParagraph"/>
        <w:tabs>
          <w:tab w:val="left" w:pos="5040"/>
        </w:tabs>
        <w:ind w:left="360"/>
        <w:rPr>
          <w:rFonts w:ascii="Arial" w:hAnsi="Arial" w:cs="Arial"/>
          <w:color w:val="000000" w:themeColor="text1"/>
          <w:sz w:val="22"/>
          <w:szCs w:val="22"/>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274"/>
        </w:trPr>
        <w:tc>
          <w:tcPr>
            <w:tcW w:w="3708" w:type="dxa"/>
            <w:shd w:val="clear" w:color="auto" w:fill="FFFFFF"/>
            <w:vAlign w:val="center"/>
          </w:tcPr>
          <w:p w:rsidR="007C2A6E" w:rsidRPr="000958C7" w:rsidRDefault="007C2A6E" w:rsidP="00937F66">
            <w:pPr>
              <w:jc w:val="center"/>
              <w:rPr>
                <w:rFonts w:ascii="Arial" w:hAnsi="Arial" w:cs="Arial"/>
                <w:b/>
                <w:sz w:val="20"/>
                <w:szCs w:val="20"/>
              </w:rPr>
            </w:pPr>
            <w:r w:rsidRPr="000958C7">
              <w:rPr>
                <w:rFonts w:ascii="Arial" w:hAnsi="Arial" w:cs="Arial"/>
                <w:b/>
                <w:sz w:val="20"/>
                <w:szCs w:val="20"/>
              </w:rPr>
              <w:t>C</w:t>
            </w:r>
            <w:r w:rsidR="00937F66" w:rsidRPr="000958C7">
              <w:rPr>
                <w:rFonts w:ascii="Arial" w:hAnsi="Arial" w:cs="Arial"/>
                <w:b/>
                <w:sz w:val="20"/>
                <w:szCs w:val="20"/>
              </w:rPr>
              <w:t>onstruction</w:t>
            </w:r>
            <w:r w:rsidRPr="000958C7">
              <w:rPr>
                <w:rFonts w:ascii="Arial" w:hAnsi="Arial" w:cs="Arial"/>
                <w:b/>
                <w:sz w:val="20"/>
                <w:szCs w:val="20"/>
              </w:rPr>
              <w:t xml:space="preserve"> Management Technology Program Outcomes</w:t>
            </w:r>
          </w:p>
        </w:tc>
        <w:tc>
          <w:tcPr>
            <w:tcW w:w="1742"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C2A6E" w:rsidRPr="000958C7" w:rsidRDefault="007C2A6E" w:rsidP="001F6669">
            <w:pPr>
              <w:jc w:val="center"/>
              <w:rPr>
                <w:rFonts w:ascii="Arial" w:hAnsi="Arial" w:cs="Arial"/>
                <w:color w:val="000000" w:themeColor="text1"/>
                <w:sz w:val="20"/>
                <w:szCs w:val="20"/>
              </w:rPr>
            </w:pPr>
          </w:p>
        </w:tc>
        <w:tc>
          <w:tcPr>
            <w:tcW w:w="4028"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7C2A6E" w:rsidRPr="000958C7" w:rsidTr="001F6669">
        <w:trPr>
          <w:trHeight w:val="274"/>
        </w:trPr>
        <w:tc>
          <w:tcPr>
            <w:tcW w:w="3708" w:type="dxa"/>
            <w:shd w:val="clear" w:color="auto" w:fill="FFFFFF"/>
            <w:vAlign w:val="center"/>
          </w:tcPr>
          <w:p w:rsidR="007C2A6E" w:rsidRPr="000958C7" w:rsidRDefault="007C2A6E" w:rsidP="001F6669">
            <w:pPr>
              <w:ind w:left="360"/>
              <w:rPr>
                <w:rFonts w:ascii="Arial" w:hAnsi="Arial" w:cs="Arial"/>
                <w:sz w:val="20"/>
                <w:szCs w:val="20"/>
              </w:rPr>
            </w:pPr>
          </w:p>
          <w:p w:rsidR="007C2A6E" w:rsidRPr="000958C7" w:rsidRDefault="007C2A6E" w:rsidP="001F6669">
            <w:pPr>
              <w:ind w:left="360"/>
              <w:rPr>
                <w:rFonts w:ascii="Arial" w:hAnsi="Arial" w:cs="Arial"/>
                <w:sz w:val="20"/>
                <w:szCs w:val="20"/>
              </w:rPr>
            </w:pPr>
            <w:r w:rsidRPr="000958C7">
              <w:rPr>
                <w:rFonts w:ascii="Arial" w:hAnsi="Arial" w:cs="Arial"/>
                <w:sz w:val="20"/>
                <w:szCs w:val="20"/>
              </w:rPr>
              <w:t>Recognize professional, ethical and societal responsibilities, respect diversity and commit to lifelong learning.</w:t>
            </w:r>
          </w:p>
          <w:p w:rsidR="007C2A6E" w:rsidRPr="000958C7" w:rsidRDefault="007C2A6E" w:rsidP="001F6669">
            <w:pPr>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p>
          <w:p w:rsidR="007C2A6E" w:rsidRPr="000958C7" w:rsidRDefault="00937F66" w:rsidP="001F6669">
            <w:pPr>
              <w:rPr>
                <w:rFonts w:ascii="Arial" w:hAnsi="Arial" w:cs="Arial"/>
                <w:sz w:val="20"/>
                <w:szCs w:val="20"/>
              </w:rPr>
            </w:pPr>
            <w:r w:rsidRPr="000958C7">
              <w:rPr>
                <w:rFonts w:ascii="Arial" w:hAnsi="Arial" w:cs="Arial"/>
                <w:sz w:val="20"/>
                <w:szCs w:val="20"/>
              </w:rPr>
              <w:t>CAT2411</w:t>
            </w:r>
          </w:p>
          <w:p w:rsidR="00937F66" w:rsidRPr="000958C7" w:rsidRDefault="00937F66" w:rsidP="001F6669">
            <w:pPr>
              <w:rPr>
                <w:rFonts w:ascii="Arial" w:hAnsi="Arial" w:cs="Arial"/>
                <w:sz w:val="20"/>
                <w:szCs w:val="20"/>
              </w:rPr>
            </w:pPr>
            <w:r w:rsidRPr="000958C7">
              <w:rPr>
                <w:rFonts w:ascii="Arial" w:hAnsi="Arial" w:cs="Arial"/>
                <w:sz w:val="20"/>
                <w:szCs w:val="20"/>
              </w:rPr>
              <w:t>CAT2700</w:t>
            </w:r>
          </w:p>
          <w:p w:rsidR="00937F66" w:rsidRPr="000958C7" w:rsidRDefault="00937F66" w:rsidP="001F6669">
            <w:pPr>
              <w:rPr>
                <w:rFonts w:ascii="Arial" w:hAnsi="Arial" w:cs="Arial"/>
                <w:sz w:val="20"/>
                <w:szCs w:val="20"/>
              </w:rPr>
            </w:pPr>
            <w:r w:rsidRPr="000958C7">
              <w:rPr>
                <w:rFonts w:ascii="Arial" w:hAnsi="Arial" w:cs="Arial"/>
                <w:sz w:val="20"/>
                <w:szCs w:val="20"/>
              </w:rPr>
              <w:t>CAT2782</w:t>
            </w:r>
          </w:p>
          <w:p w:rsidR="00937F66" w:rsidRPr="000958C7" w:rsidRDefault="00937F66" w:rsidP="001F6669">
            <w:pPr>
              <w:rPr>
                <w:rFonts w:ascii="Arial" w:hAnsi="Arial" w:cs="Arial"/>
                <w:sz w:val="20"/>
                <w:szCs w:val="20"/>
              </w:rPr>
            </w:pPr>
            <w:r w:rsidRPr="000958C7">
              <w:rPr>
                <w:rFonts w:ascii="Arial" w:hAnsi="Arial" w:cs="Arial"/>
                <w:sz w:val="20"/>
                <w:szCs w:val="20"/>
              </w:rPr>
              <w:t>EGV2351</w:t>
            </w:r>
          </w:p>
          <w:p w:rsidR="00937F66" w:rsidRPr="000958C7" w:rsidRDefault="00937F66" w:rsidP="001F6669">
            <w:pPr>
              <w:rPr>
                <w:rFonts w:ascii="Arial" w:hAnsi="Arial" w:cs="Arial"/>
                <w:sz w:val="20"/>
                <w:szCs w:val="20"/>
              </w:rPr>
            </w:pPr>
            <w:r w:rsidRPr="000958C7">
              <w:rPr>
                <w:rFonts w:ascii="Arial" w:hAnsi="Arial" w:cs="Arial"/>
                <w:sz w:val="20"/>
                <w:szCs w:val="20"/>
              </w:rPr>
              <w:t>MET2711</w:t>
            </w:r>
          </w:p>
          <w:p w:rsidR="00937F66" w:rsidRPr="000958C7" w:rsidRDefault="00937F66" w:rsidP="001F6669">
            <w:pPr>
              <w:rPr>
                <w:rFonts w:ascii="Arial" w:hAnsi="Arial" w:cs="Arial"/>
                <w:sz w:val="20"/>
                <w:szCs w:val="20"/>
              </w:rPr>
            </w:pPr>
            <w:r w:rsidRPr="000958C7">
              <w:rPr>
                <w:rFonts w:ascii="Arial" w:hAnsi="Arial" w:cs="Arial"/>
                <w:sz w:val="20"/>
                <w:szCs w:val="20"/>
              </w:rPr>
              <w:t>OTM/Social &amp; Behavior Science</w:t>
            </w:r>
          </w:p>
          <w:p w:rsidR="007C2A6E" w:rsidRPr="000958C7" w:rsidRDefault="007C2A6E" w:rsidP="001F6669">
            <w:pPr>
              <w:rPr>
                <w:rFonts w:ascii="Arial" w:hAnsi="Arial" w:cs="Arial"/>
                <w:sz w:val="20"/>
                <w:szCs w:val="20"/>
              </w:rPr>
            </w:pP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Challenger case and KC Skywalk case w/ written rubrics for Professionalism</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NSPE Ethics quiz for ethical responsibilities</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Diversity, Risky Tank case w/written rubric</w:t>
            </w:r>
          </w:p>
          <w:p w:rsidR="00EC5CAD" w:rsidRPr="000958C7" w:rsidRDefault="00EC5CAD"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Challenger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91.1%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KC Skywalk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81.3% (spring)  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NSPE Ethics Quiz</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82.6% (spring)  84%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 xml:space="preserve">Risky Tank (Diversity: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72.4% (spring)  91.2%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Students achieving 70% threshold:</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lastRenderedPageBreak/>
              <w:t xml:space="preserve"> 64% (spring)  100% (fall)</w:t>
            </w:r>
          </w:p>
          <w:p w:rsidR="00BA74F3" w:rsidRPr="00BA74F3" w:rsidRDefault="00BA74F3" w:rsidP="001F6669">
            <w:pPr>
              <w:rPr>
                <w:rFonts w:ascii="Arial" w:hAnsi="Arial" w:cs="Arial"/>
                <w:color w:val="000000" w:themeColor="text1"/>
                <w:sz w:val="20"/>
                <w:szCs w:val="20"/>
                <w:u w:val="single"/>
              </w:rPr>
            </w:pPr>
            <w:r w:rsidRPr="00BA74F3">
              <w:rPr>
                <w:rFonts w:ascii="Arial" w:hAnsi="Arial" w:cs="Arial"/>
                <w:color w:val="000000" w:themeColor="text1"/>
                <w:sz w:val="20"/>
                <w:szCs w:val="20"/>
                <w:u w:val="single"/>
              </w:rPr>
              <w:t>Capstone Integrated Project:</w:t>
            </w: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 xml:space="preserve">At the conclusion of the capstone, faculty and advisory board members are asked to assess student work against a variety of outcomes.  </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8A1EAE" w:rsidRDefault="008A1EAE" w:rsidP="001F6669">
            <w:pPr>
              <w:rPr>
                <w:rFonts w:ascii="Arial" w:hAnsi="Arial" w:cs="Arial"/>
                <w:color w:val="000000" w:themeColor="text1"/>
                <w:sz w:val="20"/>
                <w:szCs w:val="20"/>
              </w:rPr>
            </w:pPr>
          </w:p>
          <w:p w:rsidR="007C2A6E" w:rsidRDefault="008A1EAE" w:rsidP="001F6669">
            <w:pPr>
              <w:rPr>
                <w:rFonts w:ascii="Arial" w:hAnsi="Arial" w:cs="Arial"/>
                <w:color w:val="000000" w:themeColor="text1"/>
                <w:sz w:val="20"/>
                <w:szCs w:val="20"/>
              </w:rPr>
            </w:pPr>
            <w:r>
              <w:rPr>
                <w:rFonts w:ascii="Arial" w:hAnsi="Arial" w:cs="Arial"/>
                <w:color w:val="000000" w:themeColor="text1"/>
                <w:sz w:val="20"/>
                <w:szCs w:val="20"/>
              </w:rPr>
              <w:t>Since 2011, o</w:t>
            </w:r>
            <w:r w:rsidRPr="008A1EAE">
              <w:rPr>
                <w:rFonts w:ascii="Arial" w:hAnsi="Arial" w:cs="Arial"/>
                <w:color w:val="000000" w:themeColor="text1"/>
                <w:sz w:val="20"/>
                <w:szCs w:val="20"/>
              </w:rPr>
              <w:t>ne data point was below the 70% threshold of 6.3 on a 9 point Likert Scale.  There was no additional feedback from the employer as to the low rating.</w:t>
            </w:r>
          </w:p>
          <w:p w:rsidR="008A1EAE" w:rsidRPr="000958C7" w:rsidRDefault="008A1EA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r w:rsidR="007C2A6E" w:rsidRPr="000958C7" w:rsidTr="001F6669">
        <w:trPr>
          <w:trHeight w:val="72"/>
        </w:trPr>
        <w:tc>
          <w:tcPr>
            <w:tcW w:w="3708" w:type="dxa"/>
            <w:shd w:val="clear" w:color="auto" w:fill="FFFFFF"/>
            <w:vAlign w:val="center"/>
          </w:tcPr>
          <w:p w:rsidR="007C2A6E" w:rsidRPr="000958C7" w:rsidRDefault="007C2A6E" w:rsidP="001F6669">
            <w:pPr>
              <w:ind w:left="360"/>
              <w:rPr>
                <w:rFonts w:ascii="Arial" w:hAnsi="Arial" w:cs="Arial"/>
                <w:sz w:val="20"/>
                <w:szCs w:val="20"/>
              </w:rPr>
            </w:pPr>
            <w:bookmarkStart w:id="1" w:name="_GoBack"/>
            <w:bookmarkEnd w:id="1"/>
            <w:r w:rsidRPr="000958C7">
              <w:rPr>
                <w:rFonts w:ascii="Arial" w:hAnsi="Arial" w:cs="Arial"/>
                <w:sz w:val="20"/>
                <w:szCs w:val="20"/>
              </w:rPr>
              <w:lastRenderedPageBreak/>
              <w:t>Interpret construction documents, develop a cost estimate and project schedule with assigned resources.</w:t>
            </w:r>
          </w:p>
          <w:p w:rsidR="007C2A6E" w:rsidRPr="000958C7" w:rsidRDefault="007C2A6E" w:rsidP="001F6669">
            <w:pPr>
              <w:ind w:left="360"/>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r w:rsidRPr="000958C7">
              <w:rPr>
                <w:rFonts w:ascii="Arial" w:hAnsi="Arial" w:cs="Arial"/>
                <w:sz w:val="20"/>
                <w:szCs w:val="20"/>
              </w:rPr>
              <w:t>CAT Elective</w:t>
            </w:r>
          </w:p>
          <w:p w:rsidR="007C2A6E" w:rsidRPr="000958C7" w:rsidRDefault="007C2A6E" w:rsidP="001F6669">
            <w:pPr>
              <w:rPr>
                <w:rFonts w:ascii="Arial" w:hAnsi="Arial" w:cs="Arial"/>
                <w:sz w:val="20"/>
                <w:szCs w:val="20"/>
              </w:rPr>
            </w:pPr>
            <w:r w:rsidRPr="000958C7">
              <w:rPr>
                <w:rFonts w:ascii="Arial" w:hAnsi="Arial" w:cs="Arial"/>
                <w:sz w:val="20"/>
                <w:szCs w:val="20"/>
              </w:rPr>
              <w:t>CAT1401</w:t>
            </w:r>
          </w:p>
          <w:p w:rsidR="007C2A6E" w:rsidRPr="000958C7" w:rsidRDefault="007C2A6E" w:rsidP="001F6669">
            <w:pPr>
              <w:rPr>
                <w:rFonts w:ascii="Arial" w:hAnsi="Arial" w:cs="Arial"/>
                <w:sz w:val="20"/>
                <w:szCs w:val="20"/>
              </w:rPr>
            </w:pPr>
            <w:r w:rsidRPr="000958C7">
              <w:rPr>
                <w:rFonts w:ascii="Arial" w:hAnsi="Arial" w:cs="Arial"/>
                <w:sz w:val="20"/>
                <w:szCs w:val="20"/>
              </w:rPr>
              <w:t>CAT2401</w:t>
            </w:r>
          </w:p>
          <w:p w:rsidR="007C2A6E" w:rsidRPr="000958C7" w:rsidRDefault="007C2A6E" w:rsidP="001F6669">
            <w:pPr>
              <w:rPr>
                <w:rFonts w:ascii="Arial" w:hAnsi="Arial" w:cs="Arial"/>
                <w:sz w:val="20"/>
                <w:szCs w:val="20"/>
              </w:rPr>
            </w:pPr>
            <w:r w:rsidRPr="000958C7">
              <w:rPr>
                <w:rFonts w:ascii="Arial" w:hAnsi="Arial" w:cs="Arial"/>
                <w:sz w:val="20"/>
                <w:szCs w:val="20"/>
              </w:rPr>
              <w:t>CAT2782</w:t>
            </w: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At the conclusion of the capstone, faculty and advisory board members are asked to assess student work against a variety of outcomes.  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770098" w:rsidRDefault="00770098" w:rsidP="001F6669">
            <w:pPr>
              <w:rPr>
                <w:rFonts w:ascii="Arial" w:hAnsi="Arial" w:cs="Arial"/>
                <w:color w:val="000000" w:themeColor="text1"/>
                <w:sz w:val="20"/>
                <w:szCs w:val="20"/>
              </w:rPr>
            </w:pPr>
          </w:p>
          <w:p w:rsidR="00770098" w:rsidRPr="000958C7" w:rsidRDefault="00770098" w:rsidP="001F6669">
            <w:pPr>
              <w:rPr>
                <w:rFonts w:ascii="Arial" w:hAnsi="Arial" w:cs="Arial"/>
                <w:color w:val="000000" w:themeColor="text1"/>
                <w:sz w:val="20"/>
                <w:szCs w:val="20"/>
              </w:rPr>
            </w:pPr>
            <w:r w:rsidRPr="00770098">
              <w:rPr>
                <w:rFonts w:ascii="Arial" w:hAnsi="Arial" w:cs="Arial"/>
                <w:color w:val="000000" w:themeColor="text1"/>
                <w:sz w:val="20"/>
                <w:szCs w:val="20"/>
              </w:rPr>
              <w:t>Though the program outcome was changed in 2012, the Research Analytics and Reporting instrument used at the Capstone Dinner and Expo did not update until 2015.  Redefining this program outcome showed an increase in graduation level assessment by the advisory board</w:t>
            </w:r>
            <w:r>
              <w:rPr>
                <w:rFonts w:ascii="Arial" w:hAnsi="Arial" w:cs="Arial"/>
                <w:color w:val="000000" w:themeColor="text1"/>
                <w:sz w:val="20"/>
                <w:szCs w:val="20"/>
              </w:rPr>
              <w: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r w:rsidR="008A71F5" w:rsidRPr="000958C7" w:rsidTr="001F6669">
        <w:trPr>
          <w:trHeight w:val="72"/>
        </w:trPr>
        <w:tc>
          <w:tcPr>
            <w:tcW w:w="3708" w:type="dxa"/>
            <w:shd w:val="clear" w:color="auto" w:fill="FFFFFF"/>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Communicate effectively and professionally through proper use of oral, written and graphic skills.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COM2211</w:t>
            </w:r>
          </w:p>
          <w:p w:rsidR="008A71F5" w:rsidRPr="000958C7" w:rsidRDefault="008A71F5" w:rsidP="008A71F5">
            <w:pPr>
              <w:rPr>
                <w:rFonts w:ascii="Arial" w:hAnsi="Arial" w:cs="Arial"/>
                <w:sz w:val="20"/>
                <w:szCs w:val="20"/>
              </w:rPr>
            </w:pPr>
            <w:r w:rsidRPr="000958C7">
              <w:rPr>
                <w:rFonts w:ascii="Arial" w:hAnsi="Arial" w:cs="Arial"/>
                <w:sz w:val="20"/>
                <w:szCs w:val="20"/>
              </w:rPr>
              <w:t>ENG1101</w:t>
            </w:r>
          </w:p>
          <w:p w:rsidR="008A71F5" w:rsidRDefault="008A71F5" w:rsidP="008A71F5">
            <w:pPr>
              <w:rPr>
                <w:rFonts w:ascii="Arial" w:hAnsi="Arial" w:cs="Arial"/>
                <w:sz w:val="20"/>
                <w:szCs w:val="20"/>
              </w:rPr>
            </w:pPr>
            <w:r w:rsidRPr="000958C7">
              <w:rPr>
                <w:rFonts w:ascii="Arial" w:hAnsi="Arial" w:cs="Arial"/>
                <w:sz w:val="20"/>
                <w:szCs w:val="20"/>
              </w:rPr>
              <w:t>MET1131</w:t>
            </w:r>
          </w:p>
          <w:p w:rsidR="001A6B31" w:rsidRPr="000958C7" w:rsidRDefault="001A6B31" w:rsidP="008A71F5">
            <w:pPr>
              <w:rPr>
                <w:rFonts w:ascii="Arial" w:hAnsi="Arial" w:cs="Arial"/>
                <w:sz w:val="20"/>
                <w:szCs w:val="20"/>
              </w:rPr>
            </w:pPr>
            <w:r>
              <w:rPr>
                <w:rFonts w:ascii="Arial" w:hAnsi="Arial" w:cs="Arial"/>
                <w:sz w:val="20"/>
                <w:szCs w:val="20"/>
              </w:rPr>
              <w:t>MET2711</w:t>
            </w:r>
          </w:p>
          <w:p w:rsidR="008A71F5" w:rsidRPr="000958C7" w:rsidRDefault="008A71F5" w:rsidP="008A71F5">
            <w:pPr>
              <w:rPr>
                <w:rFonts w:ascii="Arial" w:hAnsi="Arial" w:cs="Arial"/>
                <w:sz w:val="20"/>
                <w:szCs w:val="20"/>
              </w:rPr>
            </w:pPr>
          </w:p>
        </w:tc>
        <w:tc>
          <w:tcPr>
            <w:tcW w:w="1430" w:type="dxa"/>
            <w:shd w:val="clear" w:color="auto" w:fill="auto"/>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Oral communication: real-world ethics case presentation graded by rubric</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 xml:space="preserve">Written communication, final case graded by rubric </w:t>
            </w:r>
          </w:p>
          <w:p w:rsidR="008A71F5" w:rsidRPr="000958C7" w:rsidRDefault="008A71F5" w:rsidP="00EC5CAD">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Real-world ethics case oral presentation: Average score: 87.6% (spring)  95.3%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color w:val="000000" w:themeColor="text1"/>
                <w:sz w:val="20"/>
                <w:szCs w:val="20"/>
              </w:rPr>
              <w:t xml:space="preserve">Final ethics case: </w:t>
            </w:r>
            <w:r w:rsidRPr="000958C7">
              <w:rPr>
                <w:rFonts w:ascii="Arial" w:hAnsi="Arial" w:cs="Arial"/>
                <w:bCs/>
                <w:sz w:val="20"/>
                <w:szCs w:val="20"/>
              </w:rPr>
              <w:t>Average score: 84% (spring)  88.2%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91% threshold: </w:t>
            </w:r>
          </w:p>
          <w:p w:rsidR="00EC5CAD" w:rsidRPr="000958C7" w:rsidRDefault="00EC5CAD" w:rsidP="00EC5CAD">
            <w:pPr>
              <w:rPr>
                <w:rFonts w:ascii="Arial" w:hAnsi="Arial" w:cs="Arial"/>
                <w:sz w:val="20"/>
                <w:szCs w:val="20"/>
              </w:rPr>
            </w:pPr>
            <w:r w:rsidRPr="000958C7">
              <w:rPr>
                <w:rFonts w:ascii="Arial" w:hAnsi="Arial" w:cs="Arial"/>
                <w:bCs/>
                <w:sz w:val="20"/>
                <w:szCs w:val="20"/>
              </w:rPr>
              <w:t>100% (spring)  100% (fall)</w:t>
            </w:r>
          </w:p>
          <w:p w:rsidR="00F232D9" w:rsidRPr="000958C7"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F232D9" w:rsidRPr="000958C7" w:rsidRDefault="00F232D9" w:rsidP="00F232D9">
            <w:pPr>
              <w:rPr>
                <w:rFonts w:ascii="Arial" w:hAnsi="Arial" w:cs="Arial"/>
                <w:sz w:val="20"/>
                <w:szCs w:val="20"/>
              </w:rPr>
            </w:pPr>
          </w:p>
          <w:p w:rsidR="001A6B31" w:rsidRPr="001A6B31" w:rsidRDefault="00F232D9" w:rsidP="001A6B31">
            <w:pPr>
              <w:rPr>
                <w:rFonts w:ascii="Arial" w:hAnsi="Arial" w:cs="Arial"/>
                <w:bCs/>
                <w:sz w:val="20"/>
                <w:szCs w:val="20"/>
              </w:rPr>
            </w:pPr>
            <w:r w:rsidRPr="000958C7">
              <w:rPr>
                <w:rFonts w:ascii="Arial" w:hAnsi="Arial" w:cs="Arial"/>
                <w:sz w:val="20"/>
                <w:szCs w:val="20"/>
              </w:rPr>
              <w:t>Advisory board members are surveyed at the Capstone Dinner and Expo and rank student success in this outcome.</w:t>
            </w:r>
            <w:r w:rsidR="001A6B31">
              <w:rPr>
                <w:rFonts w:ascii="Arial" w:hAnsi="Arial" w:cs="Arial"/>
                <w:sz w:val="20"/>
                <w:szCs w:val="20"/>
              </w:rPr>
              <w:t xml:space="preserve">  </w:t>
            </w:r>
            <w:r w:rsidR="001A6B31" w:rsidRPr="001A6B31">
              <w:rPr>
                <w:rFonts w:ascii="Arial" w:hAnsi="Arial" w:cs="Arial"/>
                <w:bCs/>
                <w:sz w:val="20"/>
                <w:szCs w:val="20"/>
              </w:rPr>
              <w:t>Advisory board feedback for this outcome a dramatic increase in achievement from the previous year, most likely because RAR finally changed the outcome to reflect the proper communicate outcome, not the Civil Engineering Technology outcome of using surveying equipment.</w:t>
            </w:r>
            <w:r w:rsidR="001A6B31">
              <w:rPr>
                <w:rFonts w:ascii="Arial" w:hAnsi="Arial" w:cs="Arial"/>
                <w:bCs/>
                <w:sz w:val="20"/>
                <w:szCs w:val="20"/>
              </w:rPr>
              <w:t xml:space="preserve">  </w:t>
            </w:r>
            <w:r w:rsidR="001A6B31" w:rsidRPr="001A6B31">
              <w:rPr>
                <w:rFonts w:ascii="Arial" w:hAnsi="Arial" w:cs="Arial"/>
                <w:bCs/>
                <w:sz w:val="20"/>
                <w:szCs w:val="20"/>
              </w:rPr>
              <w:t>Student achievement was rated at 8.5 on a 9 point Likert Scale.</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r w:rsidR="008A71F5" w:rsidRPr="000958C7" w:rsidTr="001F6669">
        <w:tblPrEx>
          <w:shd w:val="clear" w:color="auto" w:fill="auto"/>
          <w:tblLook w:val="04A0" w:firstRow="1" w:lastRow="0" w:firstColumn="1" w:lastColumn="0" w:noHBand="0" w:noVBand="1"/>
        </w:tblPrEx>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Function effectively in teams by demonstrating a cooperative effort to evaluate and solve problems and to develop and implement plans.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r w:rsidRPr="000958C7">
              <w:rPr>
                <w:rFonts w:ascii="Arial" w:hAnsi="Arial" w:cs="Arial"/>
                <w:sz w:val="20"/>
                <w:szCs w:val="20"/>
              </w:rPr>
              <w:t>CAT Elective CAT1501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CAT2700</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8A71F5" w:rsidRPr="000958C7" w:rsidRDefault="008A71F5" w:rsidP="008A71F5">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F232D9"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9D2C0A" w:rsidRDefault="009D2C0A" w:rsidP="00F232D9">
            <w:pPr>
              <w:rPr>
                <w:rFonts w:ascii="Arial" w:hAnsi="Arial" w:cs="Arial"/>
                <w:sz w:val="20"/>
                <w:szCs w:val="20"/>
              </w:rPr>
            </w:pPr>
          </w:p>
          <w:p w:rsidR="009D2C0A" w:rsidRPr="000958C7" w:rsidRDefault="009D2C0A" w:rsidP="00F232D9">
            <w:pPr>
              <w:rPr>
                <w:rFonts w:ascii="Arial" w:hAnsi="Arial" w:cs="Arial"/>
                <w:sz w:val="20"/>
                <w:szCs w:val="20"/>
              </w:rPr>
            </w:pPr>
            <w:r w:rsidRPr="009D2C0A">
              <w:rPr>
                <w:rFonts w:ascii="Arial" w:hAnsi="Arial" w:cs="Arial"/>
                <w:sz w:val="20"/>
                <w:szCs w:val="20"/>
              </w:rPr>
              <w:t>Survey results from employers who hosted internship students showed an average rating of 8.6 on a 9 point Likert Scale.  There were no responses below the 70% threshold of 6.3.</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Advisory board members are surveyed at the Capstone Dinner and Expo and rank student success in this outcome.</w:t>
            </w:r>
          </w:p>
          <w:p w:rsidR="00F232D9" w:rsidRDefault="00F232D9" w:rsidP="00F232D9">
            <w:pPr>
              <w:rPr>
                <w:rFonts w:ascii="Arial" w:hAnsi="Arial" w:cs="Arial"/>
                <w:sz w:val="20"/>
                <w:szCs w:val="20"/>
              </w:rPr>
            </w:pPr>
          </w:p>
          <w:p w:rsidR="009D2C0A" w:rsidRDefault="009D2C0A" w:rsidP="00F232D9">
            <w:pPr>
              <w:rPr>
                <w:rFonts w:ascii="Arial" w:hAnsi="Arial" w:cs="Arial"/>
                <w:sz w:val="20"/>
                <w:szCs w:val="20"/>
              </w:rPr>
            </w:pPr>
            <w:r w:rsidRPr="009D2C0A">
              <w:rPr>
                <w:rFonts w:ascii="Arial" w:hAnsi="Arial" w:cs="Arial"/>
                <w:sz w:val="20"/>
                <w:szCs w:val="20"/>
              </w:rPr>
              <w:t>According to the aggregated data, Construction Management Technology students consistently demonstrate satisfactory problem solving skills as applied to construction related challenges.  Capstone Expo attendees rated the performance of the students as high as 8.50 on a 9 point Likert scale.</w:t>
            </w:r>
          </w:p>
          <w:p w:rsidR="009D2C0A" w:rsidRPr="000958C7" w:rsidRDefault="009D2C0A"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bl>
    <w:p w:rsidR="002F2F5D" w:rsidRDefault="002F2F5D">
      <w: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Define the methods, materials and techniques used in the construction process with an emphasis on safety, quality, and continuous improvement.</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 Elective</w:t>
            </w: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CAT1211</w:t>
            </w:r>
          </w:p>
          <w:p w:rsidR="008A71F5" w:rsidRPr="000958C7" w:rsidRDefault="008A71F5" w:rsidP="008A71F5">
            <w:pPr>
              <w:rPr>
                <w:rFonts w:ascii="Arial" w:hAnsi="Arial" w:cs="Arial"/>
                <w:sz w:val="20"/>
                <w:szCs w:val="20"/>
              </w:rPr>
            </w:pPr>
            <w:r w:rsidRPr="000958C7">
              <w:rPr>
                <w:rFonts w:ascii="Arial" w:hAnsi="Arial" w:cs="Arial"/>
                <w:sz w:val="20"/>
                <w:szCs w:val="20"/>
              </w:rPr>
              <w:t>CAT1241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CAT2411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EGV2351</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2016-2017</w:t>
            </w:r>
          </w:p>
        </w:tc>
        <w:tc>
          <w:tcPr>
            <w:tcW w:w="2250" w:type="dxa"/>
          </w:tcPr>
          <w:p w:rsidR="008A71F5" w:rsidRPr="000958C7" w:rsidRDefault="008A71F5" w:rsidP="008A71F5">
            <w:pPr>
              <w:rPr>
                <w:rFonts w:ascii="Arial" w:hAnsi="Arial" w:cs="Arial"/>
                <w:sz w:val="20"/>
                <w:szCs w:val="20"/>
              </w:rPr>
            </w:pPr>
          </w:p>
        </w:tc>
        <w:tc>
          <w:tcPr>
            <w:tcW w:w="4028" w:type="dxa"/>
          </w:tcPr>
          <w:p w:rsidR="0095398E" w:rsidRDefault="0095398E" w:rsidP="008A71F5">
            <w:pPr>
              <w:rPr>
                <w:rFonts w:ascii="Arial" w:hAnsi="Arial" w:cs="Arial"/>
                <w:sz w:val="20"/>
                <w:szCs w:val="20"/>
              </w:rPr>
            </w:pPr>
            <w:r>
              <w:rPr>
                <w:rFonts w:ascii="Arial" w:hAnsi="Arial" w:cs="Arial"/>
                <w:sz w:val="20"/>
                <w:szCs w:val="20"/>
              </w:rPr>
              <w:t>2016/17 Update:  Advisory Board feedback from the CAT2782 Construction Management Technology shows that students scored 8.7 out of 9.0 on a Likert scale concerning mastery of this outcome.</w:t>
            </w:r>
          </w:p>
          <w:p w:rsidR="0095398E" w:rsidRDefault="0095398E" w:rsidP="008A71F5">
            <w:pPr>
              <w:rPr>
                <w:rFonts w:ascii="Arial" w:hAnsi="Arial" w:cs="Arial"/>
                <w:sz w:val="20"/>
                <w:szCs w:val="20"/>
              </w:rPr>
            </w:pPr>
          </w:p>
          <w:p w:rsidR="008A71F5" w:rsidRPr="000958C7" w:rsidRDefault="002F2F5D" w:rsidP="008A71F5">
            <w:pPr>
              <w:rPr>
                <w:rFonts w:ascii="Arial" w:hAnsi="Arial" w:cs="Arial"/>
                <w:sz w:val="20"/>
                <w:szCs w:val="20"/>
              </w:rPr>
            </w:pPr>
            <w:r w:rsidRPr="002F2F5D">
              <w:rPr>
                <w:rFonts w:ascii="Arial" w:hAnsi="Arial" w:cs="Arial"/>
                <w:sz w:val="20"/>
                <w:szCs w:val="20"/>
              </w:rPr>
              <w:t>Though the program outcome was changed in 2012, the Research Analytics and Reporting instrument used at the Capstone Dinner and Expo did not update until 2015.  Redefining this program outcome showed an increase in graduation level assessment by the Capstone Expo attendees</w:t>
            </w:r>
            <w:r>
              <w:rPr>
                <w:rFonts w:ascii="Arial" w:hAnsi="Arial" w:cs="Arial"/>
                <w:sz w:val="20"/>
                <w:szCs w:val="20"/>
              </w:rPr>
              <w:t>.</w:t>
            </w:r>
          </w:p>
        </w:tc>
      </w:tr>
    </w:tbl>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E15D81" w:rsidRDefault="008A71F5" w:rsidP="008A71F5">
            <w:pPr>
              <w:ind w:left="360"/>
              <w:rPr>
                <w:rFonts w:ascii="Arial" w:hAnsi="Arial" w:cs="Arial"/>
                <w:sz w:val="20"/>
                <w:szCs w:val="20"/>
              </w:rPr>
            </w:pPr>
          </w:p>
          <w:p w:rsidR="008A71F5" w:rsidRPr="00E15D81" w:rsidRDefault="008A71F5" w:rsidP="008A71F5">
            <w:pPr>
              <w:ind w:left="360"/>
              <w:rPr>
                <w:rFonts w:ascii="Arial" w:hAnsi="Arial" w:cs="Arial"/>
                <w:sz w:val="20"/>
                <w:szCs w:val="20"/>
              </w:rPr>
            </w:pPr>
            <w:r w:rsidRPr="00E15D81">
              <w:rPr>
                <w:rFonts w:ascii="Arial" w:hAnsi="Arial" w:cs="Arial"/>
                <w:sz w:val="20"/>
                <w:szCs w:val="20"/>
              </w:rPr>
              <w:t>Employ logical and concise problem-solving techniques to complex problems.</w:t>
            </w:r>
          </w:p>
          <w:p w:rsidR="008A71F5" w:rsidRPr="00E15D81" w:rsidRDefault="008A71F5" w:rsidP="008A71F5">
            <w:pPr>
              <w:rPr>
                <w:rFonts w:ascii="Arial" w:hAnsi="Arial" w:cs="Arial"/>
                <w:sz w:val="20"/>
                <w:szCs w:val="20"/>
              </w:rPr>
            </w:pPr>
          </w:p>
        </w:tc>
        <w:tc>
          <w:tcPr>
            <w:tcW w:w="1742" w:type="dxa"/>
            <w:vAlign w:val="center"/>
          </w:tcPr>
          <w:p w:rsidR="008A71F5" w:rsidRPr="00E15D81" w:rsidRDefault="008A71F5" w:rsidP="008A71F5">
            <w:pPr>
              <w:rPr>
                <w:rFonts w:ascii="Arial" w:hAnsi="Arial" w:cs="Arial"/>
                <w:sz w:val="20"/>
                <w:szCs w:val="20"/>
              </w:rPr>
            </w:pPr>
          </w:p>
          <w:p w:rsidR="008A71F5" w:rsidRPr="00E15D81" w:rsidRDefault="008A71F5" w:rsidP="008A71F5">
            <w:pPr>
              <w:rPr>
                <w:rFonts w:ascii="Arial" w:hAnsi="Arial" w:cs="Arial"/>
                <w:sz w:val="20"/>
                <w:szCs w:val="20"/>
              </w:rPr>
            </w:pPr>
          </w:p>
          <w:p w:rsidR="008A71F5" w:rsidRPr="00E15D81" w:rsidRDefault="008A71F5" w:rsidP="008A71F5">
            <w:pPr>
              <w:rPr>
                <w:rFonts w:ascii="Arial" w:hAnsi="Arial" w:cs="Arial"/>
                <w:sz w:val="20"/>
                <w:szCs w:val="20"/>
              </w:rPr>
            </w:pPr>
            <w:r w:rsidRPr="00E15D81">
              <w:rPr>
                <w:rFonts w:ascii="Arial" w:hAnsi="Arial" w:cs="Arial"/>
                <w:sz w:val="20"/>
                <w:szCs w:val="20"/>
              </w:rPr>
              <w:t>CAT Elective</w:t>
            </w:r>
          </w:p>
          <w:p w:rsidR="008A71F5" w:rsidRPr="00E15D81" w:rsidRDefault="008A71F5" w:rsidP="008A71F5">
            <w:pPr>
              <w:rPr>
                <w:rFonts w:ascii="Arial" w:hAnsi="Arial" w:cs="Arial"/>
                <w:sz w:val="20"/>
                <w:szCs w:val="20"/>
              </w:rPr>
            </w:pPr>
            <w:r w:rsidRPr="00E15D81">
              <w:rPr>
                <w:rFonts w:ascii="Arial" w:hAnsi="Arial" w:cs="Arial"/>
                <w:sz w:val="20"/>
                <w:szCs w:val="20"/>
              </w:rPr>
              <w:t>CAT1101</w:t>
            </w:r>
          </w:p>
          <w:p w:rsidR="008A71F5" w:rsidRPr="00E15D81" w:rsidRDefault="008A71F5" w:rsidP="008A71F5">
            <w:pPr>
              <w:rPr>
                <w:rFonts w:ascii="Arial" w:hAnsi="Arial" w:cs="Arial"/>
                <w:sz w:val="20"/>
                <w:szCs w:val="20"/>
              </w:rPr>
            </w:pPr>
            <w:r w:rsidRPr="00E15D81">
              <w:rPr>
                <w:rFonts w:ascii="Arial" w:hAnsi="Arial" w:cs="Arial"/>
                <w:sz w:val="20"/>
                <w:szCs w:val="20"/>
              </w:rPr>
              <w:t>CAT1121</w:t>
            </w:r>
          </w:p>
          <w:p w:rsidR="008A71F5" w:rsidRPr="00E15D81" w:rsidRDefault="008A71F5" w:rsidP="008A71F5">
            <w:pPr>
              <w:rPr>
                <w:rFonts w:ascii="Arial" w:hAnsi="Arial" w:cs="Arial"/>
                <w:sz w:val="20"/>
                <w:szCs w:val="20"/>
              </w:rPr>
            </w:pPr>
            <w:r w:rsidRPr="00E15D81">
              <w:rPr>
                <w:rFonts w:ascii="Arial" w:hAnsi="Arial" w:cs="Arial"/>
                <w:sz w:val="20"/>
                <w:szCs w:val="20"/>
              </w:rPr>
              <w:t>CAT1201</w:t>
            </w:r>
          </w:p>
          <w:p w:rsidR="008A71F5" w:rsidRPr="00E15D81" w:rsidRDefault="008A71F5" w:rsidP="008A71F5">
            <w:pPr>
              <w:rPr>
                <w:rFonts w:ascii="Arial" w:hAnsi="Arial" w:cs="Arial"/>
                <w:sz w:val="20"/>
                <w:szCs w:val="20"/>
              </w:rPr>
            </w:pPr>
            <w:r w:rsidRPr="00E15D81">
              <w:rPr>
                <w:rFonts w:ascii="Arial" w:hAnsi="Arial" w:cs="Arial"/>
                <w:sz w:val="20"/>
                <w:szCs w:val="20"/>
              </w:rPr>
              <w:t>CAT1241</w:t>
            </w:r>
          </w:p>
          <w:p w:rsidR="008A71F5" w:rsidRPr="00E15D81" w:rsidRDefault="008A71F5" w:rsidP="008A71F5">
            <w:pPr>
              <w:rPr>
                <w:rFonts w:ascii="Arial" w:hAnsi="Arial" w:cs="Arial"/>
                <w:sz w:val="20"/>
                <w:szCs w:val="20"/>
              </w:rPr>
            </w:pPr>
            <w:r w:rsidRPr="00E15D81">
              <w:rPr>
                <w:rFonts w:ascii="Arial" w:hAnsi="Arial" w:cs="Arial"/>
                <w:sz w:val="20"/>
                <w:szCs w:val="20"/>
              </w:rPr>
              <w:t>CAT1401</w:t>
            </w:r>
          </w:p>
          <w:p w:rsidR="008A71F5" w:rsidRPr="00E15D81" w:rsidRDefault="008A71F5" w:rsidP="008A71F5">
            <w:pPr>
              <w:rPr>
                <w:rFonts w:ascii="Arial" w:hAnsi="Arial" w:cs="Arial"/>
                <w:sz w:val="20"/>
                <w:szCs w:val="20"/>
              </w:rPr>
            </w:pPr>
            <w:r w:rsidRPr="00E15D81">
              <w:rPr>
                <w:rFonts w:ascii="Arial" w:hAnsi="Arial" w:cs="Arial"/>
                <w:sz w:val="20"/>
                <w:szCs w:val="20"/>
              </w:rPr>
              <w:t>CAT2401</w:t>
            </w:r>
          </w:p>
          <w:p w:rsidR="008A71F5" w:rsidRPr="00E15D81" w:rsidRDefault="008A71F5" w:rsidP="008A71F5">
            <w:pPr>
              <w:rPr>
                <w:rFonts w:ascii="Arial" w:hAnsi="Arial" w:cs="Arial"/>
                <w:sz w:val="20"/>
                <w:szCs w:val="20"/>
              </w:rPr>
            </w:pPr>
            <w:r w:rsidRPr="00E15D81">
              <w:rPr>
                <w:rFonts w:ascii="Arial" w:hAnsi="Arial" w:cs="Arial"/>
                <w:sz w:val="20"/>
                <w:szCs w:val="20"/>
              </w:rPr>
              <w:t>CAT2782</w:t>
            </w:r>
          </w:p>
          <w:p w:rsidR="008A71F5" w:rsidRPr="00E15D81" w:rsidRDefault="008A71F5" w:rsidP="008A71F5">
            <w:pPr>
              <w:rPr>
                <w:rFonts w:ascii="Arial" w:hAnsi="Arial" w:cs="Arial"/>
                <w:sz w:val="20"/>
                <w:szCs w:val="20"/>
              </w:rPr>
            </w:pPr>
            <w:r w:rsidRPr="00E15D81">
              <w:rPr>
                <w:rFonts w:ascii="Arial" w:hAnsi="Arial" w:cs="Arial"/>
                <w:sz w:val="20"/>
                <w:szCs w:val="20"/>
              </w:rPr>
              <w:t>MAT1580</w:t>
            </w:r>
          </w:p>
          <w:p w:rsidR="008A71F5" w:rsidRPr="00E15D81" w:rsidRDefault="008A71F5" w:rsidP="000A05D5">
            <w:pPr>
              <w:rPr>
                <w:rFonts w:ascii="Arial" w:hAnsi="Arial" w:cs="Arial"/>
                <w:sz w:val="20"/>
                <w:szCs w:val="20"/>
              </w:rPr>
            </w:pPr>
            <w:r w:rsidRPr="00E15D81">
              <w:rPr>
                <w:rFonts w:ascii="Arial" w:hAnsi="Arial" w:cs="Arial"/>
                <w:sz w:val="20"/>
                <w:szCs w:val="20"/>
              </w:rPr>
              <w:t>PHY1141</w:t>
            </w:r>
          </w:p>
        </w:tc>
        <w:tc>
          <w:tcPr>
            <w:tcW w:w="1430" w:type="dxa"/>
          </w:tcPr>
          <w:p w:rsidR="008A71F5" w:rsidRPr="00E15D81" w:rsidRDefault="008A71F5" w:rsidP="008A71F5">
            <w:pPr>
              <w:rPr>
                <w:rFonts w:ascii="Arial" w:hAnsi="Arial" w:cs="Arial"/>
                <w:sz w:val="20"/>
                <w:szCs w:val="20"/>
              </w:rPr>
            </w:pPr>
            <w:r w:rsidRPr="00E15D81">
              <w:rPr>
                <w:rFonts w:ascii="Arial" w:hAnsi="Arial" w:cs="Arial"/>
                <w:sz w:val="20"/>
                <w:szCs w:val="20"/>
              </w:rPr>
              <w:t>2017-2018</w:t>
            </w:r>
          </w:p>
        </w:tc>
        <w:tc>
          <w:tcPr>
            <w:tcW w:w="2250" w:type="dxa"/>
          </w:tcPr>
          <w:p w:rsidR="008A71F5" w:rsidRPr="00E15D81" w:rsidRDefault="008A71F5" w:rsidP="008A71F5">
            <w:pPr>
              <w:rPr>
                <w:rFonts w:ascii="Arial" w:hAnsi="Arial" w:cs="Arial"/>
                <w:sz w:val="20"/>
                <w:szCs w:val="20"/>
              </w:rPr>
            </w:pPr>
          </w:p>
        </w:tc>
        <w:tc>
          <w:tcPr>
            <w:tcW w:w="4028" w:type="dxa"/>
          </w:tcPr>
          <w:p w:rsidR="00E15D81" w:rsidRPr="00E15D81" w:rsidRDefault="00E15D81" w:rsidP="00BF04C0">
            <w:pPr>
              <w:rPr>
                <w:rFonts w:ascii="Arial" w:hAnsi="Arial" w:cs="Arial"/>
                <w:sz w:val="20"/>
                <w:szCs w:val="20"/>
              </w:rPr>
            </w:pPr>
            <w:r w:rsidRPr="00E15D81">
              <w:rPr>
                <w:rFonts w:ascii="Arial" w:hAnsi="Arial" w:cs="Arial"/>
                <w:sz w:val="20"/>
                <w:szCs w:val="20"/>
              </w:rPr>
              <w:t xml:space="preserve">2017/18 Update:  According to aggregated data </w:t>
            </w:r>
            <w:r w:rsidR="001A0F07">
              <w:rPr>
                <w:rFonts w:ascii="Arial" w:hAnsi="Arial" w:cs="Arial"/>
                <w:sz w:val="20"/>
                <w:szCs w:val="20"/>
              </w:rPr>
              <w:t xml:space="preserve">tabulated by RAR, </w:t>
            </w:r>
            <w:r w:rsidRPr="00E15D81">
              <w:rPr>
                <w:rFonts w:ascii="Arial" w:hAnsi="Arial" w:cs="Arial"/>
                <w:sz w:val="20"/>
                <w:szCs w:val="20"/>
              </w:rPr>
              <w:t xml:space="preserve">the department’s annual Capstone Expo, attendees rated the performance of students </w:t>
            </w:r>
            <w:proofErr w:type="gramStart"/>
            <w:r w:rsidRPr="00E15D81">
              <w:rPr>
                <w:rFonts w:ascii="Arial" w:hAnsi="Arial" w:cs="Arial"/>
                <w:sz w:val="20"/>
                <w:szCs w:val="20"/>
              </w:rPr>
              <w:t>an</w:t>
            </w:r>
            <w:proofErr w:type="gramEnd"/>
            <w:r w:rsidRPr="00E15D81">
              <w:rPr>
                <w:rFonts w:ascii="Arial" w:hAnsi="Arial" w:cs="Arial"/>
                <w:sz w:val="20"/>
                <w:szCs w:val="20"/>
              </w:rPr>
              <w:t xml:space="preserve"> average of 8.08 on a 9 point Likert scale.  </w:t>
            </w:r>
          </w:p>
          <w:p w:rsidR="00E15D81" w:rsidRPr="00E15D81" w:rsidRDefault="00E15D81" w:rsidP="00BF04C0">
            <w:pPr>
              <w:rPr>
                <w:rFonts w:ascii="Arial" w:hAnsi="Arial" w:cs="Arial"/>
                <w:sz w:val="20"/>
                <w:szCs w:val="20"/>
              </w:rPr>
            </w:pPr>
          </w:p>
          <w:p w:rsidR="008A71F5" w:rsidRPr="00E15D81" w:rsidRDefault="00BF04C0" w:rsidP="00BF04C0">
            <w:pPr>
              <w:rPr>
                <w:rFonts w:ascii="Arial" w:hAnsi="Arial" w:cs="Arial"/>
                <w:sz w:val="20"/>
                <w:szCs w:val="20"/>
              </w:rPr>
            </w:pPr>
            <w:r w:rsidRPr="00E15D81">
              <w:rPr>
                <w:rFonts w:ascii="Arial" w:hAnsi="Arial" w:cs="Arial"/>
                <w:sz w:val="20"/>
                <w:szCs w:val="20"/>
              </w:rPr>
              <w:t>Survey results from employers who hosted internship students averaged 7.5 on a 9 point Likert scale.  Two responses indicated student ability was less than the 70% threshold of 6.3.</w:t>
            </w:r>
          </w:p>
          <w:p w:rsidR="00BF04C0" w:rsidRPr="00E15D81" w:rsidRDefault="00BF04C0" w:rsidP="00BF04C0">
            <w:pPr>
              <w:rPr>
                <w:rFonts w:ascii="Arial" w:hAnsi="Arial" w:cs="Arial"/>
                <w:sz w:val="20"/>
                <w:szCs w:val="20"/>
              </w:rPr>
            </w:pPr>
          </w:p>
          <w:p w:rsidR="00BF04C0" w:rsidRPr="00E15D81" w:rsidRDefault="00BF04C0" w:rsidP="001B22C8">
            <w:pPr>
              <w:rPr>
                <w:rFonts w:ascii="Arial" w:hAnsi="Arial" w:cs="Arial"/>
                <w:sz w:val="20"/>
                <w:szCs w:val="20"/>
              </w:rPr>
            </w:pPr>
            <w:r w:rsidRPr="00E15D81">
              <w:rPr>
                <w:rFonts w:ascii="Arial" w:hAnsi="Arial" w:cs="Arial"/>
                <w:sz w:val="20"/>
                <w:szCs w:val="20"/>
              </w:rPr>
              <w:t xml:space="preserve">According to the aggregated </w:t>
            </w:r>
            <w:r w:rsidR="001B22C8" w:rsidRPr="00E15D81">
              <w:rPr>
                <w:rFonts w:ascii="Arial" w:hAnsi="Arial" w:cs="Arial"/>
                <w:sz w:val="20"/>
                <w:szCs w:val="20"/>
              </w:rPr>
              <w:t>data, Construction</w:t>
            </w:r>
            <w:r w:rsidRPr="00E15D81">
              <w:rPr>
                <w:rFonts w:ascii="Arial" w:hAnsi="Arial" w:cs="Arial"/>
                <w:sz w:val="20"/>
                <w:szCs w:val="20"/>
              </w:rPr>
              <w:t xml:space="preserve"> Management Technology students consistently demonstrate satisfactory problem solving skills as applied to construction management problems.  Capstone Expo attendees rated the performance of the students as high as 8.33 on a 9 point Likert scale.</w:t>
            </w:r>
          </w:p>
        </w:tc>
      </w:tr>
    </w:tbl>
    <w:p w:rsidR="003C59D8" w:rsidRPr="000958C7" w:rsidRDefault="003C59D8" w:rsidP="001D736E">
      <w:pPr>
        <w:pStyle w:val="ListParagraph"/>
        <w:tabs>
          <w:tab w:val="left" w:pos="5040"/>
        </w:tabs>
        <w:ind w:left="360"/>
        <w:rPr>
          <w:rFonts w:ascii="Arial" w:hAnsi="Arial" w:cs="Arial"/>
          <w:color w:val="000000" w:themeColor="text1"/>
          <w:sz w:val="20"/>
          <w:szCs w:val="20"/>
        </w:rPr>
      </w:pPr>
    </w:p>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lastRenderedPageBreak/>
              <w:t xml:space="preserve">Are changes planned as a result of the assessment of program outcomes?  If so, what are those changes?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5408" w:rsidRDefault="00CC5B4C" w:rsidP="00CC5B4C">
            <w:pPr>
              <w:rPr>
                <w:rFonts w:ascii="Arial" w:hAnsi="Arial" w:cs="Arial"/>
                <w:color w:val="000000" w:themeColor="text1"/>
                <w:sz w:val="20"/>
                <w:szCs w:val="20"/>
              </w:rPr>
            </w:pPr>
            <w:r w:rsidRPr="00CC5B4C">
              <w:rPr>
                <w:rFonts w:ascii="Arial" w:hAnsi="Arial" w:cs="Arial"/>
                <w:color w:val="000000" w:themeColor="text1"/>
                <w:sz w:val="20"/>
                <w:szCs w:val="20"/>
              </w:rPr>
              <w:t>Based on the feedback of our onsite accreditation visit from ETAC/ABET, we will be modifying our Program Educational Objectives.</w:t>
            </w:r>
            <w:r>
              <w:rPr>
                <w:rFonts w:ascii="Arial" w:hAnsi="Arial" w:cs="Arial"/>
                <w:color w:val="000000" w:themeColor="text1"/>
                <w:sz w:val="20"/>
                <w:szCs w:val="20"/>
              </w:rPr>
              <w:t xml:space="preserve">  Currently they read:</w:t>
            </w:r>
          </w:p>
          <w:p w:rsidR="00CC5B4C" w:rsidRPr="00CC5B4C" w:rsidRDefault="00CC5B4C" w:rsidP="00CC5B4C">
            <w:pPr>
              <w:numPr>
                <w:ilvl w:val="0"/>
                <w:numId w:val="28"/>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function as a design technician or closely related position in industry.</w:t>
            </w:r>
          </w:p>
          <w:p w:rsidR="00CC5B4C" w:rsidRDefault="00CC5B4C" w:rsidP="00CC5B4C">
            <w:pPr>
              <w:numPr>
                <w:ilvl w:val="0"/>
                <w:numId w:val="28"/>
              </w:numPr>
              <w:spacing w:before="100" w:beforeAutospacing="1" w:after="100" w:afterAutospacing="1"/>
              <w:rPr>
                <w:rFonts w:ascii="Arial" w:hAnsi="Arial" w:cs="Arial"/>
                <w:sz w:val="20"/>
              </w:rPr>
            </w:pPr>
            <w:r w:rsidRPr="00CC5B4C">
              <w:rPr>
                <w:rFonts w:ascii="Arial" w:hAnsi="Arial" w:cs="Arial"/>
                <w:sz w:val="20"/>
              </w:rPr>
              <w:t>Graduates have the knowledge and skills necessary to transfer into a baccalaureate degree program.</w:t>
            </w:r>
          </w:p>
          <w:p w:rsidR="00F95408" w:rsidRDefault="00CC5B4C" w:rsidP="00CC5B4C">
            <w:pPr>
              <w:spacing w:before="100" w:beforeAutospacing="1" w:after="100" w:afterAutospacing="1"/>
              <w:rPr>
                <w:rFonts w:ascii="Arial" w:hAnsi="Arial" w:cs="Arial"/>
                <w:sz w:val="20"/>
              </w:rPr>
            </w:pPr>
            <w:r>
              <w:rPr>
                <w:rFonts w:ascii="Arial" w:hAnsi="Arial" w:cs="Arial"/>
                <w:sz w:val="20"/>
              </w:rPr>
              <w:t>These were deemed to generic and should represent what students will be doing in 3-5 years after graduation.  The department is working with advisory board members to address and change.</w:t>
            </w:r>
          </w:p>
          <w:p w:rsidR="00CC5B4C" w:rsidRPr="000958C7" w:rsidRDefault="00CC5B4C" w:rsidP="00CC5B4C">
            <w:pPr>
              <w:spacing w:before="100" w:beforeAutospacing="1" w:after="100" w:afterAutospacing="1"/>
              <w:rPr>
                <w:rFonts w:ascii="Arial" w:hAnsi="Arial" w:cs="Arial"/>
                <w:color w:val="000000" w:themeColor="text1"/>
                <w:sz w:val="20"/>
                <w:szCs w:val="20"/>
              </w:rPr>
            </w:pPr>
          </w:p>
        </w:tc>
      </w:tr>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How will you determine whether those changes had an impact?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2E2ECD"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Approval from advisory board members.</w:t>
            </w:r>
          </w:p>
          <w:p w:rsidR="00CC5B4C" w:rsidRDefault="00CC5B4C">
            <w:pPr>
              <w:pStyle w:val="ListParagraph"/>
              <w:tabs>
                <w:tab w:val="left" w:pos="5040"/>
              </w:tabs>
              <w:ind w:left="0"/>
              <w:rPr>
                <w:rFonts w:ascii="Arial" w:hAnsi="Arial" w:cs="Arial"/>
                <w:color w:val="000000" w:themeColor="text1"/>
                <w:sz w:val="20"/>
                <w:szCs w:val="20"/>
              </w:rPr>
            </w:pPr>
          </w:p>
          <w:p w:rsidR="00CC5B4C"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Students will be engaged in stated activities 3-5 years after graduation.</w:t>
            </w:r>
          </w:p>
          <w:p w:rsidR="00CC5B4C" w:rsidRDefault="00CC5B4C">
            <w:pPr>
              <w:pStyle w:val="ListParagraph"/>
              <w:tabs>
                <w:tab w:val="left" w:pos="5040"/>
              </w:tabs>
              <w:ind w:left="0"/>
              <w:rPr>
                <w:rFonts w:ascii="Arial" w:hAnsi="Arial" w:cs="Arial"/>
                <w:color w:val="000000" w:themeColor="text1"/>
                <w:sz w:val="20"/>
                <w:szCs w:val="20"/>
              </w:rPr>
            </w:pPr>
          </w:p>
          <w:p w:rsidR="00CC5B4C" w:rsidRPr="000958C7" w:rsidRDefault="00CC5B4C">
            <w:pPr>
              <w:pStyle w:val="ListParagraph"/>
              <w:tabs>
                <w:tab w:val="left" w:pos="5040"/>
              </w:tabs>
              <w:ind w:left="0"/>
              <w:rPr>
                <w:rFonts w:ascii="Arial" w:hAnsi="Arial" w:cs="Arial"/>
                <w:color w:val="000000" w:themeColor="text1"/>
                <w:sz w:val="20"/>
                <w:szCs w:val="20"/>
              </w:rPr>
            </w:pPr>
            <w:r>
              <w:rPr>
                <w:rFonts w:ascii="Arial" w:hAnsi="Arial" w:cs="Arial"/>
                <w:color w:val="000000" w:themeColor="text1"/>
                <w:sz w:val="20"/>
                <w:szCs w:val="20"/>
              </w:rPr>
              <w:t>ETAC/ABET deems the objectives acceptable upon next review.</w:t>
            </w:r>
          </w:p>
          <w:p w:rsidR="00F95408" w:rsidRPr="000958C7" w:rsidRDefault="00F95408">
            <w:pPr>
              <w:pStyle w:val="ListParagraph"/>
              <w:tabs>
                <w:tab w:val="left" w:pos="5040"/>
              </w:tabs>
              <w:ind w:left="0"/>
              <w:rPr>
                <w:rFonts w:ascii="Arial" w:hAnsi="Arial" w:cs="Arial"/>
                <w:color w:val="000000" w:themeColor="text1"/>
                <w:sz w:val="20"/>
                <w:szCs w:val="20"/>
              </w:rPr>
            </w:pPr>
          </w:p>
        </w:tc>
      </w:tr>
    </w:tbl>
    <w:p w:rsidR="003C59D8" w:rsidRDefault="003C59D8"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p>
    <w:p w:rsidR="008F08C7" w:rsidRDefault="008F08C7" w:rsidP="007334E1">
      <w:pPr>
        <w:pStyle w:val="ListParagraph"/>
        <w:tabs>
          <w:tab w:val="left" w:pos="5040"/>
        </w:tabs>
        <w:rPr>
          <w:rFonts w:ascii="Arial" w:hAnsi="Arial" w:cs="Arial"/>
          <w:b/>
          <w:color w:val="000000" w:themeColor="text1"/>
        </w:rPr>
      </w:pPr>
    </w:p>
    <w:p w:rsidR="008F08C7" w:rsidRDefault="008F08C7" w:rsidP="008F08C7">
      <w:pPr>
        <w:rPr>
          <w:b/>
          <w:u w:val="single"/>
        </w:rPr>
      </w:pPr>
      <w:r w:rsidRPr="00256E97">
        <w:rPr>
          <w:b/>
          <w:u w:val="single"/>
        </w:rPr>
        <w:t>OPTIONAL</w:t>
      </w:r>
      <w:r>
        <w:rPr>
          <w:b/>
          <w:u w:val="single"/>
        </w:rPr>
        <w:t>:</w:t>
      </w:r>
    </w:p>
    <w:p w:rsidR="008F08C7" w:rsidRDefault="008F08C7" w:rsidP="008F08C7">
      <w:pPr>
        <w:rPr>
          <w:b/>
          <w:u w:val="single"/>
        </w:rPr>
      </w:pPr>
    </w:p>
    <w:p w:rsidR="008F08C7" w:rsidRPr="00256E97" w:rsidRDefault="009874FD" w:rsidP="008F08C7">
      <w:r>
        <w:rPr>
          <w:noProof/>
        </w:rPr>
        <mc:AlternateContent>
          <mc:Choice Requires="wps">
            <w:drawing>
              <wp:anchor distT="45720" distB="45720" distL="114300" distR="114300" simplePos="0" relativeHeight="251659264" behindDoc="0" locked="0" layoutInCell="1" allowOverlap="1" wp14:anchorId="318EF29F" wp14:editId="53FE8F48">
                <wp:simplePos x="0" y="0"/>
                <wp:positionH relativeFrom="margin">
                  <wp:posOffset>363855</wp:posOffset>
                </wp:positionH>
                <wp:positionV relativeFrom="paragraph">
                  <wp:posOffset>401955</wp:posOffset>
                </wp:positionV>
                <wp:extent cx="82010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1447800"/>
                        </a:xfrm>
                        <a:prstGeom prst="rect">
                          <a:avLst/>
                        </a:prstGeom>
                        <a:solidFill>
                          <a:srgbClr val="FFFFFF"/>
                        </a:solidFill>
                        <a:ln w="25400">
                          <a:solidFill>
                            <a:srgbClr val="000000"/>
                          </a:solidFill>
                          <a:miter lim="800000"/>
                          <a:headEnd/>
                          <a:tailEnd/>
                        </a:ln>
                      </wps:spPr>
                      <wps:txbx>
                        <w:txbxContent>
                          <w:p w:rsidR="009874FD" w:rsidRDefault="009874FD" w:rsidP="00AB6394">
                            <w:pPr>
                              <w:pStyle w:val="ListParagraph"/>
                              <w:numPr>
                                <w:ilvl w:val="0"/>
                                <w:numId w:val="29"/>
                              </w:numPr>
                              <w:spacing w:after="160" w:line="360" w:lineRule="auto"/>
                              <w:rPr>
                                <w:sz w:val="22"/>
                                <w:szCs w:val="22"/>
                              </w:rPr>
                            </w:pPr>
                            <w:r>
                              <w:t xml:space="preserve">Program Educational Objectives </w:t>
                            </w:r>
                            <w:r w:rsidR="00AB6394">
                              <w:t xml:space="preserve">(PEO’s) </w:t>
                            </w:r>
                            <w:r>
                              <w:t xml:space="preserve">and Program Outcomes last approved by Advisory Board on </w:t>
                            </w:r>
                            <w:r w:rsidR="003069B3">
                              <w:t>3 November 2017</w:t>
                            </w:r>
                            <w:r>
                              <w:t>.</w:t>
                            </w:r>
                          </w:p>
                          <w:p w:rsidR="003069B3" w:rsidRPr="0014125F" w:rsidRDefault="003069B3" w:rsidP="003069B3">
                            <w:pPr>
                              <w:numPr>
                                <w:ilvl w:val="0"/>
                                <w:numId w:val="29"/>
                              </w:numPr>
                              <w:spacing w:after="160" w:line="480" w:lineRule="auto"/>
                            </w:pPr>
                            <w:r w:rsidRPr="0014125F">
                              <w:t xml:space="preserve">Prerequisite check completed and changes input to CMT </w:t>
                            </w:r>
                            <w:r>
                              <w:t>in December 2017.</w:t>
                            </w:r>
                          </w:p>
                          <w:p w:rsidR="003069B3" w:rsidRPr="0014125F" w:rsidRDefault="003069B3" w:rsidP="003069B3">
                            <w:pPr>
                              <w:numPr>
                                <w:ilvl w:val="0"/>
                                <w:numId w:val="29"/>
                              </w:numPr>
                              <w:spacing w:after="160" w:line="480" w:lineRule="auto"/>
                            </w:pPr>
                            <w:r w:rsidRPr="0014125F">
                              <w:t xml:space="preserve">Website changes verified </w:t>
                            </w:r>
                            <w:r>
                              <w:t>in December 2017.</w:t>
                            </w:r>
                          </w:p>
                          <w:p w:rsidR="008F08C7" w:rsidRDefault="008F08C7" w:rsidP="008F0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EF29F" id="_x0000_t202" coordsize="21600,21600" o:spt="202" path="m,l,21600r21600,l21600,xe">
                <v:stroke joinstyle="miter"/>
                <v:path gradientshapeok="t" o:connecttype="rect"/>
              </v:shapetype>
              <v:shape id="Text Box 2" o:spid="_x0000_s1026" type="#_x0000_t202" style="position:absolute;margin-left:28.65pt;margin-top:31.65pt;width:645.75pt;height:1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" strokeweight="2pt">
                <v:textbox>
                  <w:txbxContent>
                    <w:p w:rsidR="009874FD" w:rsidRDefault="009874FD" w:rsidP="00AB6394">
                      <w:pPr>
                        <w:pStyle w:val="ListParagraph"/>
                        <w:numPr>
                          <w:ilvl w:val="0"/>
                          <w:numId w:val="29"/>
                        </w:numPr>
                        <w:spacing w:after="160" w:line="360" w:lineRule="auto"/>
                        <w:rPr>
                          <w:sz w:val="22"/>
                          <w:szCs w:val="22"/>
                        </w:rPr>
                      </w:pPr>
                      <w:r>
                        <w:t xml:space="preserve">Program Educational Objectives </w:t>
                      </w:r>
                      <w:r w:rsidR="00AB6394">
                        <w:t xml:space="preserve">(PEO’s) </w:t>
                      </w:r>
                      <w:r>
                        <w:t xml:space="preserve">and Program Outcomes last approved by Advisory Board on </w:t>
                      </w:r>
                      <w:r w:rsidR="003069B3">
                        <w:t>3 November 2017</w:t>
                      </w:r>
                      <w:r>
                        <w:t>.</w:t>
                      </w:r>
                    </w:p>
                    <w:p w:rsidR="003069B3" w:rsidRPr="0014125F" w:rsidRDefault="003069B3" w:rsidP="003069B3">
                      <w:pPr>
                        <w:numPr>
                          <w:ilvl w:val="0"/>
                          <w:numId w:val="29"/>
                        </w:numPr>
                        <w:spacing w:after="160" w:line="480" w:lineRule="auto"/>
                      </w:pPr>
                      <w:bookmarkStart w:id="2" w:name="_GoBack"/>
                      <w:bookmarkEnd w:id="2"/>
                      <w:r w:rsidRPr="0014125F">
                        <w:t xml:space="preserve">Prerequisite check completed and changes input to CMT </w:t>
                      </w:r>
                      <w:r>
                        <w:t>in December 2017.</w:t>
                      </w:r>
                    </w:p>
                    <w:p w:rsidR="003069B3" w:rsidRPr="0014125F" w:rsidRDefault="003069B3" w:rsidP="003069B3">
                      <w:pPr>
                        <w:numPr>
                          <w:ilvl w:val="0"/>
                          <w:numId w:val="29"/>
                        </w:numPr>
                        <w:spacing w:after="160" w:line="480" w:lineRule="auto"/>
                      </w:pPr>
                      <w:r w:rsidRPr="0014125F">
                        <w:t xml:space="preserve">Website changes verified </w:t>
                      </w:r>
                      <w:r>
                        <w:t>in December 2017.</w:t>
                      </w:r>
                    </w:p>
                    <w:p w:rsidR="008F08C7" w:rsidRDefault="008F08C7" w:rsidP="008F08C7"/>
                  </w:txbxContent>
                </v:textbox>
                <w10:wrap type="square" anchorx="margin"/>
              </v:shape>
            </w:pict>
          </mc:Fallback>
        </mc:AlternateContent>
      </w:r>
      <w:r w:rsidR="008F08C7">
        <w:t>Please use the space below to keep track of any annual data that your department wishes to maintain.   This section is completely optional and will not be reviewed by the Division Assessment Coordinators.</w:t>
      </w:r>
    </w:p>
    <w:p w:rsidR="008F08C7" w:rsidRDefault="008F08C7" w:rsidP="007334E1">
      <w:pPr>
        <w:pStyle w:val="ListParagraph"/>
        <w:tabs>
          <w:tab w:val="left" w:pos="5040"/>
        </w:tabs>
        <w:rPr>
          <w:rFonts w:ascii="Arial" w:hAnsi="Arial" w:cs="Arial"/>
          <w:b/>
          <w:color w:val="000000" w:themeColor="text1"/>
        </w:rPr>
      </w:pPr>
    </w:p>
    <w:sectPr w:rsidR="008F08C7"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D2" w:rsidRDefault="00EF34D2" w:rsidP="0094204C">
      <w:r>
        <w:separator/>
      </w:r>
    </w:p>
  </w:endnote>
  <w:endnote w:type="continuationSeparator" w:id="0">
    <w:p w:rsidR="00EF34D2" w:rsidRDefault="00EF34D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1F6669" w:rsidRDefault="001F6669">
        <w:pPr>
          <w:pStyle w:val="Footer"/>
          <w:jc w:val="right"/>
        </w:pPr>
        <w:r>
          <w:fldChar w:fldCharType="begin"/>
        </w:r>
        <w:r>
          <w:instrText xml:space="preserve"> PAGE   \* MERGEFORMAT </w:instrText>
        </w:r>
        <w:r>
          <w:fldChar w:fldCharType="separate"/>
        </w:r>
        <w:r w:rsidR="001A0F07">
          <w:rPr>
            <w:noProof/>
          </w:rPr>
          <w:t>15</w:t>
        </w:r>
        <w:r>
          <w:rPr>
            <w:noProof/>
          </w:rPr>
          <w:fldChar w:fldCharType="end"/>
        </w:r>
      </w:p>
    </w:sdtContent>
  </w:sdt>
  <w:p w:rsidR="001F6669" w:rsidRDefault="001F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D2" w:rsidRDefault="00EF34D2" w:rsidP="0094204C">
      <w:r>
        <w:separator/>
      </w:r>
    </w:p>
  </w:footnote>
  <w:footnote w:type="continuationSeparator" w:id="0">
    <w:p w:rsidR="00EF34D2" w:rsidRDefault="00EF34D2"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0FA1CFD"/>
    <w:multiLevelType w:val="multilevel"/>
    <w:tmpl w:val="BEF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5F9E"/>
    <w:multiLevelType w:val="hybridMultilevel"/>
    <w:tmpl w:val="4D9CC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3430C"/>
    <w:multiLevelType w:val="hybridMultilevel"/>
    <w:tmpl w:val="9D86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754F4F"/>
    <w:multiLevelType w:val="hybridMultilevel"/>
    <w:tmpl w:val="9972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E6449D"/>
    <w:multiLevelType w:val="hybridMultilevel"/>
    <w:tmpl w:val="15D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5159D"/>
    <w:multiLevelType w:val="hybridMultilevel"/>
    <w:tmpl w:val="9D86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2"/>
  </w:num>
  <w:num w:numId="4">
    <w:abstractNumId w:val="19"/>
  </w:num>
  <w:num w:numId="5">
    <w:abstractNumId w:val="4"/>
  </w:num>
  <w:num w:numId="6">
    <w:abstractNumId w:val="16"/>
  </w:num>
  <w:num w:numId="7">
    <w:abstractNumId w:val="24"/>
  </w:num>
  <w:num w:numId="8">
    <w:abstractNumId w:val="21"/>
  </w:num>
  <w:num w:numId="9">
    <w:abstractNumId w:val="2"/>
  </w:num>
  <w:num w:numId="10">
    <w:abstractNumId w:val="27"/>
  </w:num>
  <w:num w:numId="11">
    <w:abstractNumId w:val="0"/>
  </w:num>
  <w:num w:numId="12">
    <w:abstractNumId w:val="23"/>
  </w:num>
  <w:num w:numId="13">
    <w:abstractNumId w:val="18"/>
  </w:num>
  <w:num w:numId="14">
    <w:abstractNumId w:val="6"/>
  </w:num>
  <w:num w:numId="15">
    <w:abstractNumId w:val="5"/>
  </w:num>
  <w:num w:numId="16">
    <w:abstractNumId w:val="15"/>
  </w:num>
  <w:num w:numId="17">
    <w:abstractNumId w:val="29"/>
  </w:num>
  <w:num w:numId="18">
    <w:abstractNumId w:val="7"/>
  </w:num>
  <w:num w:numId="19">
    <w:abstractNumId w:val="20"/>
  </w:num>
  <w:num w:numId="20">
    <w:abstractNumId w:val="7"/>
  </w:num>
  <w:num w:numId="21">
    <w:abstractNumId w:val="11"/>
  </w:num>
  <w:num w:numId="22">
    <w:abstractNumId w:val="22"/>
  </w:num>
  <w:num w:numId="23">
    <w:abstractNumId w:val="9"/>
  </w:num>
  <w:num w:numId="24">
    <w:abstractNumId w:val="26"/>
  </w:num>
  <w:num w:numId="25">
    <w:abstractNumId w:val="28"/>
  </w:num>
  <w:num w:numId="26">
    <w:abstractNumId w:val="13"/>
  </w:num>
  <w:num w:numId="27">
    <w:abstractNumId w:val="14"/>
  </w:num>
  <w:num w:numId="28">
    <w:abstractNumId w:val="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2AF7"/>
    <w:rsid w:val="00051D36"/>
    <w:rsid w:val="00054BFD"/>
    <w:rsid w:val="0005621A"/>
    <w:rsid w:val="00056964"/>
    <w:rsid w:val="00056F33"/>
    <w:rsid w:val="000616F3"/>
    <w:rsid w:val="00063778"/>
    <w:rsid w:val="00064D57"/>
    <w:rsid w:val="00065129"/>
    <w:rsid w:val="000738FE"/>
    <w:rsid w:val="00074BD5"/>
    <w:rsid w:val="00080933"/>
    <w:rsid w:val="0008586C"/>
    <w:rsid w:val="00095265"/>
    <w:rsid w:val="000958C7"/>
    <w:rsid w:val="00097843"/>
    <w:rsid w:val="000A05D5"/>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1D28"/>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0F07"/>
    <w:rsid w:val="001A1B67"/>
    <w:rsid w:val="001A6B31"/>
    <w:rsid w:val="001A7AF7"/>
    <w:rsid w:val="001B22C8"/>
    <w:rsid w:val="001B6007"/>
    <w:rsid w:val="001C202C"/>
    <w:rsid w:val="001C42D0"/>
    <w:rsid w:val="001C5DC3"/>
    <w:rsid w:val="001C62EC"/>
    <w:rsid w:val="001D3E1D"/>
    <w:rsid w:val="001D5757"/>
    <w:rsid w:val="001D7080"/>
    <w:rsid w:val="001D736E"/>
    <w:rsid w:val="001E0764"/>
    <w:rsid w:val="001E7137"/>
    <w:rsid w:val="001F4B9E"/>
    <w:rsid w:val="001F6669"/>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5331"/>
    <w:rsid w:val="0028603C"/>
    <w:rsid w:val="002909A0"/>
    <w:rsid w:val="002922CE"/>
    <w:rsid w:val="00293D8D"/>
    <w:rsid w:val="002A1D8C"/>
    <w:rsid w:val="002A40E1"/>
    <w:rsid w:val="002B7319"/>
    <w:rsid w:val="002C1797"/>
    <w:rsid w:val="002C56AC"/>
    <w:rsid w:val="002D1DFE"/>
    <w:rsid w:val="002D2748"/>
    <w:rsid w:val="002D3CAD"/>
    <w:rsid w:val="002D428E"/>
    <w:rsid w:val="002E175B"/>
    <w:rsid w:val="002E28B0"/>
    <w:rsid w:val="002E2ECD"/>
    <w:rsid w:val="002E548B"/>
    <w:rsid w:val="002E6B01"/>
    <w:rsid w:val="002F2F5D"/>
    <w:rsid w:val="002F63A2"/>
    <w:rsid w:val="00303041"/>
    <w:rsid w:val="003041DD"/>
    <w:rsid w:val="00305AE1"/>
    <w:rsid w:val="003069B3"/>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4810"/>
    <w:rsid w:val="00406228"/>
    <w:rsid w:val="00414645"/>
    <w:rsid w:val="00420480"/>
    <w:rsid w:val="00424E5D"/>
    <w:rsid w:val="00425F46"/>
    <w:rsid w:val="00427020"/>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2D10"/>
    <w:rsid w:val="0048427F"/>
    <w:rsid w:val="00494FDD"/>
    <w:rsid w:val="00495C9D"/>
    <w:rsid w:val="004A14EC"/>
    <w:rsid w:val="004B2EB1"/>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45EAC"/>
    <w:rsid w:val="005531E8"/>
    <w:rsid w:val="0055523C"/>
    <w:rsid w:val="0056489E"/>
    <w:rsid w:val="005674F9"/>
    <w:rsid w:val="00573ECD"/>
    <w:rsid w:val="00585766"/>
    <w:rsid w:val="005863ED"/>
    <w:rsid w:val="005864A4"/>
    <w:rsid w:val="005918B2"/>
    <w:rsid w:val="00597F85"/>
    <w:rsid w:val="005B2B58"/>
    <w:rsid w:val="005B4CD1"/>
    <w:rsid w:val="005C6F9A"/>
    <w:rsid w:val="005D19D9"/>
    <w:rsid w:val="005E5598"/>
    <w:rsid w:val="005F0877"/>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008D"/>
    <w:rsid w:val="006B5D02"/>
    <w:rsid w:val="006B6194"/>
    <w:rsid w:val="006B6639"/>
    <w:rsid w:val="006C142B"/>
    <w:rsid w:val="006C28B1"/>
    <w:rsid w:val="006C4C0B"/>
    <w:rsid w:val="006C4F5E"/>
    <w:rsid w:val="006D67EB"/>
    <w:rsid w:val="006E3686"/>
    <w:rsid w:val="006F0183"/>
    <w:rsid w:val="00713F76"/>
    <w:rsid w:val="00716A26"/>
    <w:rsid w:val="00716A80"/>
    <w:rsid w:val="00732CD0"/>
    <w:rsid w:val="007334E1"/>
    <w:rsid w:val="00740D35"/>
    <w:rsid w:val="00746675"/>
    <w:rsid w:val="0075014F"/>
    <w:rsid w:val="00751FC5"/>
    <w:rsid w:val="00770098"/>
    <w:rsid w:val="00781DA4"/>
    <w:rsid w:val="007825CC"/>
    <w:rsid w:val="007856A2"/>
    <w:rsid w:val="0078669D"/>
    <w:rsid w:val="00786C06"/>
    <w:rsid w:val="00786F00"/>
    <w:rsid w:val="00791FF2"/>
    <w:rsid w:val="0079281D"/>
    <w:rsid w:val="00794EA2"/>
    <w:rsid w:val="007A2E02"/>
    <w:rsid w:val="007A43CE"/>
    <w:rsid w:val="007A4B8E"/>
    <w:rsid w:val="007B695B"/>
    <w:rsid w:val="007C1FEF"/>
    <w:rsid w:val="007C2A6E"/>
    <w:rsid w:val="007C46D3"/>
    <w:rsid w:val="007C564B"/>
    <w:rsid w:val="007C74F5"/>
    <w:rsid w:val="007D68EA"/>
    <w:rsid w:val="007E36F4"/>
    <w:rsid w:val="007F45E6"/>
    <w:rsid w:val="007F66F9"/>
    <w:rsid w:val="007F6B61"/>
    <w:rsid w:val="0080292B"/>
    <w:rsid w:val="008034BE"/>
    <w:rsid w:val="008056C5"/>
    <w:rsid w:val="00805C23"/>
    <w:rsid w:val="00807113"/>
    <w:rsid w:val="00817DDA"/>
    <w:rsid w:val="00821011"/>
    <w:rsid w:val="008258DA"/>
    <w:rsid w:val="00827AE5"/>
    <w:rsid w:val="00847243"/>
    <w:rsid w:val="008642E1"/>
    <w:rsid w:val="008672B0"/>
    <w:rsid w:val="008753AC"/>
    <w:rsid w:val="00875A7C"/>
    <w:rsid w:val="00877383"/>
    <w:rsid w:val="00880686"/>
    <w:rsid w:val="008823C2"/>
    <w:rsid w:val="008836F4"/>
    <w:rsid w:val="00884AC0"/>
    <w:rsid w:val="008860C1"/>
    <w:rsid w:val="008909D4"/>
    <w:rsid w:val="008942FA"/>
    <w:rsid w:val="00897A68"/>
    <w:rsid w:val="008A1EAE"/>
    <w:rsid w:val="008A700A"/>
    <w:rsid w:val="008A71F5"/>
    <w:rsid w:val="008B52A0"/>
    <w:rsid w:val="008B565C"/>
    <w:rsid w:val="008B5B2E"/>
    <w:rsid w:val="008D4D55"/>
    <w:rsid w:val="008E063A"/>
    <w:rsid w:val="008F08C7"/>
    <w:rsid w:val="008F35AA"/>
    <w:rsid w:val="008F3D47"/>
    <w:rsid w:val="008F41A6"/>
    <w:rsid w:val="008F6C19"/>
    <w:rsid w:val="009108ED"/>
    <w:rsid w:val="00912C50"/>
    <w:rsid w:val="00912D18"/>
    <w:rsid w:val="00915CDA"/>
    <w:rsid w:val="00920FCA"/>
    <w:rsid w:val="009248F7"/>
    <w:rsid w:val="00925394"/>
    <w:rsid w:val="0092540D"/>
    <w:rsid w:val="009268A3"/>
    <w:rsid w:val="009364E3"/>
    <w:rsid w:val="00937F66"/>
    <w:rsid w:val="0094204C"/>
    <w:rsid w:val="009437A5"/>
    <w:rsid w:val="00946DF5"/>
    <w:rsid w:val="00952FA6"/>
    <w:rsid w:val="0095398E"/>
    <w:rsid w:val="00963DD8"/>
    <w:rsid w:val="00967CBE"/>
    <w:rsid w:val="00971EB2"/>
    <w:rsid w:val="00981D62"/>
    <w:rsid w:val="009874FD"/>
    <w:rsid w:val="00990D45"/>
    <w:rsid w:val="00993B62"/>
    <w:rsid w:val="00996A65"/>
    <w:rsid w:val="009A2F4E"/>
    <w:rsid w:val="009A616E"/>
    <w:rsid w:val="009A69F0"/>
    <w:rsid w:val="009A7187"/>
    <w:rsid w:val="009B0BEA"/>
    <w:rsid w:val="009B6429"/>
    <w:rsid w:val="009C1092"/>
    <w:rsid w:val="009D2C0A"/>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7413"/>
    <w:rsid w:val="00A51345"/>
    <w:rsid w:val="00A54831"/>
    <w:rsid w:val="00A6078F"/>
    <w:rsid w:val="00A62968"/>
    <w:rsid w:val="00A63ACE"/>
    <w:rsid w:val="00A7020C"/>
    <w:rsid w:val="00A8476F"/>
    <w:rsid w:val="00A93BDE"/>
    <w:rsid w:val="00AA34E0"/>
    <w:rsid w:val="00AA366C"/>
    <w:rsid w:val="00AA7DF9"/>
    <w:rsid w:val="00AB6394"/>
    <w:rsid w:val="00AC0386"/>
    <w:rsid w:val="00AC62F8"/>
    <w:rsid w:val="00AD4FA7"/>
    <w:rsid w:val="00AE4AD2"/>
    <w:rsid w:val="00AE5F43"/>
    <w:rsid w:val="00AF1271"/>
    <w:rsid w:val="00AF4B41"/>
    <w:rsid w:val="00AF6A23"/>
    <w:rsid w:val="00B02892"/>
    <w:rsid w:val="00B050BF"/>
    <w:rsid w:val="00B11028"/>
    <w:rsid w:val="00B11F28"/>
    <w:rsid w:val="00B27095"/>
    <w:rsid w:val="00B31728"/>
    <w:rsid w:val="00B34F9E"/>
    <w:rsid w:val="00B42C55"/>
    <w:rsid w:val="00B44B23"/>
    <w:rsid w:val="00B4625A"/>
    <w:rsid w:val="00B50E5D"/>
    <w:rsid w:val="00B526C7"/>
    <w:rsid w:val="00B57D15"/>
    <w:rsid w:val="00B608D5"/>
    <w:rsid w:val="00B61167"/>
    <w:rsid w:val="00B61D81"/>
    <w:rsid w:val="00B636CF"/>
    <w:rsid w:val="00B64443"/>
    <w:rsid w:val="00B700A5"/>
    <w:rsid w:val="00B71307"/>
    <w:rsid w:val="00B75DD0"/>
    <w:rsid w:val="00B764F8"/>
    <w:rsid w:val="00B81607"/>
    <w:rsid w:val="00B8227E"/>
    <w:rsid w:val="00B851FA"/>
    <w:rsid w:val="00B90F20"/>
    <w:rsid w:val="00B91F1E"/>
    <w:rsid w:val="00B95331"/>
    <w:rsid w:val="00B95D4E"/>
    <w:rsid w:val="00B971D1"/>
    <w:rsid w:val="00B9789D"/>
    <w:rsid w:val="00BA3246"/>
    <w:rsid w:val="00BA411F"/>
    <w:rsid w:val="00BA4169"/>
    <w:rsid w:val="00BA527A"/>
    <w:rsid w:val="00BA74F3"/>
    <w:rsid w:val="00BB272C"/>
    <w:rsid w:val="00BB28CF"/>
    <w:rsid w:val="00BB4ABC"/>
    <w:rsid w:val="00BB4C9F"/>
    <w:rsid w:val="00BB5574"/>
    <w:rsid w:val="00BC12BF"/>
    <w:rsid w:val="00BC374A"/>
    <w:rsid w:val="00BC5FF1"/>
    <w:rsid w:val="00BC6C11"/>
    <w:rsid w:val="00BD2C4F"/>
    <w:rsid w:val="00BD3EF3"/>
    <w:rsid w:val="00BE51FF"/>
    <w:rsid w:val="00BF04C0"/>
    <w:rsid w:val="00BF3561"/>
    <w:rsid w:val="00BF556C"/>
    <w:rsid w:val="00C05015"/>
    <w:rsid w:val="00C05EFD"/>
    <w:rsid w:val="00C22083"/>
    <w:rsid w:val="00C24B8F"/>
    <w:rsid w:val="00C32DEA"/>
    <w:rsid w:val="00C45053"/>
    <w:rsid w:val="00C4694F"/>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5E8F"/>
    <w:rsid w:val="00CA10D7"/>
    <w:rsid w:val="00CA551B"/>
    <w:rsid w:val="00CB09E0"/>
    <w:rsid w:val="00CB1B8B"/>
    <w:rsid w:val="00CC0679"/>
    <w:rsid w:val="00CC5B4C"/>
    <w:rsid w:val="00CC66AD"/>
    <w:rsid w:val="00CC69E8"/>
    <w:rsid w:val="00CC6AF3"/>
    <w:rsid w:val="00CD2613"/>
    <w:rsid w:val="00CD2A1C"/>
    <w:rsid w:val="00CD526F"/>
    <w:rsid w:val="00CE06A2"/>
    <w:rsid w:val="00CE118B"/>
    <w:rsid w:val="00CF0112"/>
    <w:rsid w:val="00CF34BC"/>
    <w:rsid w:val="00CF54DE"/>
    <w:rsid w:val="00D07030"/>
    <w:rsid w:val="00D14D2A"/>
    <w:rsid w:val="00D23E74"/>
    <w:rsid w:val="00D267FA"/>
    <w:rsid w:val="00D27F86"/>
    <w:rsid w:val="00D31DDA"/>
    <w:rsid w:val="00D44D7D"/>
    <w:rsid w:val="00D52828"/>
    <w:rsid w:val="00D52978"/>
    <w:rsid w:val="00D57E53"/>
    <w:rsid w:val="00D60F74"/>
    <w:rsid w:val="00D632DC"/>
    <w:rsid w:val="00D708C3"/>
    <w:rsid w:val="00D72CCC"/>
    <w:rsid w:val="00D73E22"/>
    <w:rsid w:val="00D90669"/>
    <w:rsid w:val="00D9642E"/>
    <w:rsid w:val="00D976E2"/>
    <w:rsid w:val="00DA508D"/>
    <w:rsid w:val="00DA5E37"/>
    <w:rsid w:val="00DA7FA2"/>
    <w:rsid w:val="00DB041B"/>
    <w:rsid w:val="00DB0717"/>
    <w:rsid w:val="00DB17B2"/>
    <w:rsid w:val="00DC0519"/>
    <w:rsid w:val="00DC0672"/>
    <w:rsid w:val="00DC4DB9"/>
    <w:rsid w:val="00DC5CEE"/>
    <w:rsid w:val="00DC76F8"/>
    <w:rsid w:val="00DD42DB"/>
    <w:rsid w:val="00DF222A"/>
    <w:rsid w:val="00DF2F14"/>
    <w:rsid w:val="00DF5973"/>
    <w:rsid w:val="00DF738A"/>
    <w:rsid w:val="00DF7501"/>
    <w:rsid w:val="00E11916"/>
    <w:rsid w:val="00E12A67"/>
    <w:rsid w:val="00E12B2F"/>
    <w:rsid w:val="00E12CA9"/>
    <w:rsid w:val="00E12E4F"/>
    <w:rsid w:val="00E13C55"/>
    <w:rsid w:val="00E14C90"/>
    <w:rsid w:val="00E15D81"/>
    <w:rsid w:val="00E16205"/>
    <w:rsid w:val="00E16C56"/>
    <w:rsid w:val="00E24D49"/>
    <w:rsid w:val="00E25388"/>
    <w:rsid w:val="00E254D9"/>
    <w:rsid w:val="00E25ACC"/>
    <w:rsid w:val="00E3438F"/>
    <w:rsid w:val="00E4061E"/>
    <w:rsid w:val="00E47A53"/>
    <w:rsid w:val="00E501C6"/>
    <w:rsid w:val="00E55AD1"/>
    <w:rsid w:val="00E60744"/>
    <w:rsid w:val="00E61F5A"/>
    <w:rsid w:val="00E642B3"/>
    <w:rsid w:val="00E66EBA"/>
    <w:rsid w:val="00E70397"/>
    <w:rsid w:val="00E7049B"/>
    <w:rsid w:val="00E727F2"/>
    <w:rsid w:val="00E73A43"/>
    <w:rsid w:val="00E749F1"/>
    <w:rsid w:val="00E87116"/>
    <w:rsid w:val="00E90F22"/>
    <w:rsid w:val="00E93DF0"/>
    <w:rsid w:val="00E96021"/>
    <w:rsid w:val="00E97968"/>
    <w:rsid w:val="00EA7AFE"/>
    <w:rsid w:val="00EB3C20"/>
    <w:rsid w:val="00EC0B9E"/>
    <w:rsid w:val="00EC1EB5"/>
    <w:rsid w:val="00EC5CAD"/>
    <w:rsid w:val="00EC6B80"/>
    <w:rsid w:val="00ED0C45"/>
    <w:rsid w:val="00ED0CEE"/>
    <w:rsid w:val="00ED25C4"/>
    <w:rsid w:val="00ED4142"/>
    <w:rsid w:val="00ED566E"/>
    <w:rsid w:val="00EF15CD"/>
    <w:rsid w:val="00EF34D2"/>
    <w:rsid w:val="00EF5D1F"/>
    <w:rsid w:val="00EF6E21"/>
    <w:rsid w:val="00EF7309"/>
    <w:rsid w:val="00F0239E"/>
    <w:rsid w:val="00F07EFD"/>
    <w:rsid w:val="00F1164D"/>
    <w:rsid w:val="00F1200D"/>
    <w:rsid w:val="00F154DF"/>
    <w:rsid w:val="00F1676C"/>
    <w:rsid w:val="00F17C08"/>
    <w:rsid w:val="00F232D9"/>
    <w:rsid w:val="00F2478C"/>
    <w:rsid w:val="00F253BB"/>
    <w:rsid w:val="00F275B3"/>
    <w:rsid w:val="00F27B24"/>
    <w:rsid w:val="00F27D5C"/>
    <w:rsid w:val="00F340B8"/>
    <w:rsid w:val="00F35173"/>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408"/>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5157511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8455181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78778658">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88364294">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27492455">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324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54A79"/>
    <w:rsid w:val="00AD6C60"/>
    <w:rsid w:val="00B61D91"/>
    <w:rsid w:val="00BC6A9D"/>
    <w:rsid w:val="00C956B8"/>
    <w:rsid w:val="00CA5019"/>
    <w:rsid w:val="00DD7AF5"/>
    <w:rsid w:val="00F0176B"/>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95A5-2BF3-41D9-A907-B07C1CC8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11</cp:revision>
  <cp:lastPrinted>2015-03-14T17:30:00Z</cp:lastPrinted>
  <dcterms:created xsi:type="dcterms:W3CDTF">2018-04-19T18:28:00Z</dcterms:created>
  <dcterms:modified xsi:type="dcterms:W3CDTF">2018-04-24T18:42:00Z</dcterms:modified>
</cp:coreProperties>
</file>