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5A037F">
        <w:rPr>
          <w:rFonts w:ascii="Arial" w:hAnsi="Arial" w:cs="Arial"/>
          <w:u w:val="single"/>
        </w:rPr>
        <w:t>Civil and Construction Technology</w:t>
      </w:r>
      <w:r w:rsidRPr="002C2504">
        <w:rPr>
          <w:rFonts w:ascii="Arial" w:hAnsi="Arial" w:cs="Arial"/>
          <w:u w:val="single"/>
        </w:rPr>
        <w:tab/>
      </w:r>
    </w:p>
    <w:p w:rsidR="00827AE5" w:rsidRDefault="00827AE5" w:rsidP="00F0239E">
      <w:pPr>
        <w:jc w:val="center"/>
        <w:rPr>
          <w:b/>
        </w:rPr>
      </w:pPr>
    </w:p>
    <w:p w:rsidR="001240D0" w:rsidRPr="00825D14" w:rsidRDefault="001240D0" w:rsidP="003254BC">
      <w:pPr>
        <w:rPr>
          <w:rFonts w:ascii="Arial" w:hAnsi="Arial" w:cs="Arial"/>
        </w:rPr>
      </w:pPr>
      <w:r w:rsidRPr="00825D14">
        <w:rPr>
          <w:rFonts w:ascii="Arial" w:hAnsi="Arial" w:cs="Arial"/>
          <w:b/>
          <w:u w:val="single"/>
        </w:rPr>
        <w:t xml:space="preserve">Section I:  </w:t>
      </w:r>
      <w:r w:rsidR="000279EB" w:rsidRPr="00825D14">
        <w:rPr>
          <w:rFonts w:ascii="Arial" w:hAnsi="Arial" w:cs="Arial"/>
          <w:b/>
          <w:u w:val="single"/>
        </w:rPr>
        <w:t>Trend Data</w:t>
      </w:r>
    </w:p>
    <w:p w:rsidR="009E2519" w:rsidRPr="00825D14" w:rsidRDefault="009E2519" w:rsidP="003254BC">
      <w:pPr>
        <w:rPr>
          <w:rFonts w:ascii="Arial" w:hAnsi="Arial" w:cs="Arial"/>
        </w:rPr>
      </w:pPr>
    </w:p>
    <w:p w:rsidR="004D3C8C" w:rsidRDefault="000279EB" w:rsidP="004D3C8C">
      <w:pPr>
        <w:pStyle w:val="ListParagraph"/>
        <w:numPr>
          <w:ilvl w:val="0"/>
          <w:numId w:val="5"/>
        </w:numPr>
        <w:rPr>
          <w:rFonts w:ascii="Arial" w:hAnsi="Arial" w:cs="Arial"/>
          <w:b/>
        </w:rPr>
      </w:pPr>
      <w:r w:rsidRPr="00825D14">
        <w:rPr>
          <w:rFonts w:ascii="Arial" w:hAnsi="Arial" w:cs="Arial"/>
          <w:b/>
        </w:rPr>
        <w:t>Program</w:t>
      </w:r>
      <w:r w:rsidR="004D3C8C" w:rsidRPr="00825D14">
        <w:rPr>
          <w:rFonts w:ascii="Arial" w:hAnsi="Arial" w:cs="Arial"/>
          <w:b/>
        </w:rPr>
        <w:t xml:space="preserve"> </w:t>
      </w:r>
      <w:r w:rsidR="00786F00" w:rsidRPr="00825D14">
        <w:rPr>
          <w:rFonts w:ascii="Arial" w:hAnsi="Arial" w:cs="Arial"/>
          <w:b/>
        </w:rPr>
        <w:t>Trend</w:t>
      </w:r>
      <w:r w:rsidR="004D3C8C" w:rsidRPr="00825D14">
        <w:rPr>
          <w:rFonts w:ascii="Arial" w:hAnsi="Arial" w:cs="Arial"/>
          <w:b/>
        </w:rPr>
        <w:t xml:space="preserve"> Data</w:t>
      </w:r>
    </w:p>
    <w:p w:rsidR="00825D14" w:rsidRPr="00825D14" w:rsidRDefault="00825D14" w:rsidP="00825D14">
      <w:pPr>
        <w:pStyle w:val="ListParagraph"/>
        <w:rPr>
          <w:rFonts w:ascii="Arial" w:hAnsi="Arial" w:cs="Arial"/>
          <w:b/>
        </w:rPr>
      </w:pPr>
    </w:p>
    <w:p w:rsidR="00CC69E8" w:rsidRDefault="00A567D3" w:rsidP="003A298D">
      <w:pPr>
        <w:ind w:firstLine="720"/>
        <w:rPr>
          <w:rFonts w:ascii="Arial" w:hAnsi="Arial" w:cs="Arial"/>
        </w:rPr>
      </w:pPr>
      <w:r w:rsidRPr="00A567D3">
        <w:rPr>
          <w:rFonts w:ascii="Arial" w:hAnsi="Arial" w:cs="Arial"/>
          <w:noProof/>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7AE5" w:rsidRDefault="00827AE5" w:rsidP="00827AE5">
      <w:pPr>
        <w:ind w:firstLine="360"/>
      </w:pPr>
    </w:p>
    <w:p w:rsidR="00847243" w:rsidRDefault="00847243" w:rsidP="00827AE5">
      <w:pPr>
        <w:ind w:firstLine="360"/>
      </w:pPr>
    </w:p>
    <w:tbl>
      <w:tblPr>
        <w:tblStyle w:val="TableGrid"/>
        <w:tblW w:w="0" w:type="auto"/>
        <w:tblLook w:val="04A0" w:firstRow="1" w:lastRow="0" w:firstColumn="1" w:lastColumn="0" w:noHBand="0" w:noVBand="1"/>
      </w:tblPr>
      <w:tblGrid>
        <w:gridCol w:w="3438"/>
        <w:gridCol w:w="2046"/>
        <w:gridCol w:w="2046"/>
        <w:gridCol w:w="2046"/>
      </w:tblGrid>
      <w:tr w:rsidR="00A567D3" w:rsidRPr="00161C70" w:rsidTr="00283BE4">
        <w:tc>
          <w:tcPr>
            <w:tcW w:w="9576" w:type="dxa"/>
            <w:gridSpan w:val="4"/>
          </w:tcPr>
          <w:p w:rsidR="00A567D3" w:rsidRPr="00161C70" w:rsidRDefault="00970EA7" w:rsidP="00970EA7">
            <w:pPr>
              <w:jc w:val="center"/>
              <w:rPr>
                <w:rFonts w:ascii="Arial" w:hAnsi="Arial" w:cs="Arial"/>
                <w:b/>
              </w:rPr>
            </w:pPr>
            <w:r>
              <w:rPr>
                <w:rFonts w:ascii="Arial" w:hAnsi="Arial" w:cs="Arial"/>
                <w:b/>
              </w:rPr>
              <w:t xml:space="preserve">ARC.AAS, CEGT,AAS and CMO.AAS </w:t>
            </w:r>
            <w:r w:rsidR="00A567D3" w:rsidRPr="00161C70">
              <w:rPr>
                <w:rFonts w:ascii="Arial" w:hAnsi="Arial" w:cs="Arial"/>
                <w:b/>
              </w:rPr>
              <w:t>Degree Program</w:t>
            </w:r>
            <w:r>
              <w:rPr>
                <w:rFonts w:ascii="Arial" w:hAnsi="Arial" w:cs="Arial"/>
                <w:b/>
              </w:rPr>
              <w:t>s</w:t>
            </w:r>
          </w:p>
        </w:tc>
      </w:tr>
      <w:tr w:rsidR="00970EA7" w:rsidRPr="00161C70" w:rsidTr="00CD0BF3">
        <w:tc>
          <w:tcPr>
            <w:tcW w:w="3438" w:type="dxa"/>
          </w:tcPr>
          <w:p w:rsidR="00970EA7" w:rsidRPr="00161C70" w:rsidRDefault="00970EA7" w:rsidP="00970EA7">
            <w:pPr>
              <w:rPr>
                <w:rFonts w:ascii="Arial" w:hAnsi="Arial" w:cs="Arial"/>
              </w:rPr>
            </w:pPr>
          </w:p>
        </w:tc>
        <w:tc>
          <w:tcPr>
            <w:tcW w:w="2046" w:type="dxa"/>
          </w:tcPr>
          <w:p w:rsidR="00970EA7" w:rsidRPr="00970EA7" w:rsidRDefault="00970EA7" w:rsidP="00970EA7">
            <w:pPr>
              <w:jc w:val="center"/>
              <w:rPr>
                <w:rFonts w:ascii="Arial" w:hAnsi="Arial" w:cs="Arial"/>
                <w:b/>
              </w:rPr>
            </w:pPr>
            <w:r w:rsidRPr="00970EA7">
              <w:rPr>
                <w:rFonts w:ascii="Arial" w:hAnsi="Arial" w:cs="Arial"/>
                <w:b/>
              </w:rPr>
              <w:t>ARC</w:t>
            </w:r>
          </w:p>
        </w:tc>
        <w:tc>
          <w:tcPr>
            <w:tcW w:w="2046" w:type="dxa"/>
          </w:tcPr>
          <w:p w:rsidR="00970EA7" w:rsidRPr="00970EA7" w:rsidRDefault="00970EA7" w:rsidP="00970EA7">
            <w:pPr>
              <w:jc w:val="center"/>
              <w:rPr>
                <w:rFonts w:ascii="Arial" w:hAnsi="Arial" w:cs="Arial"/>
                <w:b/>
              </w:rPr>
            </w:pPr>
            <w:r w:rsidRPr="00970EA7">
              <w:rPr>
                <w:rFonts w:ascii="Arial" w:hAnsi="Arial" w:cs="Arial"/>
                <w:b/>
              </w:rPr>
              <w:t>CEGT</w:t>
            </w:r>
          </w:p>
        </w:tc>
        <w:tc>
          <w:tcPr>
            <w:tcW w:w="2046" w:type="dxa"/>
          </w:tcPr>
          <w:p w:rsidR="00970EA7" w:rsidRPr="00970EA7" w:rsidRDefault="00970EA7" w:rsidP="00970EA7">
            <w:pPr>
              <w:jc w:val="center"/>
              <w:rPr>
                <w:rFonts w:ascii="Arial" w:hAnsi="Arial" w:cs="Arial"/>
                <w:b/>
              </w:rPr>
            </w:pPr>
            <w:r w:rsidRPr="00970EA7">
              <w:rPr>
                <w:rFonts w:ascii="Arial" w:hAnsi="Arial" w:cs="Arial"/>
                <w:b/>
              </w:rPr>
              <w:t>CMO</w:t>
            </w:r>
          </w:p>
        </w:tc>
      </w:tr>
      <w:tr w:rsidR="00970EA7" w:rsidRPr="00161C70" w:rsidTr="00CD0BF3">
        <w:tc>
          <w:tcPr>
            <w:tcW w:w="3438" w:type="dxa"/>
          </w:tcPr>
          <w:p w:rsidR="00970EA7" w:rsidRPr="00161C70" w:rsidRDefault="00970EA7" w:rsidP="00970EA7">
            <w:pPr>
              <w:rPr>
                <w:rFonts w:ascii="Arial" w:hAnsi="Arial" w:cs="Arial"/>
              </w:rPr>
            </w:pPr>
            <w:r>
              <w:rPr>
                <w:rFonts w:ascii="Arial" w:hAnsi="Arial" w:cs="Arial"/>
              </w:rPr>
              <w:t>Average Age</w:t>
            </w:r>
          </w:p>
        </w:tc>
        <w:tc>
          <w:tcPr>
            <w:tcW w:w="2046" w:type="dxa"/>
          </w:tcPr>
          <w:p w:rsidR="00970EA7" w:rsidRPr="00161C70" w:rsidRDefault="00970EA7" w:rsidP="00DF12A2">
            <w:pPr>
              <w:jc w:val="center"/>
              <w:rPr>
                <w:rFonts w:ascii="Arial" w:hAnsi="Arial" w:cs="Arial"/>
              </w:rPr>
            </w:pPr>
            <w:r>
              <w:rPr>
                <w:rFonts w:ascii="Arial" w:hAnsi="Arial" w:cs="Arial"/>
              </w:rPr>
              <w:t>26</w:t>
            </w:r>
          </w:p>
        </w:tc>
        <w:tc>
          <w:tcPr>
            <w:tcW w:w="2046" w:type="dxa"/>
          </w:tcPr>
          <w:p w:rsidR="00970EA7" w:rsidRPr="00161C70" w:rsidRDefault="00970EA7" w:rsidP="00DF12A2">
            <w:pPr>
              <w:jc w:val="center"/>
              <w:rPr>
                <w:rFonts w:ascii="Arial" w:hAnsi="Arial" w:cs="Arial"/>
              </w:rPr>
            </w:pPr>
            <w:r>
              <w:rPr>
                <w:rFonts w:ascii="Arial" w:hAnsi="Arial" w:cs="Arial"/>
              </w:rPr>
              <w:t>28</w:t>
            </w:r>
          </w:p>
        </w:tc>
        <w:tc>
          <w:tcPr>
            <w:tcW w:w="2046" w:type="dxa"/>
          </w:tcPr>
          <w:p w:rsidR="00970EA7" w:rsidRPr="00161C70" w:rsidRDefault="00970EA7" w:rsidP="00DF12A2">
            <w:pPr>
              <w:jc w:val="center"/>
              <w:rPr>
                <w:rFonts w:ascii="Arial" w:hAnsi="Arial" w:cs="Arial"/>
              </w:rPr>
            </w:pPr>
            <w:r>
              <w:rPr>
                <w:rFonts w:ascii="Arial" w:hAnsi="Arial" w:cs="Arial"/>
              </w:rPr>
              <w:t>28</w:t>
            </w:r>
          </w:p>
        </w:tc>
      </w:tr>
      <w:tr w:rsidR="00970EA7" w:rsidRPr="00161C70" w:rsidTr="00CD0BF3">
        <w:tc>
          <w:tcPr>
            <w:tcW w:w="3438" w:type="dxa"/>
          </w:tcPr>
          <w:p w:rsidR="00970EA7" w:rsidRPr="00161C70" w:rsidRDefault="00970EA7" w:rsidP="00283BE4">
            <w:pPr>
              <w:rPr>
                <w:rFonts w:ascii="Arial" w:hAnsi="Arial" w:cs="Arial"/>
              </w:rPr>
            </w:pPr>
            <w:r w:rsidRPr="00161C70">
              <w:rPr>
                <w:rFonts w:ascii="Arial" w:hAnsi="Arial" w:cs="Arial"/>
              </w:rPr>
              <w:t>African-American Male</w:t>
            </w:r>
          </w:p>
        </w:tc>
        <w:tc>
          <w:tcPr>
            <w:tcW w:w="2046" w:type="dxa"/>
          </w:tcPr>
          <w:p w:rsidR="00970EA7" w:rsidRPr="00161C70" w:rsidRDefault="00970EA7" w:rsidP="00DF12A2">
            <w:pPr>
              <w:jc w:val="center"/>
              <w:rPr>
                <w:rFonts w:ascii="Arial" w:hAnsi="Arial" w:cs="Arial"/>
              </w:rPr>
            </w:pPr>
            <w:r>
              <w:rPr>
                <w:rFonts w:ascii="Arial" w:hAnsi="Arial" w:cs="Arial"/>
              </w:rPr>
              <w:t>11%</w:t>
            </w:r>
          </w:p>
        </w:tc>
        <w:tc>
          <w:tcPr>
            <w:tcW w:w="2046" w:type="dxa"/>
          </w:tcPr>
          <w:p w:rsidR="00970EA7" w:rsidRPr="00161C70" w:rsidRDefault="00DF12A2" w:rsidP="00DF12A2">
            <w:pPr>
              <w:jc w:val="center"/>
              <w:rPr>
                <w:rFonts w:ascii="Arial" w:hAnsi="Arial" w:cs="Arial"/>
              </w:rPr>
            </w:pPr>
            <w:r>
              <w:rPr>
                <w:rFonts w:ascii="Arial" w:hAnsi="Arial" w:cs="Arial"/>
              </w:rPr>
              <w:t>12%</w:t>
            </w:r>
          </w:p>
        </w:tc>
        <w:tc>
          <w:tcPr>
            <w:tcW w:w="2046" w:type="dxa"/>
          </w:tcPr>
          <w:p w:rsidR="00DF12A2" w:rsidRPr="00161C70" w:rsidRDefault="00DF12A2" w:rsidP="00DF12A2">
            <w:pPr>
              <w:jc w:val="center"/>
              <w:rPr>
                <w:rFonts w:ascii="Arial" w:hAnsi="Arial" w:cs="Arial"/>
              </w:rPr>
            </w:pPr>
            <w:r>
              <w:rPr>
                <w:rFonts w:ascii="Arial" w:hAnsi="Arial" w:cs="Arial"/>
              </w:rPr>
              <w:t>18%</w:t>
            </w:r>
          </w:p>
        </w:tc>
      </w:tr>
      <w:tr w:rsidR="00970EA7" w:rsidRPr="00161C70" w:rsidTr="00CD0BF3">
        <w:tc>
          <w:tcPr>
            <w:tcW w:w="3438" w:type="dxa"/>
          </w:tcPr>
          <w:p w:rsidR="00970EA7" w:rsidRPr="00161C70" w:rsidRDefault="00970EA7" w:rsidP="00283BE4">
            <w:pPr>
              <w:rPr>
                <w:rFonts w:ascii="Arial" w:hAnsi="Arial" w:cs="Arial"/>
              </w:rPr>
            </w:pPr>
            <w:r>
              <w:rPr>
                <w:rFonts w:ascii="Arial" w:hAnsi="Arial" w:cs="Arial"/>
              </w:rPr>
              <w:t>African-American Female</w:t>
            </w:r>
          </w:p>
        </w:tc>
        <w:tc>
          <w:tcPr>
            <w:tcW w:w="2046" w:type="dxa"/>
          </w:tcPr>
          <w:p w:rsidR="00970EA7" w:rsidRPr="00161C70" w:rsidRDefault="00970EA7" w:rsidP="00DF12A2">
            <w:pPr>
              <w:jc w:val="center"/>
              <w:rPr>
                <w:rFonts w:ascii="Arial" w:hAnsi="Arial" w:cs="Arial"/>
              </w:rPr>
            </w:pPr>
            <w:r>
              <w:rPr>
                <w:rFonts w:ascii="Arial" w:hAnsi="Arial" w:cs="Arial"/>
              </w:rPr>
              <w:t>2%</w:t>
            </w:r>
          </w:p>
        </w:tc>
        <w:tc>
          <w:tcPr>
            <w:tcW w:w="2046" w:type="dxa"/>
          </w:tcPr>
          <w:p w:rsidR="00970EA7" w:rsidRPr="00161C70" w:rsidRDefault="00DF12A2" w:rsidP="00DF12A2">
            <w:pPr>
              <w:jc w:val="center"/>
              <w:rPr>
                <w:rFonts w:ascii="Arial" w:hAnsi="Arial" w:cs="Arial"/>
              </w:rPr>
            </w:pPr>
            <w:r>
              <w:rPr>
                <w:rFonts w:ascii="Arial" w:hAnsi="Arial" w:cs="Arial"/>
              </w:rPr>
              <w:t>0%</w:t>
            </w:r>
          </w:p>
        </w:tc>
        <w:tc>
          <w:tcPr>
            <w:tcW w:w="2046" w:type="dxa"/>
          </w:tcPr>
          <w:p w:rsidR="00970EA7" w:rsidRPr="00161C70" w:rsidRDefault="00DF12A2" w:rsidP="00DF12A2">
            <w:pPr>
              <w:jc w:val="center"/>
              <w:rPr>
                <w:rFonts w:ascii="Arial" w:hAnsi="Arial" w:cs="Arial"/>
              </w:rPr>
            </w:pPr>
            <w:r>
              <w:rPr>
                <w:rFonts w:ascii="Arial" w:hAnsi="Arial" w:cs="Arial"/>
              </w:rPr>
              <w:t>1%</w:t>
            </w:r>
          </w:p>
        </w:tc>
      </w:tr>
      <w:tr w:rsidR="00970EA7" w:rsidRPr="00161C70" w:rsidTr="00CD0BF3">
        <w:tc>
          <w:tcPr>
            <w:tcW w:w="3438" w:type="dxa"/>
          </w:tcPr>
          <w:p w:rsidR="00970EA7" w:rsidRPr="00161C70" w:rsidRDefault="00970EA7" w:rsidP="00283BE4">
            <w:pPr>
              <w:rPr>
                <w:rFonts w:ascii="Arial" w:hAnsi="Arial" w:cs="Arial"/>
              </w:rPr>
            </w:pPr>
            <w:r w:rsidRPr="00161C70">
              <w:rPr>
                <w:rFonts w:ascii="Arial" w:hAnsi="Arial" w:cs="Arial"/>
              </w:rPr>
              <w:t>Hispanic Male</w:t>
            </w:r>
          </w:p>
        </w:tc>
        <w:tc>
          <w:tcPr>
            <w:tcW w:w="2046" w:type="dxa"/>
          </w:tcPr>
          <w:p w:rsidR="00970EA7" w:rsidRPr="00161C70" w:rsidRDefault="00970EA7" w:rsidP="00DF12A2">
            <w:pPr>
              <w:jc w:val="center"/>
              <w:rPr>
                <w:rFonts w:ascii="Arial" w:hAnsi="Arial" w:cs="Arial"/>
              </w:rPr>
            </w:pPr>
            <w:r>
              <w:rPr>
                <w:rFonts w:ascii="Arial" w:hAnsi="Arial" w:cs="Arial"/>
              </w:rPr>
              <w:t>3%</w:t>
            </w:r>
          </w:p>
        </w:tc>
        <w:tc>
          <w:tcPr>
            <w:tcW w:w="2046" w:type="dxa"/>
          </w:tcPr>
          <w:p w:rsidR="00970EA7" w:rsidRPr="00161C70" w:rsidRDefault="00DF12A2" w:rsidP="00DF12A2">
            <w:pPr>
              <w:jc w:val="center"/>
              <w:rPr>
                <w:rFonts w:ascii="Arial" w:hAnsi="Arial" w:cs="Arial"/>
              </w:rPr>
            </w:pPr>
            <w:r>
              <w:rPr>
                <w:rFonts w:ascii="Arial" w:hAnsi="Arial" w:cs="Arial"/>
              </w:rPr>
              <w:t>2%</w:t>
            </w:r>
          </w:p>
        </w:tc>
        <w:tc>
          <w:tcPr>
            <w:tcW w:w="2046" w:type="dxa"/>
          </w:tcPr>
          <w:p w:rsidR="00970EA7" w:rsidRPr="00161C70" w:rsidRDefault="00DF12A2" w:rsidP="00DF12A2">
            <w:pPr>
              <w:jc w:val="center"/>
              <w:rPr>
                <w:rFonts w:ascii="Arial" w:hAnsi="Arial" w:cs="Arial"/>
              </w:rPr>
            </w:pPr>
            <w:r>
              <w:rPr>
                <w:rFonts w:ascii="Arial" w:hAnsi="Arial" w:cs="Arial"/>
              </w:rPr>
              <w:t>1%</w:t>
            </w:r>
          </w:p>
        </w:tc>
      </w:tr>
      <w:tr w:rsidR="00970EA7" w:rsidRPr="00161C70" w:rsidTr="00CD0BF3">
        <w:tc>
          <w:tcPr>
            <w:tcW w:w="3438" w:type="dxa"/>
          </w:tcPr>
          <w:p w:rsidR="00970EA7" w:rsidRPr="00161C70" w:rsidRDefault="00970EA7" w:rsidP="00283BE4">
            <w:pPr>
              <w:rPr>
                <w:rFonts w:ascii="Arial" w:hAnsi="Arial" w:cs="Arial"/>
              </w:rPr>
            </w:pPr>
            <w:r w:rsidRPr="00161C70">
              <w:rPr>
                <w:rFonts w:ascii="Arial" w:hAnsi="Arial" w:cs="Arial"/>
              </w:rPr>
              <w:t>Caucasian Male</w:t>
            </w:r>
          </w:p>
        </w:tc>
        <w:tc>
          <w:tcPr>
            <w:tcW w:w="2046" w:type="dxa"/>
          </w:tcPr>
          <w:p w:rsidR="00970EA7" w:rsidRPr="00161C70" w:rsidRDefault="00970EA7" w:rsidP="00DF12A2">
            <w:pPr>
              <w:jc w:val="center"/>
              <w:rPr>
                <w:rFonts w:ascii="Arial" w:hAnsi="Arial" w:cs="Arial"/>
              </w:rPr>
            </w:pPr>
            <w:r>
              <w:rPr>
                <w:rFonts w:ascii="Arial" w:hAnsi="Arial" w:cs="Arial"/>
              </w:rPr>
              <w:t>54%</w:t>
            </w:r>
          </w:p>
        </w:tc>
        <w:tc>
          <w:tcPr>
            <w:tcW w:w="2046" w:type="dxa"/>
          </w:tcPr>
          <w:p w:rsidR="00970EA7" w:rsidRPr="00161C70" w:rsidRDefault="00DF12A2" w:rsidP="00DF12A2">
            <w:pPr>
              <w:jc w:val="center"/>
              <w:rPr>
                <w:rFonts w:ascii="Arial" w:hAnsi="Arial" w:cs="Arial"/>
              </w:rPr>
            </w:pPr>
            <w:r>
              <w:rPr>
                <w:rFonts w:ascii="Arial" w:hAnsi="Arial" w:cs="Arial"/>
              </w:rPr>
              <w:t>63%</w:t>
            </w:r>
          </w:p>
        </w:tc>
        <w:tc>
          <w:tcPr>
            <w:tcW w:w="2046" w:type="dxa"/>
          </w:tcPr>
          <w:p w:rsidR="00970EA7" w:rsidRPr="00161C70" w:rsidRDefault="00DF12A2" w:rsidP="00DF12A2">
            <w:pPr>
              <w:jc w:val="center"/>
              <w:rPr>
                <w:rFonts w:ascii="Arial" w:hAnsi="Arial" w:cs="Arial"/>
              </w:rPr>
            </w:pPr>
            <w:r>
              <w:rPr>
                <w:rFonts w:ascii="Arial" w:hAnsi="Arial" w:cs="Arial"/>
              </w:rPr>
              <w:t>54%</w:t>
            </w:r>
          </w:p>
        </w:tc>
      </w:tr>
      <w:tr w:rsidR="00970EA7" w:rsidRPr="00161C70" w:rsidTr="00CD0BF3">
        <w:tc>
          <w:tcPr>
            <w:tcW w:w="3438" w:type="dxa"/>
          </w:tcPr>
          <w:p w:rsidR="00970EA7" w:rsidRPr="00161C70" w:rsidRDefault="00970EA7" w:rsidP="00970EA7">
            <w:pPr>
              <w:rPr>
                <w:rFonts w:ascii="Arial" w:hAnsi="Arial" w:cs="Arial"/>
              </w:rPr>
            </w:pPr>
            <w:r>
              <w:rPr>
                <w:rFonts w:ascii="Arial" w:hAnsi="Arial" w:cs="Arial"/>
              </w:rPr>
              <w:t>Caucasian Female</w:t>
            </w:r>
          </w:p>
        </w:tc>
        <w:tc>
          <w:tcPr>
            <w:tcW w:w="2046" w:type="dxa"/>
          </w:tcPr>
          <w:p w:rsidR="00970EA7" w:rsidRPr="00161C70" w:rsidRDefault="00970EA7" w:rsidP="00DF12A2">
            <w:pPr>
              <w:jc w:val="center"/>
              <w:rPr>
                <w:rFonts w:ascii="Arial" w:hAnsi="Arial" w:cs="Arial"/>
              </w:rPr>
            </w:pPr>
            <w:r>
              <w:rPr>
                <w:rFonts w:ascii="Arial" w:hAnsi="Arial" w:cs="Arial"/>
              </w:rPr>
              <w:t>11%</w:t>
            </w:r>
          </w:p>
        </w:tc>
        <w:tc>
          <w:tcPr>
            <w:tcW w:w="2046" w:type="dxa"/>
          </w:tcPr>
          <w:p w:rsidR="00970EA7" w:rsidRPr="00161C70" w:rsidRDefault="00DF12A2" w:rsidP="00DF12A2">
            <w:pPr>
              <w:jc w:val="center"/>
              <w:rPr>
                <w:rFonts w:ascii="Arial" w:hAnsi="Arial" w:cs="Arial"/>
              </w:rPr>
            </w:pPr>
            <w:r>
              <w:rPr>
                <w:rFonts w:ascii="Arial" w:hAnsi="Arial" w:cs="Arial"/>
              </w:rPr>
              <w:t>6%</w:t>
            </w:r>
          </w:p>
        </w:tc>
        <w:tc>
          <w:tcPr>
            <w:tcW w:w="2046" w:type="dxa"/>
          </w:tcPr>
          <w:p w:rsidR="00970EA7" w:rsidRPr="00161C70" w:rsidRDefault="00DF12A2" w:rsidP="00DF12A2">
            <w:pPr>
              <w:jc w:val="center"/>
              <w:rPr>
                <w:rFonts w:ascii="Arial" w:hAnsi="Arial" w:cs="Arial"/>
              </w:rPr>
            </w:pPr>
            <w:r>
              <w:rPr>
                <w:rFonts w:ascii="Arial" w:hAnsi="Arial" w:cs="Arial"/>
              </w:rPr>
              <w:t>5%</w:t>
            </w:r>
          </w:p>
        </w:tc>
      </w:tr>
      <w:tr w:rsidR="00970EA7" w:rsidRPr="00161C70" w:rsidTr="00CD0BF3">
        <w:tc>
          <w:tcPr>
            <w:tcW w:w="3438" w:type="dxa"/>
          </w:tcPr>
          <w:p w:rsidR="00970EA7" w:rsidRPr="00161C70" w:rsidRDefault="00970EA7" w:rsidP="00283BE4">
            <w:pPr>
              <w:rPr>
                <w:rFonts w:ascii="Arial" w:hAnsi="Arial" w:cs="Arial"/>
              </w:rPr>
            </w:pPr>
            <w:r>
              <w:rPr>
                <w:rFonts w:ascii="Arial" w:hAnsi="Arial" w:cs="Arial"/>
              </w:rPr>
              <w:t>Other Male</w:t>
            </w:r>
          </w:p>
        </w:tc>
        <w:tc>
          <w:tcPr>
            <w:tcW w:w="2046" w:type="dxa"/>
          </w:tcPr>
          <w:p w:rsidR="00970EA7" w:rsidRPr="00161C70" w:rsidRDefault="00DF12A2" w:rsidP="00DF12A2">
            <w:pPr>
              <w:jc w:val="center"/>
              <w:rPr>
                <w:rFonts w:ascii="Arial" w:hAnsi="Arial" w:cs="Arial"/>
              </w:rPr>
            </w:pPr>
            <w:r>
              <w:rPr>
                <w:rFonts w:ascii="Arial" w:hAnsi="Arial" w:cs="Arial"/>
              </w:rPr>
              <w:t>13%</w:t>
            </w:r>
          </w:p>
        </w:tc>
        <w:tc>
          <w:tcPr>
            <w:tcW w:w="2046" w:type="dxa"/>
          </w:tcPr>
          <w:p w:rsidR="00970EA7" w:rsidRPr="00161C70" w:rsidRDefault="00DF12A2" w:rsidP="00DF12A2">
            <w:pPr>
              <w:jc w:val="center"/>
              <w:rPr>
                <w:rFonts w:ascii="Arial" w:hAnsi="Arial" w:cs="Arial"/>
              </w:rPr>
            </w:pPr>
            <w:r>
              <w:rPr>
                <w:rFonts w:ascii="Arial" w:hAnsi="Arial" w:cs="Arial"/>
              </w:rPr>
              <w:t>15%</w:t>
            </w:r>
          </w:p>
        </w:tc>
        <w:tc>
          <w:tcPr>
            <w:tcW w:w="2046" w:type="dxa"/>
          </w:tcPr>
          <w:p w:rsidR="00970EA7" w:rsidRPr="00161C70" w:rsidRDefault="00DF12A2" w:rsidP="00DF12A2">
            <w:pPr>
              <w:jc w:val="center"/>
              <w:rPr>
                <w:rFonts w:ascii="Arial" w:hAnsi="Arial" w:cs="Arial"/>
              </w:rPr>
            </w:pPr>
            <w:r>
              <w:rPr>
                <w:rFonts w:ascii="Arial" w:hAnsi="Arial" w:cs="Arial"/>
              </w:rPr>
              <w:t>16%</w:t>
            </w:r>
          </w:p>
        </w:tc>
      </w:tr>
      <w:tr w:rsidR="00970EA7" w:rsidRPr="00161C70" w:rsidTr="00CD0BF3">
        <w:tc>
          <w:tcPr>
            <w:tcW w:w="3438" w:type="dxa"/>
          </w:tcPr>
          <w:p w:rsidR="00970EA7" w:rsidRPr="00161C70" w:rsidRDefault="00970EA7" w:rsidP="00283BE4">
            <w:pPr>
              <w:rPr>
                <w:rFonts w:ascii="Arial" w:hAnsi="Arial" w:cs="Arial"/>
              </w:rPr>
            </w:pPr>
            <w:r>
              <w:rPr>
                <w:rFonts w:ascii="Arial" w:hAnsi="Arial" w:cs="Arial"/>
              </w:rPr>
              <w:t xml:space="preserve">Other </w:t>
            </w:r>
            <w:r w:rsidRPr="00161C70">
              <w:rPr>
                <w:rFonts w:ascii="Arial" w:hAnsi="Arial" w:cs="Arial"/>
              </w:rPr>
              <w:t>Female</w:t>
            </w:r>
          </w:p>
        </w:tc>
        <w:tc>
          <w:tcPr>
            <w:tcW w:w="2046" w:type="dxa"/>
          </w:tcPr>
          <w:p w:rsidR="00970EA7" w:rsidRPr="00161C70" w:rsidRDefault="00DF12A2" w:rsidP="00DF12A2">
            <w:pPr>
              <w:jc w:val="center"/>
              <w:rPr>
                <w:rFonts w:ascii="Arial" w:hAnsi="Arial" w:cs="Arial"/>
              </w:rPr>
            </w:pPr>
            <w:r>
              <w:rPr>
                <w:rFonts w:ascii="Arial" w:hAnsi="Arial" w:cs="Arial"/>
              </w:rPr>
              <w:t>6%</w:t>
            </w:r>
          </w:p>
        </w:tc>
        <w:tc>
          <w:tcPr>
            <w:tcW w:w="2046" w:type="dxa"/>
          </w:tcPr>
          <w:p w:rsidR="00970EA7" w:rsidRPr="00161C70" w:rsidRDefault="00DF12A2" w:rsidP="00DF12A2">
            <w:pPr>
              <w:jc w:val="center"/>
              <w:rPr>
                <w:rFonts w:ascii="Arial" w:hAnsi="Arial" w:cs="Arial"/>
              </w:rPr>
            </w:pPr>
            <w:r>
              <w:rPr>
                <w:rFonts w:ascii="Arial" w:hAnsi="Arial" w:cs="Arial"/>
              </w:rPr>
              <w:t>2%</w:t>
            </w:r>
          </w:p>
        </w:tc>
        <w:tc>
          <w:tcPr>
            <w:tcW w:w="2046" w:type="dxa"/>
          </w:tcPr>
          <w:p w:rsidR="00DF12A2" w:rsidRPr="00161C70" w:rsidRDefault="00DF12A2" w:rsidP="00DF12A2">
            <w:pPr>
              <w:jc w:val="center"/>
              <w:rPr>
                <w:rFonts w:ascii="Arial" w:hAnsi="Arial" w:cs="Arial"/>
              </w:rPr>
            </w:pPr>
            <w:r>
              <w:rPr>
                <w:rFonts w:ascii="Arial" w:hAnsi="Arial" w:cs="Arial"/>
              </w:rPr>
              <w:t>3%</w:t>
            </w:r>
          </w:p>
        </w:tc>
      </w:tr>
    </w:tbl>
    <w:p w:rsidR="00A567D3" w:rsidRDefault="00A567D3" w:rsidP="00827AE5">
      <w:pPr>
        <w:ind w:firstLine="360"/>
      </w:pPr>
    </w:p>
    <w:p w:rsidR="00A567D3" w:rsidRDefault="00A567D3" w:rsidP="00827AE5">
      <w:pPr>
        <w:ind w:firstLine="360"/>
      </w:pPr>
      <w:r w:rsidRPr="00A567D3">
        <w:rPr>
          <w:noProof/>
        </w:rPr>
        <w:lastRenderedPageBreak/>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67D3" w:rsidRDefault="00A567D3" w:rsidP="00827AE5">
      <w:pPr>
        <w:ind w:firstLine="360"/>
      </w:pPr>
    </w:p>
    <w:p w:rsidR="00A567D3" w:rsidRDefault="00A567D3" w:rsidP="00827AE5">
      <w:pPr>
        <w:ind w:firstLine="360"/>
      </w:pPr>
    </w:p>
    <w:p w:rsidR="00847243" w:rsidRDefault="00A567D3" w:rsidP="00827AE5">
      <w:pPr>
        <w:ind w:firstLine="360"/>
      </w:pPr>
      <w:r w:rsidRPr="00A567D3">
        <w:rPr>
          <w:noProof/>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67D3" w:rsidRDefault="00A567D3" w:rsidP="00827AE5">
      <w:pPr>
        <w:ind w:firstLine="360"/>
      </w:pPr>
    </w:p>
    <w:p w:rsidR="00A567D3" w:rsidRDefault="00A567D3" w:rsidP="00827AE5">
      <w:pPr>
        <w:ind w:firstLine="360"/>
      </w:pPr>
    </w:p>
    <w:p w:rsidR="00847243" w:rsidRDefault="00847243" w:rsidP="00827AE5">
      <w:pPr>
        <w:ind w:firstLine="360"/>
      </w:pPr>
    </w:p>
    <w:p w:rsidR="0028603C" w:rsidRPr="00825D14" w:rsidRDefault="0028603C" w:rsidP="0028603C">
      <w:pPr>
        <w:pStyle w:val="ListParagraph"/>
        <w:numPr>
          <w:ilvl w:val="0"/>
          <w:numId w:val="5"/>
        </w:numPr>
        <w:rPr>
          <w:rFonts w:ascii="Arial" w:hAnsi="Arial" w:cs="Arial"/>
          <w:b/>
        </w:rPr>
      </w:pPr>
      <w:r w:rsidRPr="00825D14">
        <w:rPr>
          <w:rFonts w:ascii="Arial" w:hAnsi="Arial" w:cs="Arial"/>
          <w:b/>
        </w:rPr>
        <w:t>Interpretation and Analysis of Trend Data</w:t>
      </w:r>
      <w:r w:rsidRPr="00825D14">
        <w:rPr>
          <w:rFonts w:ascii="Arial" w:hAnsi="Arial" w:cs="Arial"/>
          <w:b/>
        </w:rPr>
        <w:tab/>
      </w:r>
      <w:r w:rsidR="003A298D" w:rsidRPr="00825D14">
        <w:rPr>
          <w:rFonts w:ascii="Arial" w:hAnsi="Arial" w:cs="Arial"/>
          <w:i/>
        </w:rPr>
        <w:t>Suggestions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3A298D" w:rsidRDefault="003A298D" w:rsidP="003A298D">
      <w:pPr>
        <w:ind w:left="360" w:firstLine="360"/>
        <w:rPr>
          <w:rFonts w:ascii="Arial" w:hAnsi="Arial" w:cs="Arial"/>
        </w:rPr>
      </w:pPr>
    </w:p>
    <w:p w:rsidR="0093050C" w:rsidRDefault="0093050C" w:rsidP="0093050C">
      <w:pPr>
        <w:ind w:left="720"/>
        <w:rPr>
          <w:rFonts w:ascii="Arial" w:hAnsi="Arial" w:cs="Arial"/>
        </w:rPr>
      </w:pPr>
      <w:r>
        <w:rPr>
          <w:rFonts w:ascii="Arial" w:hAnsi="Arial" w:cs="Arial"/>
        </w:rPr>
        <w:t xml:space="preserve">Enrollment in Civil Engineering Technology and Construction Management Technology programs has increased while Architectural Technology enrollment has been trending down.  Some of this may be due to better advising of the differences between Architectural Technology and Architecture and the fact that few, if any, classes will transfer to a traditional Architecture program. </w:t>
      </w:r>
    </w:p>
    <w:p w:rsidR="0093050C" w:rsidRPr="00825D14" w:rsidRDefault="0093050C" w:rsidP="0093050C">
      <w:pPr>
        <w:ind w:left="720"/>
        <w:rPr>
          <w:rFonts w:ascii="Arial" w:hAnsi="Arial" w:cs="Arial"/>
          <w:b/>
        </w:rPr>
      </w:pPr>
      <w:r>
        <w:rPr>
          <w:rFonts w:ascii="Arial" w:hAnsi="Arial" w:cs="Arial"/>
        </w:rPr>
        <w:lastRenderedPageBreak/>
        <w:t xml:space="preserve">All three programs are made up of predominantly male students; interestingly, the percentage of black males in construction management significantly exceeds the percentage in the other two programs.  The architectural program has the highest female enrollment, approaching 20%.  It should be noted that students who have difficulty passing statics in either the Architectural Technology or Civil Engineering Technology program will ultimately graduate from the Construction Management program. </w:t>
      </w:r>
    </w:p>
    <w:p w:rsidR="003A298D" w:rsidRPr="00825D14" w:rsidRDefault="003A298D" w:rsidP="006A2AA3">
      <w:pPr>
        <w:spacing w:after="200" w:line="276" w:lineRule="auto"/>
        <w:jc w:val="center"/>
        <w:rPr>
          <w:rFonts w:ascii="Arial" w:hAnsi="Arial" w:cs="Arial"/>
          <w:b/>
        </w:rPr>
      </w:pPr>
    </w:p>
    <w:p w:rsidR="00F0239E" w:rsidRPr="00825D14" w:rsidRDefault="00F0239E" w:rsidP="00D708C3">
      <w:pPr>
        <w:spacing w:after="200" w:line="276" w:lineRule="auto"/>
        <w:rPr>
          <w:rFonts w:ascii="Arial" w:hAnsi="Arial" w:cs="Arial"/>
          <w:b/>
          <w:u w:val="single"/>
        </w:rPr>
      </w:pPr>
      <w:r w:rsidRPr="00825D14">
        <w:rPr>
          <w:rFonts w:ascii="Arial" w:hAnsi="Arial" w:cs="Arial"/>
          <w:b/>
          <w:u w:val="single"/>
        </w:rPr>
        <w:t xml:space="preserve">Section II:  </w:t>
      </w:r>
      <w:r w:rsidR="00B81607" w:rsidRPr="00825D14">
        <w:rPr>
          <w:rFonts w:ascii="Arial" w:hAnsi="Arial" w:cs="Arial"/>
          <w:b/>
          <w:u w:val="single"/>
        </w:rPr>
        <w:t xml:space="preserve">Progress </w:t>
      </w:r>
      <w:proofErr w:type="gramStart"/>
      <w:r w:rsidR="00B81607" w:rsidRPr="00825D14">
        <w:rPr>
          <w:rFonts w:ascii="Arial" w:hAnsi="Arial" w:cs="Arial"/>
          <w:b/>
          <w:u w:val="single"/>
        </w:rPr>
        <w:t>Since</w:t>
      </w:r>
      <w:proofErr w:type="gramEnd"/>
      <w:r w:rsidR="00B81607" w:rsidRPr="00825D14">
        <w:rPr>
          <w:rFonts w:ascii="Arial" w:hAnsi="Arial" w:cs="Arial"/>
          <w:b/>
          <w:u w:val="single"/>
        </w:rPr>
        <w:t xml:space="preserve"> the Most Recent </w:t>
      </w:r>
      <w:r w:rsidRPr="00825D14">
        <w:rPr>
          <w:rFonts w:ascii="Arial" w:hAnsi="Arial" w:cs="Arial"/>
          <w:b/>
          <w:u w:val="single"/>
        </w:rPr>
        <w:t>Review</w:t>
      </w:r>
    </w:p>
    <w:p w:rsidR="00F0239E" w:rsidRPr="00825D14" w:rsidRDefault="00F0239E" w:rsidP="00F0239E">
      <w:pPr>
        <w:rPr>
          <w:rFonts w:ascii="Arial" w:hAnsi="Arial" w:cs="Arial"/>
        </w:rPr>
      </w:pPr>
    </w:p>
    <w:p w:rsidR="00F0239E" w:rsidRPr="00825D14" w:rsidRDefault="00F0239E" w:rsidP="00F0239E">
      <w:pPr>
        <w:pStyle w:val="ListParagraph"/>
        <w:numPr>
          <w:ilvl w:val="0"/>
          <w:numId w:val="6"/>
        </w:numPr>
        <w:rPr>
          <w:rFonts w:ascii="Arial" w:hAnsi="Arial" w:cs="Arial"/>
        </w:rPr>
      </w:pPr>
      <w:r w:rsidRPr="00825D14">
        <w:rPr>
          <w:rFonts w:ascii="Arial" w:hAnsi="Arial" w:cs="Arial"/>
        </w:rPr>
        <w:t xml:space="preserve">What was the fiscal year of the most recent Program Review for this program? </w:t>
      </w:r>
      <w:r w:rsidR="00825D14" w:rsidRPr="00825D14">
        <w:rPr>
          <w:rFonts w:ascii="Arial" w:hAnsi="Arial" w:cs="Arial"/>
        </w:rPr>
        <w:t>2005-06</w:t>
      </w:r>
    </w:p>
    <w:p w:rsidR="0094204C" w:rsidRPr="00825D14" w:rsidRDefault="0094204C" w:rsidP="0094204C">
      <w:pPr>
        <w:pStyle w:val="ListParagraph"/>
        <w:rPr>
          <w:rFonts w:ascii="Arial" w:hAnsi="Arial" w:cs="Arial"/>
        </w:rPr>
      </w:pPr>
    </w:p>
    <w:p w:rsidR="0094204C" w:rsidRPr="00825D14" w:rsidRDefault="0094204C" w:rsidP="0094204C">
      <w:pPr>
        <w:pStyle w:val="ListParagraph"/>
        <w:numPr>
          <w:ilvl w:val="0"/>
          <w:numId w:val="6"/>
        </w:numPr>
        <w:tabs>
          <w:tab w:val="left" w:pos="504"/>
        </w:tabs>
        <w:spacing w:after="120"/>
        <w:rPr>
          <w:rFonts w:ascii="Arial" w:hAnsi="Arial" w:cs="Arial"/>
        </w:rPr>
      </w:pPr>
      <w:r w:rsidRPr="00825D14">
        <w:rPr>
          <w:rFonts w:ascii="Arial" w:hAnsi="Arial" w:cs="Arial"/>
        </w:rPr>
        <w:t xml:space="preserve">Briefly summarize the </w:t>
      </w:r>
      <w:r w:rsidR="000337E6" w:rsidRPr="00825D14">
        <w:rPr>
          <w:rFonts w:ascii="Arial" w:hAnsi="Arial" w:cs="Arial"/>
        </w:rPr>
        <w:t xml:space="preserve">goals </w:t>
      </w:r>
      <w:r w:rsidRPr="00825D14">
        <w:rPr>
          <w:rFonts w:ascii="Arial" w:hAnsi="Arial" w:cs="Arial"/>
        </w:rPr>
        <w:t xml:space="preserve">that </w:t>
      </w:r>
      <w:r w:rsidR="000337E6" w:rsidRPr="00825D14">
        <w:rPr>
          <w:rFonts w:ascii="Arial" w:hAnsi="Arial" w:cs="Arial"/>
        </w:rPr>
        <w:t>were listed in Section IV part E of the most recent Program Review Self-Study</w:t>
      </w:r>
      <w:r w:rsidRPr="00825D14">
        <w:rPr>
          <w:rFonts w:ascii="Arial" w:hAnsi="Arial" w:cs="Arial"/>
        </w:rPr>
        <w:t xml:space="preserve"> (this section of the Self-Study asks “</w:t>
      </w:r>
      <w:r w:rsidRPr="00825D14">
        <w:rPr>
          <w:rFonts w:ascii="Arial" w:hAnsi="Arial" w:cs="Arial"/>
          <w:color w:val="000000"/>
        </w:rPr>
        <w:t>What are the department’s/program’s goals and rationale for expanding and improving student learning, including new courses, programs, delivery formats and locations”)?</w:t>
      </w:r>
    </w:p>
    <w:p w:rsidR="0094204C" w:rsidRPr="00825D14" w:rsidRDefault="0094204C" w:rsidP="0094204C">
      <w:pPr>
        <w:pStyle w:val="ListParagraph"/>
        <w:rPr>
          <w:rFonts w:ascii="Arial" w:hAnsi="Arial" w:cs="Arial"/>
        </w:rPr>
      </w:pPr>
    </w:p>
    <w:p w:rsidR="0094204C" w:rsidRDefault="0093050C" w:rsidP="0094204C">
      <w:pPr>
        <w:pStyle w:val="ListParagraph"/>
        <w:rPr>
          <w:rFonts w:ascii="Arial" w:hAnsi="Arial" w:cs="Arial"/>
        </w:rPr>
      </w:pPr>
      <w:r>
        <w:rPr>
          <w:rFonts w:ascii="Arial" w:hAnsi="Arial" w:cs="Arial"/>
        </w:rPr>
        <w:t>Increase course offerings at remote sites (Learning Centers and Warren County)</w:t>
      </w:r>
    </w:p>
    <w:p w:rsidR="0093050C" w:rsidRPr="00825D14" w:rsidRDefault="0093050C" w:rsidP="0094204C">
      <w:pPr>
        <w:pStyle w:val="ListParagraph"/>
        <w:rPr>
          <w:rFonts w:ascii="Arial" w:hAnsi="Arial" w:cs="Arial"/>
        </w:rPr>
      </w:pPr>
      <w:r>
        <w:rPr>
          <w:rFonts w:ascii="Arial" w:hAnsi="Arial" w:cs="Arial"/>
        </w:rPr>
        <w:t>Continue to develop on-line courses in Construction Management</w:t>
      </w:r>
    </w:p>
    <w:p w:rsidR="0094204C" w:rsidRPr="00825D14" w:rsidRDefault="0094204C" w:rsidP="0094204C">
      <w:pPr>
        <w:pStyle w:val="ListParagraph"/>
        <w:tabs>
          <w:tab w:val="left" w:pos="504"/>
        </w:tabs>
        <w:spacing w:after="120"/>
        <w:rPr>
          <w:rFonts w:ascii="Arial" w:hAnsi="Arial" w:cs="Arial"/>
        </w:rPr>
      </w:pPr>
    </w:p>
    <w:p w:rsidR="00320CDE" w:rsidRPr="00825D14" w:rsidRDefault="00320CDE" w:rsidP="00320CDE">
      <w:pPr>
        <w:pStyle w:val="ListParagraph"/>
        <w:numPr>
          <w:ilvl w:val="0"/>
          <w:numId w:val="6"/>
        </w:numPr>
        <w:rPr>
          <w:rFonts w:ascii="Arial" w:hAnsi="Arial" w:cs="Arial"/>
        </w:rPr>
      </w:pPr>
      <w:r w:rsidRPr="00825D14">
        <w:rPr>
          <w:rFonts w:ascii="Arial" w:hAnsi="Arial" w:cs="Arial"/>
        </w:rPr>
        <w:t>Have these goals changed since your last Program Review Self-Study?  If so, please describe the changes.</w:t>
      </w:r>
    </w:p>
    <w:p w:rsidR="00320CDE" w:rsidRDefault="00320CDE" w:rsidP="00320CDE">
      <w:pPr>
        <w:pStyle w:val="ListParagraph"/>
        <w:rPr>
          <w:rFonts w:ascii="Arial" w:hAnsi="Arial" w:cs="Arial"/>
        </w:rPr>
      </w:pPr>
    </w:p>
    <w:p w:rsidR="0093050C" w:rsidRPr="00825D14" w:rsidRDefault="0093050C" w:rsidP="00320CDE">
      <w:pPr>
        <w:pStyle w:val="ListParagraph"/>
        <w:rPr>
          <w:rFonts w:ascii="Arial" w:hAnsi="Arial" w:cs="Arial"/>
        </w:rPr>
      </w:pPr>
      <w:r>
        <w:rPr>
          <w:rFonts w:ascii="Arial" w:hAnsi="Arial" w:cs="Arial"/>
        </w:rPr>
        <w:t xml:space="preserve">There have been few opportunities to expand these programs to outlying campuses and locations.  There have been no resources to develop more Construction Management courses in an on-line format.  </w:t>
      </w:r>
      <w:proofErr w:type="gramStart"/>
      <w:r>
        <w:rPr>
          <w:rFonts w:ascii="Arial" w:hAnsi="Arial" w:cs="Arial"/>
        </w:rPr>
        <w:t>Increased emphasis on project-based learning, including a new, integrated capstone project.</w:t>
      </w:r>
      <w:proofErr w:type="gramEnd"/>
      <w:r>
        <w:rPr>
          <w:rFonts w:ascii="Arial" w:hAnsi="Arial" w:cs="Arial"/>
        </w:rPr>
        <w:t xml:space="preserve">  </w:t>
      </w:r>
      <w:proofErr w:type="gramStart"/>
      <w:r>
        <w:rPr>
          <w:rFonts w:ascii="Arial" w:hAnsi="Arial" w:cs="Arial"/>
        </w:rPr>
        <w:t>Significant efforts to “keep up” with changing software tools in the industry.</w:t>
      </w:r>
      <w:proofErr w:type="gramEnd"/>
    </w:p>
    <w:p w:rsidR="00320CDE" w:rsidRPr="00825D14" w:rsidRDefault="00320CDE" w:rsidP="00320CDE">
      <w:pPr>
        <w:pStyle w:val="ListParagraph"/>
        <w:rPr>
          <w:rFonts w:ascii="Arial" w:hAnsi="Arial" w:cs="Arial"/>
        </w:rPr>
      </w:pPr>
    </w:p>
    <w:p w:rsidR="00F0239E" w:rsidRPr="00825D14" w:rsidRDefault="000337E6" w:rsidP="00F0239E">
      <w:pPr>
        <w:pStyle w:val="ListParagraph"/>
        <w:numPr>
          <w:ilvl w:val="0"/>
          <w:numId w:val="6"/>
        </w:numPr>
        <w:rPr>
          <w:rFonts w:ascii="Arial" w:hAnsi="Arial" w:cs="Arial"/>
        </w:rPr>
      </w:pPr>
      <w:r w:rsidRPr="00825D14">
        <w:rPr>
          <w:rFonts w:ascii="Arial" w:hAnsi="Arial" w:cs="Arial"/>
        </w:rPr>
        <w:t xml:space="preserve">What progress has been made toward </w:t>
      </w:r>
      <w:r w:rsidR="0094204C" w:rsidRPr="00825D14">
        <w:rPr>
          <w:rFonts w:ascii="Arial" w:hAnsi="Arial" w:cs="Arial"/>
        </w:rPr>
        <w:t xml:space="preserve">meeting </w:t>
      </w:r>
      <w:r w:rsidR="00320CDE" w:rsidRPr="00825D14">
        <w:rPr>
          <w:rFonts w:ascii="Arial" w:hAnsi="Arial" w:cs="Arial"/>
        </w:rPr>
        <w:t>any of the goals listed above</w:t>
      </w:r>
      <w:r w:rsidRPr="00825D14">
        <w:rPr>
          <w:rFonts w:ascii="Arial" w:hAnsi="Arial" w:cs="Arial"/>
        </w:rPr>
        <w:t xml:space="preserve"> in the past year?</w:t>
      </w:r>
    </w:p>
    <w:p w:rsidR="000337E6" w:rsidRDefault="000337E6" w:rsidP="000337E6">
      <w:pPr>
        <w:pStyle w:val="ListParagraph"/>
        <w:rPr>
          <w:rFonts w:ascii="Arial" w:hAnsi="Arial" w:cs="Arial"/>
        </w:rPr>
      </w:pPr>
    </w:p>
    <w:p w:rsidR="0093050C" w:rsidRDefault="0093050C" w:rsidP="000337E6">
      <w:pPr>
        <w:pStyle w:val="ListParagraph"/>
        <w:rPr>
          <w:rFonts w:ascii="Arial" w:hAnsi="Arial" w:cs="Arial"/>
        </w:rPr>
      </w:pPr>
      <w:proofErr w:type="gramStart"/>
      <w:r>
        <w:rPr>
          <w:rFonts w:ascii="Arial" w:hAnsi="Arial" w:cs="Arial"/>
        </w:rPr>
        <w:t>Continued implementation of integrated capstone project.</w:t>
      </w:r>
      <w:proofErr w:type="gramEnd"/>
    </w:p>
    <w:p w:rsidR="0093050C" w:rsidRDefault="0093050C" w:rsidP="000337E6">
      <w:pPr>
        <w:pStyle w:val="ListParagraph"/>
        <w:rPr>
          <w:rFonts w:ascii="Arial" w:hAnsi="Arial" w:cs="Arial"/>
        </w:rPr>
      </w:pPr>
      <w:r>
        <w:rPr>
          <w:rFonts w:ascii="Arial" w:hAnsi="Arial" w:cs="Arial"/>
        </w:rPr>
        <w:t>Implemented Revit design software in all programs and used in the capstone.</w:t>
      </w:r>
    </w:p>
    <w:p w:rsidR="0094204C" w:rsidRPr="00825D14" w:rsidRDefault="0094204C" w:rsidP="000337E6">
      <w:pPr>
        <w:pStyle w:val="ListParagraph"/>
        <w:rPr>
          <w:rFonts w:ascii="Arial" w:hAnsi="Arial" w:cs="Arial"/>
        </w:rPr>
      </w:pPr>
    </w:p>
    <w:p w:rsidR="0094204C" w:rsidRPr="00825D14" w:rsidRDefault="000337E6" w:rsidP="00F0239E">
      <w:pPr>
        <w:pStyle w:val="ListParagraph"/>
        <w:numPr>
          <w:ilvl w:val="0"/>
          <w:numId w:val="6"/>
        </w:numPr>
        <w:rPr>
          <w:rFonts w:ascii="Arial" w:hAnsi="Arial" w:cs="Arial"/>
        </w:rPr>
      </w:pPr>
      <w:r w:rsidRPr="00825D14">
        <w:rPr>
          <w:rFonts w:ascii="Arial" w:hAnsi="Arial" w:cs="Arial"/>
        </w:rPr>
        <w:t>What Recommendations for Action were made by the review team to the most recent Program Review?  What progress has been made towards meeting these recommendations in the past year</w:t>
      </w:r>
      <w:r w:rsidR="0094204C" w:rsidRPr="00825D14">
        <w:rPr>
          <w:rFonts w:ascii="Arial" w:hAnsi="Arial" w:cs="Arial"/>
        </w:rPr>
        <w:t xml:space="preserve">? </w:t>
      </w:r>
    </w:p>
    <w:p w:rsidR="000337E6" w:rsidRDefault="000337E6" w:rsidP="0094204C">
      <w:pPr>
        <w:pStyle w:val="ListParagraph"/>
        <w:rPr>
          <w:rFonts w:ascii="Arial" w:hAnsi="Arial" w:cs="Arial"/>
        </w:rPr>
      </w:pPr>
    </w:p>
    <w:p w:rsidR="0093050C" w:rsidRDefault="0093050C" w:rsidP="0093050C">
      <w:pPr>
        <w:pStyle w:val="ListParagraph"/>
        <w:numPr>
          <w:ilvl w:val="0"/>
          <w:numId w:val="23"/>
        </w:numPr>
        <w:rPr>
          <w:rFonts w:ascii="Arial" w:hAnsi="Arial" w:cs="Arial"/>
        </w:rPr>
      </w:pPr>
      <w:r>
        <w:rPr>
          <w:rFonts w:ascii="Arial" w:hAnsi="Arial" w:cs="Arial"/>
        </w:rPr>
        <w:t>Improve tracking of non-graduates, including those who “job-out” – no significant progress</w:t>
      </w:r>
      <w:proofErr w:type="gramStart"/>
      <w:r>
        <w:rPr>
          <w:rFonts w:ascii="Arial" w:hAnsi="Arial" w:cs="Arial"/>
        </w:rPr>
        <w:t>..</w:t>
      </w:r>
      <w:proofErr w:type="gramEnd"/>
    </w:p>
    <w:p w:rsidR="0093050C" w:rsidRDefault="0093050C" w:rsidP="0094204C">
      <w:pPr>
        <w:pStyle w:val="ListParagraph"/>
        <w:rPr>
          <w:rFonts w:ascii="Arial" w:hAnsi="Arial" w:cs="Arial"/>
        </w:rPr>
      </w:pPr>
    </w:p>
    <w:p w:rsidR="0093050C" w:rsidRDefault="0093050C" w:rsidP="0093050C">
      <w:pPr>
        <w:pStyle w:val="ListParagraph"/>
        <w:numPr>
          <w:ilvl w:val="0"/>
          <w:numId w:val="23"/>
        </w:numPr>
        <w:rPr>
          <w:rFonts w:ascii="Arial" w:hAnsi="Arial" w:cs="Arial"/>
        </w:rPr>
      </w:pPr>
      <w:r>
        <w:rPr>
          <w:rFonts w:ascii="Arial" w:hAnsi="Arial" w:cs="Arial"/>
        </w:rPr>
        <w:t>Conduct student interviews earlier in the program to determine ways to improve student success and persistence – no action.</w:t>
      </w:r>
    </w:p>
    <w:p w:rsidR="0093050C" w:rsidRDefault="0093050C" w:rsidP="0094204C">
      <w:pPr>
        <w:pStyle w:val="ListParagraph"/>
        <w:rPr>
          <w:rFonts w:ascii="Arial" w:hAnsi="Arial" w:cs="Arial"/>
        </w:rPr>
      </w:pPr>
    </w:p>
    <w:p w:rsidR="0093050C" w:rsidRDefault="0093050C" w:rsidP="0093050C">
      <w:pPr>
        <w:pStyle w:val="ListParagraph"/>
        <w:numPr>
          <w:ilvl w:val="0"/>
          <w:numId w:val="23"/>
        </w:numPr>
        <w:rPr>
          <w:rFonts w:ascii="Arial" w:hAnsi="Arial" w:cs="Arial"/>
        </w:rPr>
      </w:pPr>
      <w:r>
        <w:rPr>
          <w:rFonts w:ascii="Arial" w:hAnsi="Arial" w:cs="Arial"/>
        </w:rPr>
        <w:t>Explore ways to reach out to Developmental students – no action.</w:t>
      </w:r>
    </w:p>
    <w:p w:rsidR="0093050C" w:rsidRDefault="0093050C" w:rsidP="0094204C">
      <w:pPr>
        <w:pStyle w:val="ListParagraph"/>
        <w:rPr>
          <w:rFonts w:ascii="Arial" w:hAnsi="Arial" w:cs="Arial"/>
        </w:rPr>
      </w:pPr>
    </w:p>
    <w:p w:rsidR="0093050C" w:rsidRDefault="0093050C" w:rsidP="0093050C">
      <w:pPr>
        <w:pStyle w:val="ListParagraph"/>
        <w:numPr>
          <w:ilvl w:val="0"/>
          <w:numId w:val="23"/>
        </w:numPr>
        <w:rPr>
          <w:rFonts w:ascii="Arial" w:hAnsi="Arial" w:cs="Arial"/>
        </w:rPr>
      </w:pPr>
      <w:r>
        <w:rPr>
          <w:rFonts w:ascii="Arial" w:hAnsi="Arial" w:cs="Arial"/>
        </w:rPr>
        <w:t>Incorporate TAC/ABET recommendations – “Clean” TAC-ABET review.</w:t>
      </w:r>
    </w:p>
    <w:p w:rsidR="0093050C" w:rsidRPr="00825D14" w:rsidRDefault="0093050C" w:rsidP="0094204C">
      <w:pPr>
        <w:pStyle w:val="ListParagraph"/>
        <w:rPr>
          <w:rFonts w:ascii="Arial" w:hAnsi="Arial" w:cs="Arial"/>
        </w:rPr>
      </w:pPr>
    </w:p>
    <w:p w:rsidR="0094204C" w:rsidRPr="00825D14" w:rsidRDefault="0094204C" w:rsidP="00D708C3">
      <w:pPr>
        <w:rPr>
          <w:rFonts w:ascii="Arial" w:hAnsi="Arial" w:cs="Arial"/>
          <w:b/>
          <w:u w:val="single"/>
        </w:rPr>
      </w:pPr>
      <w:r w:rsidRPr="00825D14">
        <w:rPr>
          <w:rFonts w:ascii="Arial" w:hAnsi="Arial" w:cs="Arial"/>
          <w:b/>
          <w:u w:val="single"/>
        </w:rPr>
        <w:t>Section III: Assessment of Outcomes</w:t>
      </w:r>
    </w:p>
    <w:p w:rsidR="00827AE5" w:rsidRPr="00825D14" w:rsidRDefault="00827AE5" w:rsidP="00827AE5">
      <w:pPr>
        <w:rPr>
          <w:rFonts w:ascii="Arial" w:hAnsi="Arial" w:cs="Arial"/>
        </w:rPr>
      </w:pPr>
    </w:p>
    <w:p w:rsidR="00F0239E" w:rsidRPr="00825D14" w:rsidRDefault="00D31DDA" w:rsidP="00827AE5">
      <w:pPr>
        <w:rPr>
          <w:rFonts w:ascii="Arial" w:hAnsi="Arial" w:cs="Arial"/>
        </w:rPr>
      </w:pPr>
      <w:r w:rsidRPr="00825D14">
        <w:rPr>
          <w:rFonts w:ascii="Arial" w:hAnsi="Arial" w:cs="Arial"/>
        </w:rPr>
        <w:t>The Program Outcomes for this program are listed below.</w:t>
      </w:r>
      <w:r w:rsidR="00A63ACE" w:rsidRPr="00825D14">
        <w:rPr>
          <w:rFonts w:ascii="Arial" w:hAnsi="Arial" w:cs="Arial"/>
        </w:rPr>
        <w:t xml:space="preserve">  </w:t>
      </w:r>
      <w:r w:rsidR="00A63ACE" w:rsidRPr="00825D14">
        <w:rPr>
          <w:rFonts w:ascii="Arial" w:hAnsi="Arial" w:cs="Arial"/>
          <w:b/>
        </w:rPr>
        <w:t xml:space="preserve">At least </w:t>
      </w:r>
      <w:r w:rsidR="00E749F1" w:rsidRPr="00825D14">
        <w:rPr>
          <w:rFonts w:ascii="Arial" w:hAnsi="Arial" w:cs="Arial"/>
          <w:b/>
        </w:rPr>
        <w:t>one-third of your</w:t>
      </w:r>
      <w:r w:rsidR="00A63ACE" w:rsidRPr="00825D14">
        <w:rPr>
          <w:rFonts w:ascii="Arial" w:hAnsi="Arial" w:cs="Arial"/>
          <w:b/>
        </w:rPr>
        <w:t xml:space="preserve"> program outcomes </w:t>
      </w:r>
      <w:r w:rsidR="00EC0B9E" w:rsidRPr="00825D14">
        <w:rPr>
          <w:rFonts w:ascii="Arial" w:hAnsi="Arial" w:cs="Arial"/>
          <w:b/>
        </w:rPr>
        <w:t xml:space="preserve">must </w:t>
      </w:r>
      <w:r w:rsidR="00A63ACE" w:rsidRPr="00825D14">
        <w:rPr>
          <w:rFonts w:ascii="Arial" w:hAnsi="Arial" w:cs="Arial"/>
          <w:b/>
        </w:rPr>
        <w:t xml:space="preserve">be assessed as part of this Annual Update, and across the next three years all of these program outcomes </w:t>
      </w:r>
      <w:r w:rsidR="00120E81" w:rsidRPr="00825D14">
        <w:rPr>
          <w:rFonts w:ascii="Arial" w:hAnsi="Arial" w:cs="Arial"/>
          <w:b/>
        </w:rPr>
        <w:t>must</w:t>
      </w:r>
      <w:r w:rsidR="00A63ACE" w:rsidRPr="00825D14">
        <w:rPr>
          <w:rFonts w:ascii="Arial" w:hAnsi="Arial" w:cs="Arial"/>
          <w:b/>
        </w:rPr>
        <w:t xml:space="preserve"> </w:t>
      </w:r>
      <w:r w:rsidR="00AF6A23" w:rsidRPr="00825D14">
        <w:rPr>
          <w:rFonts w:ascii="Arial" w:hAnsi="Arial" w:cs="Arial"/>
          <w:b/>
        </w:rPr>
        <w:t>be</w:t>
      </w:r>
      <w:r w:rsidR="00A63ACE" w:rsidRPr="00825D14">
        <w:rPr>
          <w:rFonts w:ascii="Arial" w:hAnsi="Arial" w:cs="Arial"/>
          <w:b/>
        </w:rPr>
        <w:t xml:space="preserve"> assessed at least once</w:t>
      </w:r>
      <w:r w:rsidR="00A63ACE" w:rsidRPr="00825D14">
        <w:rPr>
          <w:rFonts w:ascii="Arial" w:hAnsi="Arial" w:cs="Arial"/>
        </w:rPr>
        <w:t>.</w:t>
      </w:r>
    </w:p>
    <w:tbl>
      <w:tblPr>
        <w:tblStyle w:val="TableGrid"/>
        <w:tblW w:w="10838" w:type="dxa"/>
        <w:tblInd w:w="-732" w:type="dxa"/>
        <w:shd w:val="clear" w:color="auto" w:fill="FFFFFF"/>
        <w:tblLayout w:type="fixed"/>
        <w:tblLook w:val="01E0" w:firstRow="1" w:lastRow="1" w:firstColumn="1" w:lastColumn="1" w:noHBand="0" w:noVBand="0"/>
      </w:tblPr>
      <w:tblGrid>
        <w:gridCol w:w="3900"/>
        <w:gridCol w:w="1350"/>
        <w:gridCol w:w="1620"/>
        <w:gridCol w:w="3968"/>
      </w:tblGrid>
      <w:tr w:rsidR="002C1797" w:rsidRPr="006137FD" w:rsidTr="000E0B09">
        <w:trPr>
          <w:trHeight w:val="71"/>
        </w:trPr>
        <w:tc>
          <w:tcPr>
            <w:tcW w:w="3900" w:type="dxa"/>
            <w:shd w:val="clear" w:color="auto" w:fill="FFFFFF"/>
            <w:vAlign w:val="center"/>
          </w:tcPr>
          <w:p w:rsidR="005A037F" w:rsidRDefault="005A037F" w:rsidP="008860C1">
            <w:pPr>
              <w:jc w:val="center"/>
              <w:rPr>
                <w:b/>
                <w:sz w:val="24"/>
                <w:szCs w:val="24"/>
                <w:u w:val="single"/>
              </w:rPr>
            </w:pPr>
            <w:r>
              <w:rPr>
                <w:b/>
                <w:sz w:val="24"/>
                <w:szCs w:val="24"/>
                <w:u w:val="single"/>
              </w:rPr>
              <w:t>Civil and Construction Technology</w:t>
            </w:r>
          </w:p>
          <w:p w:rsidR="002C1797" w:rsidRPr="002C1797" w:rsidRDefault="002C1797" w:rsidP="008860C1">
            <w:pPr>
              <w:jc w:val="center"/>
              <w:rPr>
                <w:sz w:val="24"/>
                <w:szCs w:val="24"/>
              </w:rPr>
            </w:pPr>
            <w:r w:rsidRPr="002C1797">
              <w:rPr>
                <w:sz w:val="24"/>
                <w:szCs w:val="24"/>
              </w:rPr>
              <w:t>Program Outcomes</w:t>
            </w:r>
          </w:p>
        </w:tc>
        <w:tc>
          <w:tcPr>
            <w:tcW w:w="1350" w:type="dxa"/>
            <w:vAlign w:val="center"/>
          </w:tcPr>
          <w:p w:rsidR="002C1797" w:rsidRPr="002C1797" w:rsidRDefault="00AF6A23" w:rsidP="000E0B09">
            <w:pPr>
              <w:jc w:val="center"/>
              <w:rPr>
                <w:sz w:val="20"/>
                <w:szCs w:val="20"/>
              </w:rPr>
            </w:pPr>
            <w:r>
              <w:rPr>
                <w:sz w:val="20"/>
                <w:szCs w:val="20"/>
              </w:rPr>
              <w:t>In which courses are these program outcomes addressed</w:t>
            </w:r>
            <w:r w:rsidR="002C1797" w:rsidRPr="002C1797">
              <w:rPr>
                <w:sz w:val="20"/>
                <w:szCs w:val="20"/>
              </w:rPr>
              <w:t>?</w:t>
            </w:r>
          </w:p>
        </w:tc>
        <w:tc>
          <w:tcPr>
            <w:tcW w:w="162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396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0E0B09">
        <w:trPr>
          <w:trHeight w:val="269"/>
        </w:trPr>
        <w:tc>
          <w:tcPr>
            <w:tcW w:w="3900" w:type="dxa"/>
            <w:shd w:val="clear" w:color="auto" w:fill="FFFFFF"/>
            <w:vAlign w:val="center"/>
          </w:tcPr>
          <w:p w:rsidR="002C1797" w:rsidRPr="000E0B09" w:rsidRDefault="002C1797" w:rsidP="005A037F">
            <w:pPr>
              <w:rPr>
                <w:rFonts w:ascii="Arial" w:hAnsi="Arial" w:cs="Arial"/>
                <w:b/>
              </w:rPr>
            </w:pPr>
            <w:r w:rsidRPr="000E0B09">
              <w:rPr>
                <w:rFonts w:ascii="Arial" w:hAnsi="Arial" w:cs="Arial"/>
                <w:b/>
              </w:rPr>
              <w:t xml:space="preserve">1) </w:t>
            </w:r>
            <w:r w:rsidR="005A037F" w:rsidRPr="000E0B09">
              <w:rPr>
                <w:rFonts w:ascii="Arial" w:hAnsi="Arial" w:cs="Arial"/>
              </w:rPr>
              <w:t>Communicate effectively and professional in the architectural environment through proper usage of verbal, written and graphic skills.</w:t>
            </w:r>
          </w:p>
        </w:tc>
        <w:tc>
          <w:tcPr>
            <w:tcW w:w="1350" w:type="dxa"/>
            <w:vAlign w:val="center"/>
          </w:tcPr>
          <w:p w:rsidR="002C1797" w:rsidRPr="002C1797" w:rsidRDefault="000E0B09" w:rsidP="000E0B09">
            <w:pPr>
              <w:jc w:val="center"/>
              <w:rPr>
                <w:sz w:val="20"/>
                <w:szCs w:val="20"/>
              </w:rPr>
            </w:pPr>
            <w:r w:rsidRPr="00376F90">
              <w:rPr>
                <w:rFonts w:ascii="Arial" w:hAnsi="Arial" w:cs="Arial"/>
              </w:rPr>
              <w:t>COM 206, ENG 111, ENG 112, CAT 101, CAT 121, CAT 201, CAT 216, CAT 221, CAT 223, CAT 227, CAT 245, CAT 255, CAT 278</w:t>
            </w:r>
          </w:p>
        </w:tc>
        <w:tc>
          <w:tcPr>
            <w:tcW w:w="1620" w:type="dxa"/>
            <w:shd w:val="clear" w:color="auto" w:fill="auto"/>
          </w:tcPr>
          <w:p w:rsidR="002C1797" w:rsidRPr="00690A3D" w:rsidRDefault="00A22A21" w:rsidP="00690A3D">
            <w:pPr>
              <w:rPr>
                <w:rFonts w:asciiTheme="minorHAnsi" w:hAnsiTheme="minorHAnsi"/>
                <w:sz w:val="16"/>
                <w:szCs w:val="16"/>
              </w:rPr>
            </w:pPr>
            <w:r>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12" o:title=""/>
                  <o:lock v:ext="edit" aspectratio="t"/>
                  <w10:wrap type="tight"/>
                </v:shape>
                <w:control r:id="rId13" w:name="CheckBox1" w:shapeid="_x0000_s1038"/>
              </w:pict>
            </w:r>
          </w:p>
        </w:tc>
        <w:tc>
          <w:tcPr>
            <w:tcW w:w="3968" w:type="dxa"/>
          </w:tcPr>
          <w:p w:rsidR="000E0B09" w:rsidRDefault="000E0B09" w:rsidP="000E0B09">
            <w:pPr>
              <w:rPr>
                <w:rFonts w:ascii="Arial" w:hAnsi="Arial" w:cs="Arial"/>
              </w:rPr>
            </w:pPr>
            <w:r>
              <w:rPr>
                <w:rFonts w:ascii="Arial" w:hAnsi="Arial" w:cs="Arial"/>
              </w:rPr>
              <w:t>Faculty and Advisory Committee assessment of CAT 278 Capstone Course</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Core competency survey at the time of graduation</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Graduate Exit Interviews</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Employer Surveys</w:t>
            </w:r>
          </w:p>
          <w:p w:rsidR="000E0B09" w:rsidRDefault="000E0B09" w:rsidP="000E0B09">
            <w:pPr>
              <w:rPr>
                <w:rFonts w:ascii="Arial" w:hAnsi="Arial" w:cs="Arial"/>
              </w:rPr>
            </w:pPr>
          </w:p>
          <w:p w:rsidR="002C1797" w:rsidRPr="000E0B09" w:rsidRDefault="000E0B09" w:rsidP="000E0B09">
            <w:pPr>
              <w:rPr>
                <w:sz w:val="20"/>
                <w:szCs w:val="20"/>
              </w:rPr>
            </w:pPr>
            <w:r w:rsidRPr="000E0B09">
              <w:rPr>
                <w:rFonts w:ascii="Arial" w:hAnsi="Arial" w:cs="Arial"/>
              </w:rPr>
              <w:t>Faculty review of student comments from course evaluations</w:t>
            </w:r>
          </w:p>
        </w:tc>
      </w:tr>
      <w:tr w:rsidR="002C1797" w:rsidRPr="00107027" w:rsidTr="000E0B09">
        <w:trPr>
          <w:trHeight w:val="71"/>
        </w:trPr>
        <w:tc>
          <w:tcPr>
            <w:tcW w:w="3900" w:type="dxa"/>
            <w:shd w:val="clear" w:color="auto" w:fill="FFFFFF"/>
            <w:vAlign w:val="center"/>
          </w:tcPr>
          <w:p w:rsidR="002C1797" w:rsidRPr="005A037F" w:rsidRDefault="002C1797" w:rsidP="005A037F">
            <w:pPr>
              <w:rPr>
                <w:sz w:val="20"/>
                <w:szCs w:val="20"/>
              </w:rPr>
            </w:pPr>
            <w:r w:rsidRPr="000E0B09">
              <w:rPr>
                <w:rFonts w:ascii="Arial" w:hAnsi="Arial" w:cs="Arial"/>
                <w:b/>
              </w:rPr>
              <w:t>2)</w:t>
            </w:r>
            <w:r w:rsidRPr="000E0B09">
              <w:rPr>
                <w:rFonts w:ascii="Arial" w:hAnsi="Arial" w:cs="Arial"/>
              </w:rPr>
              <w:t xml:space="preserve"> </w:t>
            </w:r>
            <w:r w:rsidR="005A037F" w:rsidRPr="000E0B09">
              <w:rPr>
                <w:rFonts w:ascii="Arial" w:hAnsi="Arial" w:cs="Arial"/>
              </w:rPr>
              <w:t>Employ logical and concise problem solving techniques to complex problems.</w:t>
            </w:r>
          </w:p>
        </w:tc>
        <w:tc>
          <w:tcPr>
            <w:tcW w:w="1350" w:type="dxa"/>
            <w:vAlign w:val="center"/>
          </w:tcPr>
          <w:p w:rsidR="000E0B09" w:rsidRPr="00376F90" w:rsidRDefault="000E0B09" w:rsidP="000E0B09">
            <w:pPr>
              <w:jc w:val="center"/>
              <w:rPr>
                <w:rFonts w:ascii="Arial" w:hAnsi="Arial" w:cs="Arial"/>
              </w:rPr>
            </w:pPr>
            <w:r w:rsidRPr="00376F90">
              <w:rPr>
                <w:rFonts w:ascii="Arial" w:hAnsi="Arial" w:cs="Arial"/>
              </w:rPr>
              <w:t>MAT 131, MAT 132, PHY 131, ETD 213, ETD 222, ETD 261, CAT 223, CAT 245, CAT   255, CAT 278</w:t>
            </w:r>
          </w:p>
          <w:p w:rsidR="002C1797" w:rsidRPr="002C1797" w:rsidRDefault="002C1797" w:rsidP="000E0B09">
            <w:pPr>
              <w:jc w:val="center"/>
              <w:rPr>
                <w:sz w:val="20"/>
                <w:szCs w:val="20"/>
              </w:rPr>
            </w:pPr>
          </w:p>
        </w:tc>
        <w:tc>
          <w:tcPr>
            <w:tcW w:w="1620" w:type="dxa"/>
            <w:shd w:val="clear" w:color="auto" w:fill="auto"/>
          </w:tcPr>
          <w:p w:rsidR="002C1797" w:rsidRPr="002C1797" w:rsidRDefault="00A22A21"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4" o:title=""/>
                  <o:lock v:ext="edit" aspectratio="t"/>
                  <w10:wrap type="tight"/>
                </v:shape>
                <w:control r:id="rId15" w:name="CheckBox11" w:shapeid="_x0000_s1039"/>
              </w:pict>
            </w:r>
          </w:p>
        </w:tc>
        <w:tc>
          <w:tcPr>
            <w:tcW w:w="3968" w:type="dxa"/>
          </w:tcPr>
          <w:p w:rsidR="000E0B09" w:rsidRDefault="000E0B09" w:rsidP="000E0B09">
            <w:pPr>
              <w:rPr>
                <w:rFonts w:ascii="Arial" w:hAnsi="Arial" w:cs="Arial"/>
              </w:rPr>
            </w:pPr>
            <w:r>
              <w:rPr>
                <w:rFonts w:ascii="Arial" w:hAnsi="Arial" w:cs="Arial"/>
              </w:rPr>
              <w:t>Faculty and Advisory Committee assessment of CAT 278 Capstone Course</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Core competency survey at the time of graduation</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Graduate Exit Interviews</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Employer Surveys</w:t>
            </w:r>
          </w:p>
          <w:p w:rsidR="000E0B09" w:rsidRDefault="000E0B09" w:rsidP="000E0B09">
            <w:pPr>
              <w:rPr>
                <w:rFonts w:ascii="Arial" w:hAnsi="Arial" w:cs="Arial"/>
              </w:rPr>
            </w:pPr>
          </w:p>
          <w:p w:rsidR="002C1797" w:rsidRPr="000E0B09" w:rsidRDefault="000E0B09" w:rsidP="000E0B09">
            <w:pPr>
              <w:rPr>
                <w:sz w:val="20"/>
                <w:szCs w:val="20"/>
              </w:rPr>
            </w:pPr>
            <w:r w:rsidRPr="000E0B09">
              <w:rPr>
                <w:rFonts w:ascii="Arial" w:hAnsi="Arial" w:cs="Arial"/>
              </w:rPr>
              <w:t>Faculty review of student comments from course evaluations</w:t>
            </w:r>
          </w:p>
        </w:tc>
      </w:tr>
      <w:tr w:rsidR="00690A3D" w:rsidRPr="00107027" w:rsidTr="000E0B09">
        <w:trPr>
          <w:trHeight w:val="71"/>
        </w:trPr>
        <w:tc>
          <w:tcPr>
            <w:tcW w:w="3900" w:type="dxa"/>
            <w:shd w:val="clear" w:color="auto" w:fill="FFFFFF"/>
            <w:vAlign w:val="center"/>
          </w:tcPr>
          <w:p w:rsidR="005A037F" w:rsidRPr="000E0B09" w:rsidRDefault="00690A3D" w:rsidP="005A037F">
            <w:pPr>
              <w:rPr>
                <w:rFonts w:ascii="Arial" w:hAnsi="Arial" w:cs="Arial"/>
                <w:b/>
              </w:rPr>
            </w:pPr>
            <w:r w:rsidRPr="000E0B09">
              <w:rPr>
                <w:rFonts w:ascii="Arial" w:hAnsi="Arial" w:cs="Arial"/>
                <w:b/>
              </w:rPr>
              <w:t xml:space="preserve">3) </w:t>
            </w:r>
            <w:r w:rsidR="005A037F" w:rsidRPr="000E0B09">
              <w:rPr>
                <w:rFonts w:ascii="Arial" w:hAnsi="Arial" w:cs="Arial"/>
              </w:rPr>
              <w:t>Understand the mechanics of structural design.</w:t>
            </w:r>
          </w:p>
          <w:p w:rsidR="00690A3D" w:rsidRPr="000E0B09" w:rsidRDefault="00690A3D" w:rsidP="005A037F">
            <w:pPr>
              <w:rPr>
                <w:rFonts w:ascii="Arial" w:hAnsi="Arial" w:cs="Arial"/>
                <w:b/>
              </w:rPr>
            </w:pPr>
          </w:p>
        </w:tc>
        <w:tc>
          <w:tcPr>
            <w:tcW w:w="1350" w:type="dxa"/>
            <w:vAlign w:val="center"/>
          </w:tcPr>
          <w:p w:rsidR="00690A3D" w:rsidRPr="002C1797" w:rsidRDefault="000E0B09" w:rsidP="000E0B09">
            <w:pPr>
              <w:jc w:val="center"/>
              <w:rPr>
                <w:sz w:val="20"/>
                <w:szCs w:val="20"/>
              </w:rPr>
            </w:pPr>
            <w:r w:rsidRPr="00376F90">
              <w:rPr>
                <w:rFonts w:ascii="Arial" w:hAnsi="Arial" w:cs="Arial"/>
              </w:rPr>
              <w:t>MAT 131, MAT 132, PHY 131,  ETD 213,</w:t>
            </w:r>
            <w:r>
              <w:rPr>
                <w:rFonts w:ascii="Arial" w:hAnsi="Arial" w:cs="Arial"/>
              </w:rPr>
              <w:t xml:space="preserve"> ETD 222, CAT</w:t>
            </w:r>
            <w:r w:rsidRPr="00376F90">
              <w:rPr>
                <w:rFonts w:ascii="Arial" w:hAnsi="Arial" w:cs="Arial"/>
              </w:rPr>
              <w:t xml:space="preserve"> 245</w:t>
            </w:r>
          </w:p>
        </w:tc>
        <w:tc>
          <w:tcPr>
            <w:tcW w:w="1620" w:type="dxa"/>
            <w:shd w:val="clear" w:color="auto" w:fill="auto"/>
          </w:tcPr>
          <w:p w:rsidR="00690A3D" w:rsidRPr="00690A3D" w:rsidRDefault="00A22A21" w:rsidP="006E27E7">
            <w:pPr>
              <w:rPr>
                <w:rFonts w:asciiTheme="minorHAnsi" w:hAnsiTheme="minorHAnsi"/>
                <w:sz w:val="16"/>
                <w:szCs w:val="16"/>
              </w:rPr>
            </w:pPr>
            <w:r>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6" o:title=""/>
                  <o:lock v:ext="edit" aspectratio="t"/>
                  <w10:wrap type="tight"/>
                </v:shape>
                <w:control r:id="rId17" w:name="CheckBox12" w:shapeid="_x0000_s1040"/>
              </w:pict>
            </w:r>
          </w:p>
        </w:tc>
        <w:tc>
          <w:tcPr>
            <w:tcW w:w="3968" w:type="dxa"/>
          </w:tcPr>
          <w:p w:rsidR="000E0B09" w:rsidRDefault="000E0B09" w:rsidP="000E0B09">
            <w:pPr>
              <w:rPr>
                <w:rFonts w:ascii="Arial" w:hAnsi="Arial" w:cs="Arial"/>
              </w:rPr>
            </w:pPr>
            <w:r>
              <w:rPr>
                <w:rFonts w:ascii="Arial" w:hAnsi="Arial" w:cs="Arial"/>
              </w:rPr>
              <w:t>Faculty and Advisory Committee assessment of CAT 278 Capstone Course</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Core competency survey at the time of graduation</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Graduate Exit Interviews</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lastRenderedPageBreak/>
              <w:t>Employer Surveys</w:t>
            </w:r>
          </w:p>
          <w:p w:rsidR="000E0B09" w:rsidRDefault="000E0B09" w:rsidP="000E0B09">
            <w:pPr>
              <w:rPr>
                <w:rFonts w:ascii="Arial" w:hAnsi="Arial" w:cs="Arial"/>
              </w:rPr>
            </w:pPr>
          </w:p>
          <w:p w:rsidR="00690A3D" w:rsidRPr="000E0B09" w:rsidRDefault="000E0B09" w:rsidP="000E0B09">
            <w:pPr>
              <w:rPr>
                <w:sz w:val="20"/>
                <w:szCs w:val="20"/>
              </w:rPr>
            </w:pPr>
            <w:r w:rsidRPr="000E0B09">
              <w:rPr>
                <w:rFonts w:ascii="Arial" w:hAnsi="Arial" w:cs="Arial"/>
              </w:rPr>
              <w:t>Faculty review of student comments from course evaluations</w:t>
            </w:r>
          </w:p>
        </w:tc>
      </w:tr>
      <w:tr w:rsidR="00690A3D" w:rsidRPr="00107027" w:rsidTr="000E0B09">
        <w:trPr>
          <w:trHeight w:val="71"/>
        </w:trPr>
        <w:tc>
          <w:tcPr>
            <w:tcW w:w="3900" w:type="dxa"/>
            <w:shd w:val="clear" w:color="auto" w:fill="FFFFFF"/>
            <w:vAlign w:val="center"/>
          </w:tcPr>
          <w:p w:rsidR="00690A3D" w:rsidRPr="002C1797" w:rsidRDefault="00690A3D" w:rsidP="008860C1">
            <w:pPr>
              <w:rPr>
                <w:sz w:val="20"/>
                <w:szCs w:val="20"/>
              </w:rPr>
            </w:pPr>
            <w:r w:rsidRPr="000E0B09">
              <w:rPr>
                <w:rFonts w:ascii="Arial" w:hAnsi="Arial" w:cs="Arial"/>
                <w:b/>
              </w:rPr>
              <w:lastRenderedPageBreak/>
              <w:t xml:space="preserve">4) </w:t>
            </w:r>
            <w:r w:rsidR="005A037F" w:rsidRPr="000E0B09">
              <w:rPr>
                <w:rFonts w:ascii="Arial" w:hAnsi="Arial" w:cs="Arial"/>
              </w:rPr>
              <w:t xml:space="preserve">Use surveying equipment and software applications to safely collect </w:t>
            </w:r>
            <w:proofErr w:type="gramStart"/>
            <w:r w:rsidR="005A037F" w:rsidRPr="000E0B09">
              <w:rPr>
                <w:rFonts w:ascii="Arial" w:hAnsi="Arial" w:cs="Arial"/>
              </w:rPr>
              <w:t>data,</w:t>
            </w:r>
            <w:proofErr w:type="gramEnd"/>
            <w:r w:rsidR="005A037F" w:rsidRPr="000E0B09">
              <w:rPr>
                <w:rFonts w:ascii="Arial" w:hAnsi="Arial" w:cs="Arial"/>
              </w:rPr>
              <w:t xml:space="preserve"> solve technical problems and layout construction projects.</w:t>
            </w:r>
          </w:p>
        </w:tc>
        <w:tc>
          <w:tcPr>
            <w:tcW w:w="1350" w:type="dxa"/>
            <w:vAlign w:val="center"/>
          </w:tcPr>
          <w:p w:rsidR="00690A3D" w:rsidRPr="002C1797" w:rsidRDefault="000E0B09" w:rsidP="000E0B09">
            <w:pPr>
              <w:jc w:val="center"/>
              <w:rPr>
                <w:sz w:val="20"/>
                <w:szCs w:val="20"/>
              </w:rPr>
            </w:pPr>
            <w:r w:rsidRPr="00376F90">
              <w:rPr>
                <w:rFonts w:ascii="Arial" w:hAnsi="Arial" w:cs="Arial"/>
              </w:rPr>
              <w:t>CAT 121, CAT 123, CAT 221, CAT 223, CAT 227, CAT 229, CAT 278</w:t>
            </w:r>
          </w:p>
        </w:tc>
        <w:tc>
          <w:tcPr>
            <w:tcW w:w="1620" w:type="dxa"/>
            <w:shd w:val="clear" w:color="auto" w:fill="auto"/>
          </w:tcPr>
          <w:p w:rsidR="00690A3D" w:rsidRPr="002C1797" w:rsidRDefault="00A22A21"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8" w:name="CheckBox111" w:shapeid="_x0000_s1041"/>
              </w:pict>
            </w:r>
          </w:p>
        </w:tc>
        <w:tc>
          <w:tcPr>
            <w:tcW w:w="3968" w:type="dxa"/>
          </w:tcPr>
          <w:p w:rsidR="000E0B09" w:rsidRDefault="000E0B09" w:rsidP="000E0B09">
            <w:pPr>
              <w:rPr>
                <w:rFonts w:ascii="Arial" w:hAnsi="Arial" w:cs="Arial"/>
              </w:rPr>
            </w:pPr>
            <w:r>
              <w:rPr>
                <w:rFonts w:ascii="Arial" w:hAnsi="Arial" w:cs="Arial"/>
              </w:rPr>
              <w:t>Faculty and Advisory Committee assessment of CAT 278 Capstone Course</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Core competency survey at the time of graduation</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Graduate Exit Interviews</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Employer Surveys</w:t>
            </w:r>
          </w:p>
          <w:p w:rsidR="000E0B09" w:rsidRDefault="000E0B09" w:rsidP="000E0B09">
            <w:pPr>
              <w:rPr>
                <w:rFonts w:ascii="Arial" w:hAnsi="Arial" w:cs="Arial"/>
              </w:rPr>
            </w:pPr>
          </w:p>
          <w:p w:rsidR="00690A3D" w:rsidRPr="000E0B09" w:rsidRDefault="000E0B09" w:rsidP="000E0B09">
            <w:pPr>
              <w:rPr>
                <w:sz w:val="20"/>
                <w:szCs w:val="20"/>
              </w:rPr>
            </w:pPr>
            <w:r w:rsidRPr="000E0B09">
              <w:rPr>
                <w:rFonts w:ascii="Arial" w:hAnsi="Arial" w:cs="Arial"/>
              </w:rPr>
              <w:t>Faculty review of student comments from course evaluations</w:t>
            </w:r>
          </w:p>
        </w:tc>
      </w:tr>
      <w:tr w:rsidR="00690A3D" w:rsidRPr="00107027" w:rsidTr="000E0B09">
        <w:trPr>
          <w:trHeight w:val="71"/>
        </w:trPr>
        <w:tc>
          <w:tcPr>
            <w:tcW w:w="3900" w:type="dxa"/>
            <w:shd w:val="clear" w:color="auto" w:fill="FFFFFF"/>
            <w:vAlign w:val="center"/>
          </w:tcPr>
          <w:p w:rsidR="00690A3D" w:rsidRPr="000E0B09" w:rsidRDefault="00690A3D" w:rsidP="008860C1">
            <w:pPr>
              <w:rPr>
                <w:rFonts w:ascii="Arial" w:hAnsi="Arial" w:cs="Arial"/>
              </w:rPr>
            </w:pPr>
            <w:r w:rsidRPr="000E0B09">
              <w:rPr>
                <w:rFonts w:ascii="Arial" w:hAnsi="Arial" w:cs="Arial"/>
                <w:b/>
              </w:rPr>
              <w:t>5)</w:t>
            </w:r>
            <w:r w:rsidRPr="000E0B09">
              <w:rPr>
                <w:rFonts w:ascii="Arial" w:hAnsi="Arial" w:cs="Arial"/>
              </w:rPr>
              <w:t xml:space="preserve"> </w:t>
            </w:r>
            <w:r w:rsidR="005A037F" w:rsidRPr="000E0B09">
              <w:rPr>
                <w:rFonts w:ascii="Arial" w:hAnsi="Arial" w:cs="Arial"/>
              </w:rPr>
              <w:t>Assist in the management of construction projects with emphasis on safety, quality and continuous improvement.</w:t>
            </w:r>
          </w:p>
        </w:tc>
        <w:tc>
          <w:tcPr>
            <w:tcW w:w="1350" w:type="dxa"/>
            <w:vAlign w:val="center"/>
          </w:tcPr>
          <w:p w:rsidR="00690A3D" w:rsidRPr="002C1797" w:rsidRDefault="000E0B09" w:rsidP="000E0B09">
            <w:pPr>
              <w:jc w:val="center"/>
              <w:rPr>
                <w:sz w:val="20"/>
                <w:szCs w:val="20"/>
              </w:rPr>
            </w:pPr>
            <w:r w:rsidRPr="00376F90">
              <w:rPr>
                <w:rFonts w:ascii="Arial" w:hAnsi="Arial" w:cs="Arial"/>
              </w:rPr>
              <w:t>ETD 198, CAT 105, CAT 106, CAT 145, CAT 216, CAT 255, CAT 278</w:t>
            </w:r>
          </w:p>
        </w:tc>
        <w:tc>
          <w:tcPr>
            <w:tcW w:w="1620" w:type="dxa"/>
            <w:shd w:val="clear" w:color="auto" w:fill="auto"/>
          </w:tcPr>
          <w:p w:rsidR="00690A3D" w:rsidRPr="00690A3D" w:rsidRDefault="00A22A21" w:rsidP="006E27E7">
            <w:pPr>
              <w:rPr>
                <w:rFonts w:asciiTheme="minorHAnsi" w:hAnsiTheme="minorHAnsi"/>
                <w:sz w:val="16"/>
                <w:szCs w:val="16"/>
              </w:rPr>
            </w:pPr>
            <w:r>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6" o:title=""/>
                  <o:lock v:ext="edit" aspectratio="t"/>
                  <w10:wrap type="tight"/>
                </v:shape>
                <w:control r:id="rId19" w:name="CheckBox13" w:shapeid="_x0000_s1042"/>
              </w:pict>
            </w:r>
          </w:p>
        </w:tc>
        <w:tc>
          <w:tcPr>
            <w:tcW w:w="3968" w:type="dxa"/>
          </w:tcPr>
          <w:p w:rsidR="000E0B09" w:rsidRDefault="000E0B09" w:rsidP="000E0B09">
            <w:pPr>
              <w:rPr>
                <w:rFonts w:ascii="Arial" w:hAnsi="Arial" w:cs="Arial"/>
              </w:rPr>
            </w:pPr>
            <w:r>
              <w:rPr>
                <w:rFonts w:ascii="Arial" w:hAnsi="Arial" w:cs="Arial"/>
              </w:rPr>
              <w:t>Faculty and Advisory Committee assessment of CAT 278 Capstone Course</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Core competency survey at the time of graduation</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Graduate Exit Interviews</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Employer Surveys</w:t>
            </w:r>
          </w:p>
          <w:p w:rsidR="000E0B09" w:rsidRDefault="000E0B09" w:rsidP="000E0B09">
            <w:pPr>
              <w:rPr>
                <w:rFonts w:ascii="Arial" w:hAnsi="Arial" w:cs="Arial"/>
              </w:rPr>
            </w:pPr>
          </w:p>
          <w:p w:rsidR="00690A3D" w:rsidRPr="000E0B09" w:rsidRDefault="000E0B09" w:rsidP="000E0B09">
            <w:pPr>
              <w:rPr>
                <w:sz w:val="20"/>
                <w:szCs w:val="20"/>
              </w:rPr>
            </w:pPr>
            <w:r w:rsidRPr="000E0B09">
              <w:rPr>
                <w:rFonts w:ascii="Arial" w:hAnsi="Arial" w:cs="Arial"/>
              </w:rPr>
              <w:t>Faculty review of student comments from course evaluations</w:t>
            </w:r>
          </w:p>
        </w:tc>
      </w:tr>
      <w:tr w:rsidR="00690A3D" w:rsidRPr="00107027" w:rsidTr="000E0B09">
        <w:trPr>
          <w:trHeight w:val="71"/>
        </w:trPr>
        <w:tc>
          <w:tcPr>
            <w:tcW w:w="3900" w:type="dxa"/>
            <w:shd w:val="clear" w:color="auto" w:fill="FFFFFF"/>
            <w:vAlign w:val="center"/>
          </w:tcPr>
          <w:p w:rsidR="00690A3D" w:rsidRPr="000E0B09" w:rsidRDefault="00690A3D" w:rsidP="008860C1">
            <w:pPr>
              <w:rPr>
                <w:rFonts w:ascii="Arial" w:hAnsi="Arial" w:cs="Arial"/>
              </w:rPr>
            </w:pPr>
            <w:r w:rsidRPr="000E0B09">
              <w:rPr>
                <w:rFonts w:ascii="Arial" w:hAnsi="Arial" w:cs="Arial"/>
                <w:b/>
              </w:rPr>
              <w:t xml:space="preserve">6) </w:t>
            </w:r>
            <w:r w:rsidR="005A037F" w:rsidRPr="000E0B09">
              <w:rPr>
                <w:rFonts w:ascii="Arial" w:hAnsi="Arial" w:cs="Arial"/>
              </w:rPr>
              <w:t>Function effectively in teams—demonstrating a cooperative effort to evaluate and solve problems and to develop and implement plans.</w:t>
            </w:r>
          </w:p>
        </w:tc>
        <w:tc>
          <w:tcPr>
            <w:tcW w:w="1350" w:type="dxa"/>
            <w:vAlign w:val="center"/>
          </w:tcPr>
          <w:p w:rsidR="000E0B09" w:rsidRPr="00376F90" w:rsidRDefault="000E0B09" w:rsidP="000E0B09">
            <w:pPr>
              <w:jc w:val="center"/>
              <w:rPr>
                <w:rFonts w:ascii="Arial" w:hAnsi="Arial" w:cs="Arial"/>
              </w:rPr>
            </w:pPr>
            <w:r w:rsidRPr="00376F90">
              <w:rPr>
                <w:rFonts w:ascii="Arial" w:hAnsi="Arial" w:cs="Arial"/>
              </w:rPr>
              <w:t>COM 206, CAT 110, CAT 123, CAT 221, CAT 227, CAT 229, CAT 245, CAT 278</w:t>
            </w:r>
          </w:p>
          <w:p w:rsidR="00690A3D" w:rsidRPr="000E0B09" w:rsidRDefault="00690A3D" w:rsidP="000E0B09">
            <w:pPr>
              <w:jc w:val="center"/>
              <w:rPr>
                <w:rFonts w:ascii="Arial" w:hAnsi="Arial" w:cs="Arial"/>
              </w:rPr>
            </w:pPr>
          </w:p>
        </w:tc>
        <w:tc>
          <w:tcPr>
            <w:tcW w:w="1620" w:type="dxa"/>
            <w:shd w:val="clear" w:color="auto" w:fill="auto"/>
          </w:tcPr>
          <w:p w:rsidR="00690A3D" w:rsidRPr="002C1797" w:rsidRDefault="00A22A21" w:rsidP="006E27E7">
            <w:pPr>
              <w:jc w:val="center"/>
              <w:rPr>
                <w:sz w:val="20"/>
                <w:szCs w:val="20"/>
              </w:rPr>
            </w:pPr>
            <w:r>
              <w:rPr>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4" o:title=""/>
                  <o:lock v:ext="edit" aspectratio="t"/>
                  <w10:wrap type="tight"/>
                </v:shape>
                <w:control r:id="rId20" w:name="CheckBox112" w:shapeid="_x0000_s1043"/>
              </w:pict>
            </w:r>
          </w:p>
        </w:tc>
        <w:tc>
          <w:tcPr>
            <w:tcW w:w="3968" w:type="dxa"/>
          </w:tcPr>
          <w:p w:rsidR="000E0B09" w:rsidRDefault="000E0B09" w:rsidP="000E0B09">
            <w:pPr>
              <w:rPr>
                <w:rFonts w:ascii="Arial" w:hAnsi="Arial" w:cs="Arial"/>
              </w:rPr>
            </w:pPr>
            <w:r>
              <w:rPr>
                <w:rFonts w:ascii="Arial" w:hAnsi="Arial" w:cs="Arial"/>
              </w:rPr>
              <w:t>Faculty and Advisory Committee assessment of CAT 278 Capstone Course</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Core competency survey at the time of graduation</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Graduate Exit Interviews</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Employer Surveys</w:t>
            </w:r>
          </w:p>
          <w:p w:rsidR="000E0B09" w:rsidRDefault="000E0B09" w:rsidP="000E0B09">
            <w:pPr>
              <w:rPr>
                <w:rFonts w:ascii="Arial" w:hAnsi="Arial" w:cs="Arial"/>
              </w:rPr>
            </w:pPr>
          </w:p>
          <w:p w:rsidR="00690A3D" w:rsidRPr="000E0B09" w:rsidRDefault="000E0B09" w:rsidP="000E0B09">
            <w:pPr>
              <w:rPr>
                <w:sz w:val="20"/>
                <w:szCs w:val="20"/>
              </w:rPr>
            </w:pPr>
            <w:r w:rsidRPr="000E0B09">
              <w:rPr>
                <w:rFonts w:ascii="Arial" w:hAnsi="Arial" w:cs="Arial"/>
              </w:rPr>
              <w:t>Faculty review of student comments from course evaluations</w:t>
            </w:r>
          </w:p>
        </w:tc>
      </w:tr>
      <w:tr w:rsidR="000E0B09" w:rsidRPr="00107027" w:rsidTr="000E0B09">
        <w:trPr>
          <w:trHeight w:val="71"/>
        </w:trPr>
        <w:tc>
          <w:tcPr>
            <w:tcW w:w="3900" w:type="dxa"/>
            <w:shd w:val="clear" w:color="auto" w:fill="FFFFFF"/>
            <w:vAlign w:val="center"/>
          </w:tcPr>
          <w:p w:rsidR="000E0B09" w:rsidRPr="000E0B09" w:rsidRDefault="000E0B09" w:rsidP="000E0B09">
            <w:pPr>
              <w:rPr>
                <w:rFonts w:ascii="Arial" w:hAnsi="Arial" w:cs="Arial"/>
              </w:rPr>
            </w:pPr>
            <w:r w:rsidRPr="000E0B09">
              <w:rPr>
                <w:rFonts w:ascii="Arial" w:hAnsi="Arial" w:cs="Arial"/>
                <w:b/>
              </w:rPr>
              <w:t xml:space="preserve">7) </w:t>
            </w:r>
            <w:r w:rsidRPr="000E0B09">
              <w:rPr>
                <w:rFonts w:ascii="Arial" w:hAnsi="Arial" w:cs="Arial"/>
              </w:rPr>
              <w:t>Recognize professional, ethical and societal responsibilities, respect diversity and commit to lifelong learning.</w:t>
            </w:r>
          </w:p>
        </w:tc>
        <w:tc>
          <w:tcPr>
            <w:tcW w:w="1350" w:type="dxa"/>
            <w:vAlign w:val="center"/>
          </w:tcPr>
          <w:p w:rsidR="009324F3" w:rsidRDefault="009324F3" w:rsidP="000E0B09">
            <w:pPr>
              <w:jc w:val="center"/>
              <w:rPr>
                <w:rFonts w:ascii="Arial" w:hAnsi="Arial" w:cs="Arial"/>
              </w:rPr>
            </w:pPr>
            <w:r>
              <w:rPr>
                <w:rFonts w:ascii="Arial" w:hAnsi="Arial" w:cs="Arial"/>
              </w:rPr>
              <w:t>SCC 101</w:t>
            </w:r>
          </w:p>
          <w:p w:rsidR="000E0B09" w:rsidRPr="00376F90" w:rsidRDefault="000E0B09" w:rsidP="000E0B09">
            <w:pPr>
              <w:jc w:val="center"/>
              <w:rPr>
                <w:rFonts w:ascii="Arial" w:hAnsi="Arial" w:cs="Arial"/>
              </w:rPr>
            </w:pPr>
            <w:r w:rsidRPr="00376F90">
              <w:rPr>
                <w:rFonts w:ascii="Arial" w:hAnsi="Arial" w:cs="Arial"/>
              </w:rPr>
              <w:t>CAT 110, CAT 216, CAT 245, CAT 255, CAT 270, CAT 278, ETD 121</w:t>
            </w:r>
          </w:p>
        </w:tc>
        <w:tc>
          <w:tcPr>
            <w:tcW w:w="1620" w:type="dxa"/>
            <w:shd w:val="clear" w:color="auto" w:fill="auto"/>
          </w:tcPr>
          <w:p w:rsidR="000E0B09" w:rsidRPr="00690A3D" w:rsidRDefault="00A22A21" w:rsidP="006E27E7">
            <w:pPr>
              <w:rPr>
                <w:rFonts w:asciiTheme="minorHAnsi" w:hAnsiTheme="minorHAnsi"/>
                <w:sz w:val="16"/>
                <w:szCs w:val="16"/>
              </w:rPr>
            </w:pPr>
            <w:r>
              <w:rPr>
                <w:noProof/>
                <w:sz w:val="16"/>
                <w:szCs w:val="16"/>
              </w:rPr>
              <w:pict>
                <v:shape id="_x0000_s1048" type="#_x0000_t201" style="position:absolute;margin-left:34.9pt;margin-top:8.2pt;width:16.5pt;height:15pt;z-index:251680768;mso-position-horizontal-relative:text;mso-position-vertical-relative:text" o:preferrelative="t" wrapcoords="-982 0 -982 21228 21600 21228 21600 0 -982 0" filled="f" stroked="f">
                  <v:imagedata r:id="rId12" o:title=""/>
                  <o:lock v:ext="edit" aspectratio="t"/>
                  <w10:wrap type="tight"/>
                </v:shape>
                <w:control r:id="rId21" w:name="CheckBox14" w:shapeid="_x0000_s1048"/>
              </w:pict>
            </w:r>
          </w:p>
        </w:tc>
        <w:tc>
          <w:tcPr>
            <w:tcW w:w="3968" w:type="dxa"/>
          </w:tcPr>
          <w:p w:rsidR="000E0B09" w:rsidRDefault="000E0B09" w:rsidP="000E0B09">
            <w:pPr>
              <w:rPr>
                <w:rFonts w:ascii="Arial" w:hAnsi="Arial" w:cs="Arial"/>
              </w:rPr>
            </w:pPr>
            <w:r>
              <w:rPr>
                <w:rFonts w:ascii="Arial" w:hAnsi="Arial" w:cs="Arial"/>
              </w:rPr>
              <w:t>Faculty and Advisory Committee assessment of CAT 278 Capstone Course</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Core competency survey at the time of graduation</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t>Graduate Exit Interviews</w:t>
            </w:r>
          </w:p>
          <w:p w:rsidR="000E0B09" w:rsidRDefault="000E0B09" w:rsidP="000E0B09">
            <w:pPr>
              <w:rPr>
                <w:rFonts w:ascii="Arial" w:hAnsi="Arial" w:cs="Arial"/>
              </w:rPr>
            </w:pPr>
          </w:p>
          <w:p w:rsidR="000E0B09" w:rsidRDefault="000E0B09" w:rsidP="000E0B09">
            <w:pPr>
              <w:rPr>
                <w:rFonts w:ascii="Arial" w:hAnsi="Arial" w:cs="Arial"/>
              </w:rPr>
            </w:pPr>
            <w:r>
              <w:rPr>
                <w:rFonts w:ascii="Arial" w:hAnsi="Arial" w:cs="Arial"/>
              </w:rPr>
              <w:lastRenderedPageBreak/>
              <w:t>Employer Surveys</w:t>
            </w:r>
          </w:p>
          <w:p w:rsidR="000E0B09" w:rsidRDefault="000E0B09" w:rsidP="000E0B09">
            <w:pPr>
              <w:rPr>
                <w:rFonts w:ascii="Arial" w:hAnsi="Arial" w:cs="Arial"/>
              </w:rPr>
            </w:pPr>
          </w:p>
          <w:p w:rsidR="000E0B09" w:rsidRPr="000E0B09" w:rsidRDefault="000E0B09" w:rsidP="000E0B09">
            <w:pPr>
              <w:rPr>
                <w:sz w:val="20"/>
                <w:szCs w:val="20"/>
              </w:rPr>
            </w:pPr>
            <w:r w:rsidRPr="000E0B09">
              <w:rPr>
                <w:rFonts w:ascii="Arial" w:hAnsi="Arial" w:cs="Arial"/>
              </w:rPr>
              <w:t>Faculty review of student comments from course evaluations</w:t>
            </w:r>
          </w:p>
        </w:tc>
      </w:tr>
    </w:tbl>
    <w:p w:rsidR="00847243" w:rsidRDefault="00847243" w:rsidP="0028603C">
      <w:pPr>
        <w:tabs>
          <w:tab w:val="left" w:pos="5040"/>
        </w:tabs>
      </w:pPr>
    </w:p>
    <w:p w:rsidR="00847243" w:rsidRDefault="00847243" w:rsidP="0028603C">
      <w:pPr>
        <w:tabs>
          <w:tab w:val="left" w:pos="5040"/>
        </w:tabs>
      </w:pPr>
    </w:p>
    <w:p w:rsidR="00FA24D1" w:rsidRPr="00825D14" w:rsidRDefault="00414645" w:rsidP="0028603C">
      <w:pPr>
        <w:tabs>
          <w:tab w:val="left" w:pos="5040"/>
        </w:tabs>
        <w:rPr>
          <w:rFonts w:ascii="Arial" w:hAnsi="Arial" w:cs="Arial"/>
        </w:rPr>
      </w:pPr>
      <w:r w:rsidRPr="00825D14">
        <w:rPr>
          <w:rFonts w:ascii="Arial" w:hAnsi="Arial" w:cs="Arial"/>
        </w:rPr>
        <w:t>a</w:t>
      </w:r>
      <w:r w:rsidR="00A63ACE" w:rsidRPr="00825D14">
        <w:rPr>
          <w:rFonts w:ascii="Arial" w:hAnsi="Arial" w:cs="Arial"/>
        </w:rPr>
        <w:t xml:space="preserve">)   </w:t>
      </w:r>
      <w:r w:rsidR="00320CDE" w:rsidRPr="00825D14">
        <w:rPr>
          <w:rFonts w:ascii="Arial" w:hAnsi="Arial" w:cs="Arial"/>
        </w:rPr>
        <w:t>For the assessment methods listed in the table above, w</w:t>
      </w:r>
      <w:r w:rsidR="00A63ACE" w:rsidRPr="00825D14">
        <w:rPr>
          <w:rFonts w:ascii="Arial" w:hAnsi="Arial" w:cs="Arial"/>
        </w:rPr>
        <w:t>hat were the results?  What changes are planned as a result of the data?</w:t>
      </w:r>
      <w:r w:rsidR="006A2AA3" w:rsidRPr="00825D14">
        <w:rPr>
          <w:rFonts w:ascii="Arial" w:hAnsi="Arial" w:cs="Arial"/>
        </w:rPr>
        <w:t xml:space="preserve">  How will you determine whether those changes had an impact?</w:t>
      </w:r>
    </w:p>
    <w:p w:rsidR="00FA24D1" w:rsidRDefault="00FA24D1" w:rsidP="0028603C">
      <w:pPr>
        <w:tabs>
          <w:tab w:val="left" w:pos="5040"/>
        </w:tabs>
        <w:rPr>
          <w:rFonts w:ascii="Arial" w:hAnsi="Arial" w:cs="Arial"/>
        </w:rPr>
      </w:pPr>
    </w:p>
    <w:p w:rsidR="009324F3" w:rsidRDefault="009324F3" w:rsidP="009324F3">
      <w:pPr>
        <w:tabs>
          <w:tab w:val="left" w:pos="5040"/>
        </w:tabs>
        <w:rPr>
          <w:rFonts w:ascii="Arial" w:hAnsi="Arial" w:cs="Arial"/>
        </w:rPr>
      </w:pPr>
      <w:r>
        <w:rPr>
          <w:rFonts w:ascii="Arial" w:hAnsi="Arial" w:cs="Arial"/>
        </w:rPr>
        <w:t>Assessments of these items were at the “good” level.  We have increased the complexity of some of the case studies in the ethics class.  We have also continued emphasizing lifelong learning in upper-level classes, having students attend professional society meetings and activities and bringing in professionals to speak in classes.    We will continue to review employer surveys and the core competency surveys to insure students are achieving the desired level of outcome.</w:t>
      </w:r>
    </w:p>
    <w:p w:rsidR="00A22A21" w:rsidRDefault="00A22A21" w:rsidP="009324F3">
      <w:pPr>
        <w:tabs>
          <w:tab w:val="left" w:pos="5040"/>
        </w:tabs>
        <w:rPr>
          <w:rFonts w:ascii="Arial" w:hAnsi="Arial" w:cs="Arial"/>
        </w:rPr>
      </w:pPr>
    </w:p>
    <w:p w:rsidR="00A22A21" w:rsidRDefault="00A22A21" w:rsidP="00A22A21">
      <w:pPr>
        <w:tabs>
          <w:tab w:val="left" w:pos="5040"/>
        </w:tabs>
        <w:rPr>
          <w:rFonts w:ascii="Arial" w:hAnsi="Arial" w:cs="Arial"/>
        </w:rPr>
      </w:pPr>
      <w:r>
        <w:rPr>
          <w:rFonts w:ascii="Arial" w:hAnsi="Arial" w:cs="Arial"/>
        </w:rPr>
        <w:t xml:space="preserve">Added more writing and presentation assignments across the technical curriculum - </w:t>
      </w:r>
      <w:r>
        <w:rPr>
          <w:rFonts w:ascii="Arial" w:hAnsi="Arial" w:cs="Arial"/>
        </w:rPr>
        <w:t>The quality of both student written and oral presentations has improved, with the Capstone presentations much better than the prior year.</w:t>
      </w:r>
    </w:p>
    <w:p w:rsidR="00A22A21" w:rsidRDefault="00A22A21" w:rsidP="00A22A21">
      <w:pPr>
        <w:tabs>
          <w:tab w:val="left" w:pos="720"/>
          <w:tab w:val="left" w:pos="5040"/>
        </w:tabs>
        <w:ind w:left="720" w:hanging="720"/>
        <w:rPr>
          <w:rFonts w:ascii="Arial" w:hAnsi="Arial" w:cs="Arial"/>
        </w:rPr>
      </w:pPr>
    </w:p>
    <w:p w:rsidR="009324F3" w:rsidRPr="00825D14" w:rsidRDefault="009324F3" w:rsidP="0028603C">
      <w:pPr>
        <w:tabs>
          <w:tab w:val="left" w:pos="5040"/>
        </w:tabs>
        <w:rPr>
          <w:rFonts w:ascii="Arial" w:hAnsi="Arial" w:cs="Arial"/>
        </w:rPr>
      </w:pPr>
    </w:p>
    <w:p w:rsidR="00825D14" w:rsidRPr="00825D14" w:rsidRDefault="00414645" w:rsidP="00825D14">
      <w:pPr>
        <w:spacing w:after="200"/>
        <w:rPr>
          <w:rFonts w:ascii="Arial" w:hAnsi="Arial" w:cs="Arial"/>
        </w:rPr>
      </w:pPr>
      <w:r w:rsidRPr="00825D14">
        <w:rPr>
          <w:rFonts w:ascii="Arial" w:hAnsi="Arial" w:cs="Arial"/>
        </w:rPr>
        <w:t>b</w:t>
      </w:r>
      <w:r w:rsidR="00A63ACE" w:rsidRPr="00825D14">
        <w:rPr>
          <w:rFonts w:ascii="Arial" w:hAnsi="Arial" w:cs="Arial"/>
        </w:rPr>
        <w:t xml:space="preserve">)   </w:t>
      </w:r>
      <w:r w:rsidR="00825D14" w:rsidRPr="00825D14">
        <w:rPr>
          <w:rFonts w:ascii="Arial" w:hAnsi="Arial" w:cs="Arial"/>
        </w:rPr>
        <w:t>What other changes have been made in past years as a result of assessment of program outcomes?  What evidence is there that these changes have had an impact?</w:t>
      </w:r>
    </w:p>
    <w:p w:rsidR="00825D14" w:rsidRDefault="00A22A21" w:rsidP="00825D14">
      <w:pPr>
        <w:spacing w:after="200"/>
        <w:rPr>
          <w:rFonts w:ascii="Arial" w:hAnsi="Arial" w:cs="Arial"/>
        </w:rPr>
      </w:pPr>
      <w:r>
        <w:rPr>
          <w:rFonts w:ascii="Arial" w:hAnsi="Arial" w:cs="Arial"/>
        </w:rPr>
        <w:t>Revit CAD software is now required for all students in the program – their graphical presentation skills are much improved since the introduction of this software throughout the program.</w:t>
      </w:r>
    </w:p>
    <w:p w:rsidR="00A22A21" w:rsidRPr="00825D14" w:rsidRDefault="00A22A21" w:rsidP="00825D14">
      <w:pPr>
        <w:spacing w:after="200"/>
        <w:rPr>
          <w:rFonts w:ascii="Arial" w:hAnsi="Arial" w:cs="Arial"/>
        </w:rPr>
      </w:pPr>
      <w:bookmarkStart w:id="0" w:name="_GoBack"/>
      <w:bookmarkEnd w:id="0"/>
    </w:p>
    <w:p w:rsidR="00825D14" w:rsidRPr="00825D14" w:rsidRDefault="00825D14" w:rsidP="00825D14">
      <w:pPr>
        <w:tabs>
          <w:tab w:val="left" w:pos="5040"/>
        </w:tabs>
        <w:rPr>
          <w:rFonts w:ascii="Arial" w:hAnsi="Arial" w:cs="Arial"/>
        </w:rPr>
      </w:pPr>
      <w:r w:rsidRPr="00825D14">
        <w:rPr>
          <w:rFonts w:ascii="Arial" w:hAnsi="Arial" w:cs="Arial"/>
        </w:rPr>
        <w:t>c)   Describe general education changes/improvements in your program/department during this past academic year (09-10).</w:t>
      </w:r>
    </w:p>
    <w:p w:rsidR="00825D14" w:rsidRPr="00825D14" w:rsidRDefault="00825D14" w:rsidP="00825D14">
      <w:pPr>
        <w:tabs>
          <w:tab w:val="left" w:pos="5040"/>
        </w:tabs>
        <w:rPr>
          <w:rFonts w:ascii="Arial" w:hAnsi="Arial" w:cs="Arial"/>
        </w:rPr>
      </w:pPr>
    </w:p>
    <w:p w:rsidR="00825D14" w:rsidRPr="00825D14" w:rsidRDefault="00825D14" w:rsidP="00825D14">
      <w:pPr>
        <w:tabs>
          <w:tab w:val="left" w:pos="5040"/>
        </w:tabs>
        <w:rPr>
          <w:rFonts w:ascii="Arial" w:hAnsi="Arial" w:cs="Arial"/>
        </w:rPr>
      </w:pPr>
      <w:proofErr w:type="gramStart"/>
      <w:r w:rsidRPr="00825D14">
        <w:rPr>
          <w:rFonts w:ascii="Arial" w:hAnsi="Arial" w:cs="Arial"/>
        </w:rPr>
        <w:t>Added additional material into ETD 121 on critical thinking.</w:t>
      </w:r>
      <w:proofErr w:type="gramEnd"/>
      <w:r w:rsidRPr="00825D14">
        <w:rPr>
          <w:rFonts w:ascii="Arial" w:hAnsi="Arial" w:cs="Arial"/>
        </w:rPr>
        <w:t xml:space="preserve">  </w:t>
      </w:r>
    </w:p>
    <w:p w:rsidR="00825D14" w:rsidRPr="00825D14" w:rsidRDefault="00825D14" w:rsidP="00825D14">
      <w:pPr>
        <w:tabs>
          <w:tab w:val="left" w:pos="5040"/>
        </w:tabs>
        <w:rPr>
          <w:rFonts w:ascii="Arial" w:hAnsi="Arial" w:cs="Arial"/>
        </w:rPr>
      </w:pPr>
    </w:p>
    <w:p w:rsidR="00FA24D1" w:rsidRPr="00825D14" w:rsidRDefault="00CC66AD" w:rsidP="00825D14">
      <w:pPr>
        <w:spacing w:after="200"/>
        <w:rPr>
          <w:rFonts w:ascii="Arial" w:hAnsi="Arial" w:cs="Arial"/>
        </w:rPr>
      </w:pPr>
      <w:r w:rsidRPr="00825D14">
        <w:rPr>
          <w:rFonts w:ascii="Arial" w:hAnsi="Arial" w:cs="Arial"/>
          <w:b/>
          <w:u w:val="single"/>
        </w:rPr>
        <w:t>S</w:t>
      </w:r>
      <w:r w:rsidR="00FA24D1" w:rsidRPr="00825D14">
        <w:rPr>
          <w:rFonts w:ascii="Arial" w:hAnsi="Arial" w:cs="Arial"/>
          <w:b/>
          <w:u w:val="single"/>
        </w:rPr>
        <w:t xml:space="preserve">ection IV:  </w:t>
      </w:r>
      <w:r w:rsidR="003454F6" w:rsidRPr="00825D14">
        <w:rPr>
          <w:rFonts w:ascii="Arial" w:hAnsi="Arial" w:cs="Arial"/>
          <w:b/>
          <w:u w:val="single"/>
        </w:rPr>
        <w:t>Improvement Efforts</w:t>
      </w:r>
      <w:r w:rsidR="00FA24D1" w:rsidRPr="00825D14">
        <w:rPr>
          <w:rFonts w:ascii="Arial" w:hAnsi="Arial" w:cs="Arial"/>
          <w:b/>
          <w:u w:val="single"/>
        </w:rPr>
        <w:t xml:space="preserve"> for the Fiscal Year</w:t>
      </w:r>
    </w:p>
    <w:p w:rsidR="00FA24D1" w:rsidRPr="00825D14" w:rsidRDefault="00FA24D1" w:rsidP="0028603C">
      <w:pPr>
        <w:tabs>
          <w:tab w:val="left" w:pos="5040"/>
        </w:tabs>
        <w:rPr>
          <w:rFonts w:ascii="Arial" w:hAnsi="Arial" w:cs="Arial"/>
        </w:rPr>
      </w:pPr>
    </w:p>
    <w:p w:rsidR="00827AE5" w:rsidRPr="00825D14" w:rsidRDefault="001201D5" w:rsidP="00FA24D1">
      <w:pPr>
        <w:pStyle w:val="ListParagraph"/>
        <w:numPr>
          <w:ilvl w:val="0"/>
          <w:numId w:val="11"/>
        </w:numPr>
        <w:tabs>
          <w:tab w:val="left" w:pos="5040"/>
        </w:tabs>
        <w:rPr>
          <w:rFonts w:ascii="Arial" w:hAnsi="Arial" w:cs="Arial"/>
        </w:rPr>
      </w:pPr>
      <w:r w:rsidRPr="00825D14">
        <w:rPr>
          <w:rFonts w:ascii="Arial" w:hAnsi="Arial" w:cs="Arial"/>
          <w:b/>
          <w:u w:val="single"/>
        </w:rPr>
        <w:t>FY 09-</w:t>
      </w:r>
      <w:r w:rsidRPr="00825D14">
        <w:rPr>
          <w:rFonts w:ascii="Arial" w:hAnsi="Arial" w:cs="Arial"/>
          <w:b/>
        </w:rPr>
        <w:t>10:</w:t>
      </w:r>
      <w:r w:rsidRPr="00825D14">
        <w:rPr>
          <w:rFonts w:ascii="Arial" w:hAnsi="Arial" w:cs="Arial"/>
          <w:b/>
          <w:color w:val="FF0000"/>
        </w:rPr>
        <w:t xml:space="preserve"> </w:t>
      </w:r>
      <w:r w:rsidR="00320CDE" w:rsidRPr="00825D14">
        <w:rPr>
          <w:rFonts w:ascii="Arial" w:hAnsi="Arial" w:cs="Arial"/>
        </w:rPr>
        <w:t xml:space="preserve">What </w:t>
      </w:r>
      <w:r w:rsidR="00963DD8" w:rsidRPr="00825D14">
        <w:rPr>
          <w:rFonts w:ascii="Arial" w:hAnsi="Arial" w:cs="Arial"/>
        </w:rPr>
        <w:t>other improvement efforts did the department make</w:t>
      </w:r>
      <w:r w:rsidR="00320CDE" w:rsidRPr="00825D14">
        <w:rPr>
          <w:rFonts w:ascii="Arial" w:hAnsi="Arial" w:cs="Arial"/>
        </w:rPr>
        <w:t xml:space="preserve"> in FY 09-10?  How successful </w:t>
      </w:r>
      <w:r w:rsidR="00963DD8" w:rsidRPr="00825D14">
        <w:rPr>
          <w:rFonts w:ascii="Arial" w:hAnsi="Arial" w:cs="Arial"/>
        </w:rPr>
        <w:t>were these efforts</w:t>
      </w:r>
      <w:r w:rsidR="00320CDE" w:rsidRPr="00825D14">
        <w:rPr>
          <w:rFonts w:ascii="Arial" w:hAnsi="Arial" w:cs="Arial"/>
        </w:rPr>
        <w:t xml:space="preserve">?  What further efforts need to be made? If your department didn’t </w:t>
      </w:r>
      <w:r w:rsidR="00963DD8" w:rsidRPr="00825D14">
        <w:rPr>
          <w:rFonts w:ascii="Arial" w:hAnsi="Arial" w:cs="Arial"/>
        </w:rPr>
        <w:t>make improvement efforts during the</w:t>
      </w:r>
      <w:r w:rsidR="00320CDE" w:rsidRPr="00825D14">
        <w:rPr>
          <w:rFonts w:ascii="Arial" w:hAnsi="Arial" w:cs="Arial"/>
        </w:rPr>
        <w:t xml:space="preserve"> fiscal year, discuss the strengths and weaknesses of the department over the last year and how the department plans to address them in the coming year.</w:t>
      </w:r>
    </w:p>
    <w:p w:rsidR="00FA24D1" w:rsidRDefault="00FA24D1" w:rsidP="00827AE5">
      <w:pPr>
        <w:pStyle w:val="ListParagraph"/>
        <w:tabs>
          <w:tab w:val="left" w:pos="5040"/>
        </w:tabs>
        <w:rPr>
          <w:rFonts w:ascii="Arial" w:hAnsi="Arial" w:cs="Arial"/>
        </w:rPr>
      </w:pPr>
    </w:p>
    <w:p w:rsidR="00825D14" w:rsidRPr="009D12AF" w:rsidRDefault="00825D14" w:rsidP="00825D14">
      <w:pPr>
        <w:pStyle w:val="ListParagraph"/>
        <w:rPr>
          <w:rFonts w:ascii="Arial" w:hAnsi="Arial" w:cs="Arial"/>
        </w:rPr>
      </w:pPr>
      <w:r w:rsidRPr="009D12AF">
        <w:rPr>
          <w:rFonts w:ascii="Arial" w:hAnsi="Arial" w:cs="Arial"/>
        </w:rPr>
        <w:t xml:space="preserve">The biggest improvement was in the implementation of the integrated capstone project.  This project has required students to use more teamwork and communication skills along with their technical skills.  The project was an overall </w:t>
      </w:r>
      <w:r w:rsidRPr="009D12AF">
        <w:rPr>
          <w:rFonts w:ascii="Arial" w:hAnsi="Arial" w:cs="Arial"/>
        </w:rPr>
        <w:lastRenderedPageBreak/>
        <w:t>success and communication was better in this, the second year than in the first year, however, more improvement needs to be made.</w:t>
      </w:r>
    </w:p>
    <w:p w:rsidR="00825D14" w:rsidRPr="00825D14" w:rsidRDefault="00825D14" w:rsidP="00827AE5">
      <w:pPr>
        <w:pStyle w:val="ListParagraph"/>
        <w:tabs>
          <w:tab w:val="left" w:pos="5040"/>
        </w:tabs>
        <w:rPr>
          <w:rFonts w:ascii="Arial" w:hAnsi="Arial" w:cs="Arial"/>
        </w:rPr>
      </w:pPr>
    </w:p>
    <w:p w:rsidR="00FA24D1" w:rsidRPr="00825D14" w:rsidRDefault="00FA24D1" w:rsidP="00FA24D1">
      <w:pPr>
        <w:tabs>
          <w:tab w:val="left" w:pos="5040"/>
        </w:tabs>
        <w:ind w:left="360"/>
        <w:rPr>
          <w:rFonts w:ascii="Arial" w:hAnsi="Arial" w:cs="Arial"/>
        </w:rPr>
      </w:pPr>
    </w:p>
    <w:p w:rsidR="00FA24D1" w:rsidRPr="00825D14" w:rsidRDefault="001201D5" w:rsidP="00A21E6E">
      <w:pPr>
        <w:pStyle w:val="ListParagraph"/>
        <w:numPr>
          <w:ilvl w:val="0"/>
          <w:numId w:val="11"/>
        </w:numPr>
        <w:tabs>
          <w:tab w:val="left" w:pos="5040"/>
        </w:tabs>
        <w:rPr>
          <w:rFonts w:ascii="Arial" w:hAnsi="Arial" w:cs="Arial"/>
        </w:rPr>
      </w:pPr>
      <w:r w:rsidRPr="00825D14">
        <w:rPr>
          <w:rFonts w:ascii="Arial" w:hAnsi="Arial" w:cs="Arial"/>
          <w:b/>
          <w:u w:val="single"/>
        </w:rPr>
        <w:t>FY 10-11</w:t>
      </w:r>
      <w:r w:rsidRPr="00825D14">
        <w:rPr>
          <w:rFonts w:ascii="Arial" w:hAnsi="Arial" w:cs="Arial"/>
          <w:b/>
        </w:rPr>
        <w:t>:</w:t>
      </w:r>
      <w:r w:rsidRPr="00825D14">
        <w:rPr>
          <w:rFonts w:ascii="Arial" w:hAnsi="Arial" w:cs="Arial"/>
        </w:rPr>
        <w:t xml:space="preserve"> </w:t>
      </w:r>
      <w:r w:rsidR="00FA24D1" w:rsidRPr="00825D14">
        <w:rPr>
          <w:rFonts w:ascii="Arial" w:hAnsi="Arial" w:cs="Arial"/>
        </w:rPr>
        <w:t xml:space="preserve">What </w:t>
      </w:r>
      <w:r w:rsidR="00963DD8" w:rsidRPr="00825D14">
        <w:rPr>
          <w:rFonts w:ascii="Arial" w:hAnsi="Arial" w:cs="Arial"/>
        </w:rPr>
        <w:t xml:space="preserve">improvement efforts does the department have planned </w:t>
      </w:r>
      <w:r w:rsidR="00FA24D1" w:rsidRPr="00825D14">
        <w:rPr>
          <w:rFonts w:ascii="Arial" w:hAnsi="Arial" w:cs="Arial"/>
        </w:rPr>
        <w:t>for FY 10-11?  How will you know whether you have been successful?</w:t>
      </w:r>
    </w:p>
    <w:p w:rsidR="00FA24D1" w:rsidRPr="00825D14" w:rsidRDefault="00FA24D1" w:rsidP="00FA24D1">
      <w:pPr>
        <w:pStyle w:val="ListParagraph"/>
        <w:tabs>
          <w:tab w:val="left" w:pos="5040"/>
        </w:tabs>
        <w:rPr>
          <w:rFonts w:ascii="Arial" w:hAnsi="Arial" w:cs="Arial"/>
        </w:rPr>
      </w:pPr>
    </w:p>
    <w:p w:rsidR="00825D14" w:rsidRDefault="00825D14" w:rsidP="00825D14">
      <w:pPr>
        <w:pStyle w:val="ListParagraph"/>
        <w:rPr>
          <w:rFonts w:ascii="Arial" w:hAnsi="Arial" w:cs="Arial"/>
        </w:rPr>
      </w:pPr>
      <w:r>
        <w:rPr>
          <w:rFonts w:ascii="Arial" w:hAnsi="Arial" w:cs="Arial"/>
        </w:rPr>
        <w:t xml:space="preserve">Continued work on integrating teams.  Plan to do one or more joint assignment between the HVAC and architectural students prior to capstone quarter to help foster a sense of community.  </w:t>
      </w: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847243" w:rsidP="00FA24D1">
      <w:pPr>
        <w:pStyle w:val="ListParagraph"/>
        <w:tabs>
          <w:tab w:val="left" w:pos="5040"/>
        </w:tabs>
        <w:rPr>
          <w:rFonts w:ascii="Arial" w:hAnsi="Arial" w:cs="Arial"/>
        </w:rPr>
      </w:pPr>
    </w:p>
    <w:p w:rsidR="00847243" w:rsidRPr="00825D14" w:rsidRDefault="00A22A21"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Pr="00825D14"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919F4"/>
    <w:multiLevelType w:val="hybridMultilevel"/>
    <w:tmpl w:val="81F649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BA60AA"/>
    <w:multiLevelType w:val="hybridMultilevel"/>
    <w:tmpl w:val="3CF8634A"/>
    <w:lvl w:ilvl="0" w:tplc="22882696">
      <w:start w:val="1"/>
      <w:numFmt w:val="bullet"/>
      <w:pStyle w:val="BulletLevel1"/>
      <w:lvlText w:val=""/>
      <w:lvlJc w:val="left"/>
      <w:pPr>
        <w:tabs>
          <w:tab w:val="num" w:pos="720"/>
        </w:tabs>
        <w:ind w:left="720" w:hanging="360"/>
      </w:pPr>
      <w:rPr>
        <w:rFonts w:ascii="Symbol" w:hAnsi="Symbol" w:hint="default"/>
        <w:sz w:val="16"/>
      </w:rPr>
    </w:lvl>
    <w:lvl w:ilvl="1" w:tplc="95DEE7D6"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4"/>
  </w:num>
  <w:num w:numId="2">
    <w:abstractNumId w:val="0"/>
  </w:num>
  <w:num w:numId="3">
    <w:abstractNumId w:val="20"/>
  </w:num>
  <w:num w:numId="4">
    <w:abstractNumId w:val="9"/>
  </w:num>
  <w:num w:numId="5">
    <w:abstractNumId w:val="12"/>
  </w:num>
  <w:num w:numId="6">
    <w:abstractNumId w:val="7"/>
  </w:num>
  <w:num w:numId="7">
    <w:abstractNumId w:val="10"/>
  </w:num>
  <w:num w:numId="8">
    <w:abstractNumId w:val="13"/>
  </w:num>
  <w:num w:numId="9">
    <w:abstractNumId w:val="19"/>
  </w:num>
  <w:num w:numId="10">
    <w:abstractNumId w:val="17"/>
  </w:num>
  <w:num w:numId="11">
    <w:abstractNumId w:val="8"/>
  </w:num>
  <w:num w:numId="12">
    <w:abstractNumId w:val="1"/>
  </w:num>
  <w:num w:numId="13">
    <w:abstractNumId w:val="2"/>
  </w:num>
  <w:num w:numId="14">
    <w:abstractNumId w:val="18"/>
  </w:num>
  <w:num w:numId="15">
    <w:abstractNumId w:val="15"/>
  </w:num>
  <w:num w:numId="16">
    <w:abstractNumId w:val="4"/>
  </w:num>
  <w:num w:numId="17">
    <w:abstractNumId w:val="5"/>
  </w:num>
  <w:num w:numId="18">
    <w:abstractNumId w:val="11"/>
  </w:num>
  <w:num w:numId="19">
    <w:abstractNumId w:val="3"/>
  </w:num>
  <w:num w:numId="20">
    <w:abstractNumId w:val="6"/>
  </w:num>
  <w:num w:numId="21">
    <w:abstractNumId w:val="7"/>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129"/>
    <w:rsid w:val="000279EB"/>
    <w:rsid w:val="000337E6"/>
    <w:rsid w:val="00034CE6"/>
    <w:rsid w:val="00056964"/>
    <w:rsid w:val="000616F3"/>
    <w:rsid w:val="00063778"/>
    <w:rsid w:val="00065129"/>
    <w:rsid w:val="000A4EE0"/>
    <w:rsid w:val="000D3A39"/>
    <w:rsid w:val="000E0B09"/>
    <w:rsid w:val="0010227C"/>
    <w:rsid w:val="001026AA"/>
    <w:rsid w:val="001201D5"/>
    <w:rsid w:val="00120E81"/>
    <w:rsid w:val="001240D0"/>
    <w:rsid w:val="00183806"/>
    <w:rsid w:val="00184AE5"/>
    <w:rsid w:val="00195B7B"/>
    <w:rsid w:val="001A1B67"/>
    <w:rsid w:val="001B6007"/>
    <w:rsid w:val="001D5757"/>
    <w:rsid w:val="001D7080"/>
    <w:rsid w:val="002245AB"/>
    <w:rsid w:val="0022692B"/>
    <w:rsid w:val="0025548D"/>
    <w:rsid w:val="00255C18"/>
    <w:rsid w:val="00256114"/>
    <w:rsid w:val="00265A99"/>
    <w:rsid w:val="0026791C"/>
    <w:rsid w:val="00281C63"/>
    <w:rsid w:val="0028603C"/>
    <w:rsid w:val="00293D8D"/>
    <w:rsid w:val="002C1797"/>
    <w:rsid w:val="002C56AC"/>
    <w:rsid w:val="002E175B"/>
    <w:rsid w:val="002E28B0"/>
    <w:rsid w:val="002E548B"/>
    <w:rsid w:val="00303041"/>
    <w:rsid w:val="00320CDE"/>
    <w:rsid w:val="003254BC"/>
    <w:rsid w:val="00330692"/>
    <w:rsid w:val="003454F6"/>
    <w:rsid w:val="00352171"/>
    <w:rsid w:val="003A298D"/>
    <w:rsid w:val="003B5176"/>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BD6"/>
    <w:rsid w:val="00516463"/>
    <w:rsid w:val="0054350A"/>
    <w:rsid w:val="00573ECD"/>
    <w:rsid w:val="005863ED"/>
    <w:rsid w:val="005A037F"/>
    <w:rsid w:val="005F7377"/>
    <w:rsid w:val="0061712A"/>
    <w:rsid w:val="006368CC"/>
    <w:rsid w:val="00640611"/>
    <w:rsid w:val="006532D6"/>
    <w:rsid w:val="006551C4"/>
    <w:rsid w:val="00660080"/>
    <w:rsid w:val="0066607A"/>
    <w:rsid w:val="006835C1"/>
    <w:rsid w:val="00690A3D"/>
    <w:rsid w:val="006A2AA3"/>
    <w:rsid w:val="006E3686"/>
    <w:rsid w:val="00746675"/>
    <w:rsid w:val="007825CC"/>
    <w:rsid w:val="0078669D"/>
    <w:rsid w:val="00786F00"/>
    <w:rsid w:val="007C1FEF"/>
    <w:rsid w:val="007C46D3"/>
    <w:rsid w:val="007F66F9"/>
    <w:rsid w:val="00813AA8"/>
    <w:rsid w:val="00825D14"/>
    <w:rsid w:val="00827AE5"/>
    <w:rsid w:val="00847243"/>
    <w:rsid w:val="008642E1"/>
    <w:rsid w:val="00877383"/>
    <w:rsid w:val="008860C1"/>
    <w:rsid w:val="008909D4"/>
    <w:rsid w:val="008942FA"/>
    <w:rsid w:val="008D06A4"/>
    <w:rsid w:val="008F3D47"/>
    <w:rsid w:val="0093050C"/>
    <w:rsid w:val="009324F3"/>
    <w:rsid w:val="0094204C"/>
    <w:rsid w:val="009424F2"/>
    <w:rsid w:val="00963DD8"/>
    <w:rsid w:val="00970EA7"/>
    <w:rsid w:val="009A69F0"/>
    <w:rsid w:val="009C1092"/>
    <w:rsid w:val="009E2519"/>
    <w:rsid w:val="009F2769"/>
    <w:rsid w:val="00A21E6E"/>
    <w:rsid w:val="00A22A21"/>
    <w:rsid w:val="00A341DF"/>
    <w:rsid w:val="00A36DEE"/>
    <w:rsid w:val="00A567D3"/>
    <w:rsid w:val="00A63ACE"/>
    <w:rsid w:val="00A8476F"/>
    <w:rsid w:val="00AC0386"/>
    <w:rsid w:val="00AC62F8"/>
    <w:rsid w:val="00AE4AD2"/>
    <w:rsid w:val="00AE5F43"/>
    <w:rsid w:val="00AF6A23"/>
    <w:rsid w:val="00B4625A"/>
    <w:rsid w:val="00B71307"/>
    <w:rsid w:val="00B81607"/>
    <w:rsid w:val="00B8227E"/>
    <w:rsid w:val="00BC5FF1"/>
    <w:rsid w:val="00BE51FF"/>
    <w:rsid w:val="00BF556C"/>
    <w:rsid w:val="00C5365F"/>
    <w:rsid w:val="00C56C48"/>
    <w:rsid w:val="00C63B58"/>
    <w:rsid w:val="00C7001F"/>
    <w:rsid w:val="00C71F16"/>
    <w:rsid w:val="00C86D2C"/>
    <w:rsid w:val="00C90C76"/>
    <w:rsid w:val="00CA10D7"/>
    <w:rsid w:val="00CB09E0"/>
    <w:rsid w:val="00CC66AD"/>
    <w:rsid w:val="00CC69E8"/>
    <w:rsid w:val="00D1311B"/>
    <w:rsid w:val="00D31DDA"/>
    <w:rsid w:val="00D57E53"/>
    <w:rsid w:val="00D60F74"/>
    <w:rsid w:val="00D632DC"/>
    <w:rsid w:val="00D708C3"/>
    <w:rsid w:val="00DA5E37"/>
    <w:rsid w:val="00DC0672"/>
    <w:rsid w:val="00DD42DB"/>
    <w:rsid w:val="00DF12A2"/>
    <w:rsid w:val="00E16205"/>
    <w:rsid w:val="00E501C6"/>
    <w:rsid w:val="00E7049B"/>
    <w:rsid w:val="00E727F2"/>
    <w:rsid w:val="00E73A43"/>
    <w:rsid w:val="00E749F1"/>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7D5C"/>
    <w:rsid w:val="00F60C52"/>
    <w:rsid w:val="00F81080"/>
    <w:rsid w:val="00FA24D1"/>
    <w:rsid w:val="00FB231A"/>
    <w:rsid w:val="00FC45CA"/>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0B09"/>
    <w:pPr>
      <w:keepNext/>
      <w:ind w:right="115"/>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customStyle="1" w:styleId="Heading1Char">
    <w:name w:val="Heading 1 Char"/>
    <w:basedOn w:val="DefaultParagraphFont"/>
    <w:link w:val="Heading1"/>
    <w:rsid w:val="000E0B09"/>
    <w:rPr>
      <w:rFonts w:ascii="Arial" w:eastAsia="Times New Roman" w:hAnsi="Arial" w:cs="Arial"/>
      <w:b/>
      <w:bCs/>
      <w:sz w:val="20"/>
      <w:szCs w:val="20"/>
    </w:rPr>
  </w:style>
  <w:style w:type="paragraph" w:customStyle="1" w:styleId="BulletLevel1">
    <w:name w:val="Bullet Level 1"/>
    <w:basedOn w:val="Normal"/>
    <w:rsid w:val="000E0B09"/>
    <w:pPr>
      <w:numPr>
        <w:numId w:val="22"/>
      </w:numPr>
      <w:ind w:right="115"/>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control" Target="activeX/activeX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ontrol" Target="activeX/activeX5.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w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oleObject" Target="file:///C:\Users\larraine.kapka\Desktop\Annual%20updates\Annual%20Update%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rraine.kapka\Desktop\Annual%20updates\Annual%20Update%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rraine.kapka\Desktop\Annual%20updates\Annual%20Update%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Enrollment Trends</a:t>
            </a:r>
          </a:p>
        </c:rich>
      </c:tx>
      <c:layout/>
      <c:overlay val="0"/>
    </c:title>
    <c:autoTitleDeleted val="0"/>
    <c:plotArea>
      <c:layout/>
      <c:lineChart>
        <c:grouping val="standard"/>
        <c:varyColors val="0"/>
        <c:ser>
          <c:idx val="0"/>
          <c:order val="0"/>
          <c:tx>
            <c:strRef>
              <c:f>CAT!$B$29</c:f>
              <c:strCache>
                <c:ptCount val="1"/>
                <c:pt idx="0">
                  <c:v>ARC.AAS</c:v>
                </c:pt>
              </c:strCache>
            </c:strRef>
          </c:tx>
          <c:marker>
            <c:symbol val="none"/>
          </c:marker>
          <c:cat>
            <c:strRef>
              <c:f>CAT!$A$30:$A$34</c:f>
              <c:strCache>
                <c:ptCount val="5"/>
                <c:pt idx="0">
                  <c:v>FY 06-07</c:v>
                </c:pt>
                <c:pt idx="1">
                  <c:v>FY 07-08</c:v>
                </c:pt>
                <c:pt idx="2">
                  <c:v>FY 08-09</c:v>
                </c:pt>
                <c:pt idx="3">
                  <c:v>FY 09-10</c:v>
                </c:pt>
                <c:pt idx="4">
                  <c:v>FY 10-11</c:v>
                </c:pt>
              </c:strCache>
            </c:strRef>
          </c:cat>
          <c:val>
            <c:numRef>
              <c:f>CAT!$B$30:$B$34</c:f>
              <c:numCache>
                <c:formatCode>General</c:formatCode>
                <c:ptCount val="5"/>
                <c:pt idx="0">
                  <c:v>153</c:v>
                </c:pt>
                <c:pt idx="1">
                  <c:v>162</c:v>
                </c:pt>
                <c:pt idx="2">
                  <c:v>155</c:v>
                </c:pt>
                <c:pt idx="3">
                  <c:v>140</c:v>
                </c:pt>
                <c:pt idx="4">
                  <c:v>125</c:v>
                </c:pt>
              </c:numCache>
            </c:numRef>
          </c:val>
          <c:smooth val="0"/>
        </c:ser>
        <c:ser>
          <c:idx val="1"/>
          <c:order val="1"/>
          <c:tx>
            <c:strRef>
              <c:f>CAT!$C$29</c:f>
              <c:strCache>
                <c:ptCount val="1"/>
                <c:pt idx="0">
                  <c:v>CEGT.AAS</c:v>
                </c:pt>
              </c:strCache>
            </c:strRef>
          </c:tx>
          <c:marker>
            <c:symbol val="none"/>
          </c:marker>
          <c:cat>
            <c:strRef>
              <c:f>CAT!$A$30:$A$34</c:f>
              <c:strCache>
                <c:ptCount val="5"/>
                <c:pt idx="0">
                  <c:v>FY 06-07</c:v>
                </c:pt>
                <c:pt idx="1">
                  <c:v>FY 07-08</c:v>
                </c:pt>
                <c:pt idx="2">
                  <c:v>FY 08-09</c:v>
                </c:pt>
                <c:pt idx="3">
                  <c:v>FY 09-10</c:v>
                </c:pt>
                <c:pt idx="4">
                  <c:v>FY 10-11</c:v>
                </c:pt>
              </c:strCache>
            </c:strRef>
          </c:cat>
          <c:val>
            <c:numRef>
              <c:f>CAT!$C$30:$C$34</c:f>
              <c:numCache>
                <c:formatCode>General</c:formatCode>
                <c:ptCount val="5"/>
                <c:pt idx="0">
                  <c:v>50</c:v>
                </c:pt>
                <c:pt idx="1">
                  <c:v>70</c:v>
                </c:pt>
                <c:pt idx="2">
                  <c:v>82</c:v>
                </c:pt>
                <c:pt idx="3">
                  <c:v>112</c:v>
                </c:pt>
                <c:pt idx="4">
                  <c:v>136</c:v>
                </c:pt>
              </c:numCache>
            </c:numRef>
          </c:val>
          <c:smooth val="0"/>
        </c:ser>
        <c:ser>
          <c:idx val="2"/>
          <c:order val="2"/>
          <c:tx>
            <c:strRef>
              <c:f>CAT!$D$29</c:f>
              <c:strCache>
                <c:ptCount val="1"/>
                <c:pt idx="0">
                  <c:v>CMO.AAS</c:v>
                </c:pt>
              </c:strCache>
            </c:strRef>
          </c:tx>
          <c:marker>
            <c:symbol val="none"/>
          </c:marker>
          <c:cat>
            <c:strRef>
              <c:f>CAT!$A$30:$A$34</c:f>
              <c:strCache>
                <c:ptCount val="5"/>
                <c:pt idx="0">
                  <c:v>FY 06-07</c:v>
                </c:pt>
                <c:pt idx="1">
                  <c:v>FY 07-08</c:v>
                </c:pt>
                <c:pt idx="2">
                  <c:v>FY 08-09</c:v>
                </c:pt>
                <c:pt idx="3">
                  <c:v>FY 09-10</c:v>
                </c:pt>
                <c:pt idx="4">
                  <c:v>FY 10-11</c:v>
                </c:pt>
              </c:strCache>
            </c:strRef>
          </c:cat>
          <c:val>
            <c:numRef>
              <c:f>CAT!$D$30:$D$34</c:f>
              <c:numCache>
                <c:formatCode>General</c:formatCode>
                <c:ptCount val="5"/>
                <c:pt idx="0">
                  <c:v>81</c:v>
                </c:pt>
                <c:pt idx="1">
                  <c:v>96</c:v>
                </c:pt>
                <c:pt idx="2">
                  <c:v>94</c:v>
                </c:pt>
                <c:pt idx="3">
                  <c:v>144</c:v>
                </c:pt>
                <c:pt idx="4">
                  <c:v>150</c:v>
                </c:pt>
              </c:numCache>
            </c:numRef>
          </c:val>
          <c:smooth val="0"/>
        </c:ser>
        <c:dLbls>
          <c:showLegendKey val="0"/>
          <c:showVal val="0"/>
          <c:showCatName val="0"/>
          <c:showSerName val="0"/>
          <c:showPercent val="0"/>
          <c:showBubbleSize val="0"/>
        </c:dLbls>
        <c:marker val="1"/>
        <c:smooth val="0"/>
        <c:axId val="65108608"/>
        <c:axId val="71090560"/>
      </c:lineChart>
      <c:catAx>
        <c:axId val="65108608"/>
        <c:scaling>
          <c:orientation val="minMax"/>
        </c:scaling>
        <c:delete val="0"/>
        <c:axPos val="b"/>
        <c:majorTickMark val="none"/>
        <c:minorTickMark val="none"/>
        <c:tickLblPos val="nextTo"/>
        <c:crossAx val="71090560"/>
        <c:crosses val="autoZero"/>
        <c:auto val="1"/>
        <c:lblAlgn val="ctr"/>
        <c:lblOffset val="100"/>
        <c:noMultiLvlLbl val="0"/>
      </c:catAx>
      <c:valAx>
        <c:axId val="71090560"/>
        <c:scaling>
          <c:orientation val="minMax"/>
        </c:scaling>
        <c:delete val="0"/>
        <c:axPos val="l"/>
        <c:majorGridlines/>
        <c:title>
          <c:layout/>
          <c:overlay val="0"/>
        </c:title>
        <c:numFmt formatCode="General" sourceLinked="1"/>
        <c:majorTickMark val="none"/>
        <c:minorTickMark val="none"/>
        <c:tickLblPos val="nextTo"/>
        <c:crossAx val="651086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Retention Trends, Fall to Spring</a:t>
            </a:r>
          </a:p>
        </c:rich>
      </c:tx>
      <c:layout/>
      <c:overlay val="0"/>
    </c:title>
    <c:autoTitleDeleted val="0"/>
    <c:plotArea>
      <c:layout/>
      <c:lineChart>
        <c:grouping val="standard"/>
        <c:varyColors val="0"/>
        <c:ser>
          <c:idx val="0"/>
          <c:order val="0"/>
          <c:tx>
            <c:strRef>
              <c:f>CAT!$B$45</c:f>
              <c:strCache>
                <c:ptCount val="1"/>
                <c:pt idx="0">
                  <c:v>ARC.AAS</c:v>
                </c:pt>
              </c:strCache>
            </c:strRef>
          </c:tx>
          <c:marker>
            <c:symbol val="none"/>
          </c:marker>
          <c:cat>
            <c:strRef>
              <c:f>CAT!$A$46:$A$50</c:f>
              <c:strCache>
                <c:ptCount val="5"/>
                <c:pt idx="0">
                  <c:v>FY 06-07</c:v>
                </c:pt>
                <c:pt idx="1">
                  <c:v>FY 07-08</c:v>
                </c:pt>
                <c:pt idx="2">
                  <c:v>FY 08-09</c:v>
                </c:pt>
                <c:pt idx="3">
                  <c:v>FY 09-10</c:v>
                </c:pt>
                <c:pt idx="4">
                  <c:v>FY 10-11</c:v>
                </c:pt>
              </c:strCache>
            </c:strRef>
          </c:cat>
          <c:val>
            <c:numRef>
              <c:f>CAT!$B$46:$B$50</c:f>
              <c:numCache>
                <c:formatCode>0%</c:formatCode>
                <c:ptCount val="5"/>
                <c:pt idx="0">
                  <c:v>0.59</c:v>
                </c:pt>
                <c:pt idx="1">
                  <c:v>0.69</c:v>
                </c:pt>
                <c:pt idx="2">
                  <c:v>0.61</c:v>
                </c:pt>
                <c:pt idx="3">
                  <c:v>0.59</c:v>
                </c:pt>
                <c:pt idx="4">
                  <c:v>0.62</c:v>
                </c:pt>
              </c:numCache>
            </c:numRef>
          </c:val>
          <c:smooth val="0"/>
        </c:ser>
        <c:ser>
          <c:idx val="1"/>
          <c:order val="1"/>
          <c:tx>
            <c:strRef>
              <c:f>CAT!$C$45</c:f>
              <c:strCache>
                <c:ptCount val="1"/>
                <c:pt idx="0">
                  <c:v>CEGT.AAS</c:v>
                </c:pt>
              </c:strCache>
            </c:strRef>
          </c:tx>
          <c:marker>
            <c:symbol val="none"/>
          </c:marker>
          <c:cat>
            <c:strRef>
              <c:f>CAT!$A$46:$A$50</c:f>
              <c:strCache>
                <c:ptCount val="5"/>
                <c:pt idx="0">
                  <c:v>FY 06-07</c:v>
                </c:pt>
                <c:pt idx="1">
                  <c:v>FY 07-08</c:v>
                </c:pt>
                <c:pt idx="2">
                  <c:v>FY 08-09</c:v>
                </c:pt>
                <c:pt idx="3">
                  <c:v>FY 09-10</c:v>
                </c:pt>
                <c:pt idx="4">
                  <c:v>FY 10-11</c:v>
                </c:pt>
              </c:strCache>
            </c:strRef>
          </c:cat>
          <c:val>
            <c:numRef>
              <c:f>CAT!$C$46:$C$50</c:f>
              <c:numCache>
                <c:formatCode>0%</c:formatCode>
                <c:ptCount val="5"/>
                <c:pt idx="0">
                  <c:v>0.7</c:v>
                </c:pt>
                <c:pt idx="1">
                  <c:v>0.64</c:v>
                </c:pt>
                <c:pt idx="2">
                  <c:v>0.7</c:v>
                </c:pt>
                <c:pt idx="3">
                  <c:v>0.66</c:v>
                </c:pt>
                <c:pt idx="4">
                  <c:v>0.72</c:v>
                </c:pt>
              </c:numCache>
            </c:numRef>
          </c:val>
          <c:smooth val="0"/>
        </c:ser>
        <c:ser>
          <c:idx val="2"/>
          <c:order val="2"/>
          <c:tx>
            <c:strRef>
              <c:f>CAT!$D$45</c:f>
              <c:strCache>
                <c:ptCount val="1"/>
                <c:pt idx="0">
                  <c:v>CMO.AAS</c:v>
                </c:pt>
              </c:strCache>
            </c:strRef>
          </c:tx>
          <c:marker>
            <c:symbol val="none"/>
          </c:marker>
          <c:cat>
            <c:strRef>
              <c:f>CAT!$A$46:$A$50</c:f>
              <c:strCache>
                <c:ptCount val="5"/>
                <c:pt idx="0">
                  <c:v>FY 06-07</c:v>
                </c:pt>
                <c:pt idx="1">
                  <c:v>FY 07-08</c:v>
                </c:pt>
                <c:pt idx="2">
                  <c:v>FY 08-09</c:v>
                </c:pt>
                <c:pt idx="3">
                  <c:v>FY 09-10</c:v>
                </c:pt>
                <c:pt idx="4">
                  <c:v>FY 10-11</c:v>
                </c:pt>
              </c:strCache>
            </c:strRef>
          </c:cat>
          <c:val>
            <c:numRef>
              <c:f>CAT!$D$46:$D$50</c:f>
              <c:numCache>
                <c:formatCode>0%</c:formatCode>
                <c:ptCount val="5"/>
                <c:pt idx="0">
                  <c:v>0.73</c:v>
                </c:pt>
                <c:pt idx="1">
                  <c:v>0.69</c:v>
                </c:pt>
                <c:pt idx="2">
                  <c:v>0.67</c:v>
                </c:pt>
                <c:pt idx="3">
                  <c:v>0.6</c:v>
                </c:pt>
                <c:pt idx="4">
                  <c:v>0.64</c:v>
                </c:pt>
              </c:numCache>
            </c:numRef>
          </c:val>
          <c:smooth val="0"/>
        </c:ser>
        <c:ser>
          <c:idx val="3"/>
          <c:order val="3"/>
          <c:tx>
            <c:strRef>
              <c:f>CAT!$E$45</c:f>
              <c:strCache>
                <c:ptCount val="1"/>
                <c:pt idx="0">
                  <c:v>SME</c:v>
                </c:pt>
              </c:strCache>
            </c:strRef>
          </c:tx>
          <c:marker>
            <c:symbol val="none"/>
          </c:marker>
          <c:cat>
            <c:strRef>
              <c:f>CAT!$A$46:$A$50</c:f>
              <c:strCache>
                <c:ptCount val="5"/>
                <c:pt idx="0">
                  <c:v>FY 06-07</c:v>
                </c:pt>
                <c:pt idx="1">
                  <c:v>FY 07-08</c:v>
                </c:pt>
                <c:pt idx="2">
                  <c:v>FY 08-09</c:v>
                </c:pt>
                <c:pt idx="3">
                  <c:v>FY 09-10</c:v>
                </c:pt>
                <c:pt idx="4">
                  <c:v>FY 10-11</c:v>
                </c:pt>
              </c:strCache>
            </c:strRef>
          </c:cat>
          <c:val>
            <c:numRef>
              <c:f>CAT!$E$46:$E$50</c:f>
              <c:numCache>
                <c:formatCode>0%</c:formatCode>
                <c:ptCount val="5"/>
                <c:pt idx="0">
                  <c:v>0.57999999999999996</c:v>
                </c:pt>
                <c:pt idx="1">
                  <c:v>0.56000000000000005</c:v>
                </c:pt>
                <c:pt idx="2">
                  <c:v>0.6</c:v>
                </c:pt>
                <c:pt idx="3">
                  <c:v>0.56999999999999995</c:v>
                </c:pt>
                <c:pt idx="4">
                  <c:v>0.56000000000000005</c:v>
                </c:pt>
              </c:numCache>
            </c:numRef>
          </c:val>
          <c:smooth val="0"/>
        </c:ser>
        <c:dLbls>
          <c:showLegendKey val="0"/>
          <c:showVal val="0"/>
          <c:showCatName val="0"/>
          <c:showSerName val="0"/>
          <c:showPercent val="0"/>
          <c:showBubbleSize val="0"/>
        </c:dLbls>
        <c:marker val="1"/>
        <c:smooth val="0"/>
        <c:axId val="24612224"/>
        <c:axId val="24618112"/>
      </c:lineChart>
      <c:catAx>
        <c:axId val="24612224"/>
        <c:scaling>
          <c:orientation val="minMax"/>
        </c:scaling>
        <c:delete val="0"/>
        <c:axPos val="b"/>
        <c:majorTickMark val="none"/>
        <c:minorTickMark val="none"/>
        <c:tickLblPos val="nextTo"/>
        <c:crossAx val="24618112"/>
        <c:crosses val="autoZero"/>
        <c:auto val="1"/>
        <c:lblAlgn val="ctr"/>
        <c:lblOffset val="100"/>
        <c:noMultiLvlLbl val="0"/>
      </c:catAx>
      <c:valAx>
        <c:axId val="24618112"/>
        <c:scaling>
          <c:orientation val="minMax"/>
        </c:scaling>
        <c:delete val="0"/>
        <c:axPos val="l"/>
        <c:majorGridlines/>
        <c:title>
          <c:layout/>
          <c:overlay val="0"/>
        </c:title>
        <c:numFmt formatCode="0%" sourceLinked="1"/>
        <c:majorTickMark val="none"/>
        <c:minorTickMark val="none"/>
        <c:tickLblPos val="nextTo"/>
        <c:crossAx val="246122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Graduation Data</a:t>
            </a:r>
          </a:p>
        </c:rich>
      </c:tx>
      <c:layout/>
      <c:overlay val="0"/>
    </c:title>
    <c:autoTitleDeleted val="0"/>
    <c:plotArea>
      <c:layout/>
      <c:barChart>
        <c:barDir val="col"/>
        <c:grouping val="clustered"/>
        <c:varyColors val="0"/>
        <c:ser>
          <c:idx val="0"/>
          <c:order val="0"/>
          <c:tx>
            <c:strRef>
              <c:f>CAT!$B$2</c:f>
              <c:strCache>
                <c:ptCount val="1"/>
                <c:pt idx="0">
                  <c:v>ARC.AAS</c:v>
                </c:pt>
              </c:strCache>
            </c:strRef>
          </c:tx>
          <c:invertIfNegative val="0"/>
          <c:cat>
            <c:strRef>
              <c:f>CAT!$A$3:$A$7</c:f>
              <c:strCache>
                <c:ptCount val="5"/>
                <c:pt idx="0">
                  <c:v>FY 05-06</c:v>
                </c:pt>
                <c:pt idx="1">
                  <c:v>FY 06-07</c:v>
                </c:pt>
                <c:pt idx="2">
                  <c:v>FY 07-08</c:v>
                </c:pt>
                <c:pt idx="3">
                  <c:v>FY 08-09</c:v>
                </c:pt>
                <c:pt idx="4">
                  <c:v>FY 09-10</c:v>
                </c:pt>
              </c:strCache>
            </c:strRef>
          </c:cat>
          <c:val>
            <c:numRef>
              <c:f>CAT!$B$3:$B$7</c:f>
              <c:numCache>
                <c:formatCode>General</c:formatCode>
                <c:ptCount val="5"/>
                <c:pt idx="0">
                  <c:v>8</c:v>
                </c:pt>
                <c:pt idx="1">
                  <c:v>12</c:v>
                </c:pt>
                <c:pt idx="2">
                  <c:v>15</c:v>
                </c:pt>
                <c:pt idx="3">
                  <c:v>10</c:v>
                </c:pt>
                <c:pt idx="4">
                  <c:v>14</c:v>
                </c:pt>
              </c:numCache>
            </c:numRef>
          </c:val>
        </c:ser>
        <c:ser>
          <c:idx val="1"/>
          <c:order val="1"/>
          <c:tx>
            <c:strRef>
              <c:f>CAT!$C$2</c:f>
              <c:strCache>
                <c:ptCount val="1"/>
                <c:pt idx="0">
                  <c:v>CEGT.AAS</c:v>
                </c:pt>
              </c:strCache>
            </c:strRef>
          </c:tx>
          <c:invertIfNegative val="0"/>
          <c:cat>
            <c:strRef>
              <c:f>CAT!$A$3:$A$7</c:f>
              <c:strCache>
                <c:ptCount val="5"/>
                <c:pt idx="0">
                  <c:v>FY 05-06</c:v>
                </c:pt>
                <c:pt idx="1">
                  <c:v>FY 06-07</c:v>
                </c:pt>
                <c:pt idx="2">
                  <c:v>FY 07-08</c:v>
                </c:pt>
                <c:pt idx="3">
                  <c:v>FY 08-09</c:v>
                </c:pt>
                <c:pt idx="4">
                  <c:v>FY 09-10</c:v>
                </c:pt>
              </c:strCache>
            </c:strRef>
          </c:cat>
          <c:val>
            <c:numRef>
              <c:f>CAT!$C$3:$C$7</c:f>
              <c:numCache>
                <c:formatCode>General</c:formatCode>
                <c:ptCount val="5"/>
                <c:pt idx="1">
                  <c:v>4</c:v>
                </c:pt>
                <c:pt idx="2">
                  <c:v>3</c:v>
                </c:pt>
                <c:pt idx="3">
                  <c:v>6</c:v>
                </c:pt>
                <c:pt idx="4">
                  <c:v>6</c:v>
                </c:pt>
              </c:numCache>
            </c:numRef>
          </c:val>
        </c:ser>
        <c:ser>
          <c:idx val="2"/>
          <c:order val="2"/>
          <c:tx>
            <c:strRef>
              <c:f>CAT!$D$2</c:f>
              <c:strCache>
                <c:ptCount val="1"/>
                <c:pt idx="0">
                  <c:v>CMO.AAS</c:v>
                </c:pt>
              </c:strCache>
            </c:strRef>
          </c:tx>
          <c:invertIfNegative val="0"/>
          <c:cat>
            <c:strRef>
              <c:f>CAT!$A$3:$A$7</c:f>
              <c:strCache>
                <c:ptCount val="5"/>
                <c:pt idx="0">
                  <c:v>FY 05-06</c:v>
                </c:pt>
                <c:pt idx="1">
                  <c:v>FY 06-07</c:v>
                </c:pt>
                <c:pt idx="2">
                  <c:v>FY 07-08</c:v>
                </c:pt>
                <c:pt idx="3">
                  <c:v>FY 08-09</c:v>
                </c:pt>
                <c:pt idx="4">
                  <c:v>FY 09-10</c:v>
                </c:pt>
              </c:strCache>
            </c:strRef>
          </c:cat>
          <c:val>
            <c:numRef>
              <c:f>CAT!$D$3:$D$7</c:f>
              <c:numCache>
                <c:formatCode>General</c:formatCode>
                <c:ptCount val="5"/>
                <c:pt idx="0">
                  <c:v>4</c:v>
                </c:pt>
                <c:pt idx="1">
                  <c:v>6</c:v>
                </c:pt>
                <c:pt idx="2">
                  <c:v>12</c:v>
                </c:pt>
                <c:pt idx="3">
                  <c:v>9</c:v>
                </c:pt>
                <c:pt idx="4">
                  <c:v>15</c:v>
                </c:pt>
              </c:numCache>
            </c:numRef>
          </c:val>
        </c:ser>
        <c:dLbls>
          <c:showLegendKey val="0"/>
          <c:showVal val="0"/>
          <c:showCatName val="0"/>
          <c:showSerName val="0"/>
          <c:showPercent val="0"/>
          <c:showBubbleSize val="0"/>
        </c:dLbls>
        <c:gapWidth val="150"/>
        <c:axId val="24640512"/>
        <c:axId val="70701824"/>
      </c:barChart>
      <c:catAx>
        <c:axId val="24640512"/>
        <c:scaling>
          <c:orientation val="minMax"/>
        </c:scaling>
        <c:delete val="0"/>
        <c:axPos val="b"/>
        <c:majorTickMark val="none"/>
        <c:minorTickMark val="none"/>
        <c:tickLblPos val="nextTo"/>
        <c:crossAx val="70701824"/>
        <c:crosses val="autoZero"/>
        <c:auto val="1"/>
        <c:lblAlgn val="ctr"/>
        <c:lblOffset val="100"/>
        <c:noMultiLvlLbl val="0"/>
      </c:catAx>
      <c:valAx>
        <c:axId val="70701824"/>
        <c:scaling>
          <c:orientation val="minMax"/>
        </c:scaling>
        <c:delete val="0"/>
        <c:axPos val="l"/>
        <c:majorGridlines/>
        <c:numFmt formatCode="General" sourceLinked="1"/>
        <c:majorTickMark val="none"/>
        <c:minorTickMark val="none"/>
        <c:tickLblPos val="nextTo"/>
        <c:crossAx val="2464051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31B0-7AF2-4AE0-BA19-99F176C8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KAPKA</cp:lastModifiedBy>
  <cp:revision>7</cp:revision>
  <dcterms:created xsi:type="dcterms:W3CDTF">2010-11-08T15:06:00Z</dcterms:created>
  <dcterms:modified xsi:type="dcterms:W3CDTF">2011-07-10T14:53:00Z</dcterms:modified>
</cp:coreProperties>
</file>