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CA1" w:rsidRDefault="00CB0CA1" w:rsidP="00CB0CA1">
      <w:pPr>
        <w:jc w:val="center"/>
        <w:rPr>
          <w:rFonts w:ascii="Arial" w:hAnsi="Arial" w:cs="Arial"/>
          <w:b/>
          <w:color w:val="000000" w:themeColor="text1"/>
          <w:sz w:val="28"/>
        </w:rPr>
      </w:pPr>
      <w:r>
        <w:rPr>
          <w:rFonts w:ascii="Arial" w:hAnsi="Arial" w:cs="Arial"/>
          <w:b/>
          <w:color w:val="000000" w:themeColor="text1"/>
          <w:sz w:val="28"/>
        </w:rPr>
        <w:t>Sinclair Community College</w:t>
      </w:r>
    </w:p>
    <w:p w:rsidR="00CB0CA1" w:rsidRDefault="00CB0CA1" w:rsidP="00CB0CA1">
      <w:pPr>
        <w:jc w:val="center"/>
        <w:rPr>
          <w:rFonts w:ascii="Arial" w:hAnsi="Arial" w:cs="Arial"/>
          <w:b/>
          <w:color w:val="000000" w:themeColor="text1"/>
        </w:rPr>
      </w:pPr>
      <w:r>
        <w:rPr>
          <w:rFonts w:ascii="Arial" w:hAnsi="Arial" w:cs="Arial"/>
          <w:b/>
          <w:color w:val="000000" w:themeColor="text1"/>
        </w:rPr>
        <w:t>Continuous Improvement Annual Update 2014-15</w:t>
      </w:r>
    </w:p>
    <w:p w:rsidR="00CB0CA1" w:rsidRDefault="00CB0CA1" w:rsidP="00CB0CA1">
      <w:pPr>
        <w:jc w:val="center"/>
        <w:rPr>
          <w:rFonts w:ascii="Arial" w:hAnsi="Arial" w:cs="Arial"/>
          <w:b/>
          <w:color w:val="000000" w:themeColor="text1"/>
        </w:rPr>
      </w:pPr>
    </w:p>
    <w:p w:rsidR="00CB0CA1" w:rsidRDefault="00CB0CA1" w:rsidP="00CB0CA1">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CB0CA1" w:rsidRDefault="00CB0CA1" w:rsidP="00CB0CA1">
      <w:pPr>
        <w:jc w:val="center"/>
        <w:rPr>
          <w:rFonts w:ascii="Arial" w:hAnsi="Arial" w:cs="Arial"/>
          <w:b/>
          <w:color w:val="000000" w:themeColor="text1"/>
        </w:rPr>
      </w:pPr>
    </w:p>
    <w:p w:rsidR="00CB0CA1" w:rsidRDefault="00CB0CA1" w:rsidP="00CB0CA1">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73CDD">
        <w:rPr>
          <w:rFonts w:ascii="Arial" w:hAnsi="Arial" w:cs="Arial"/>
          <w:color w:val="000000" w:themeColor="text1"/>
          <w:u w:val="single"/>
        </w:rPr>
        <w:t>0</w:t>
      </w:r>
      <w:r w:rsidR="00532A78">
        <w:rPr>
          <w:rFonts w:ascii="Arial" w:hAnsi="Arial" w:cs="Arial"/>
          <w:color w:val="000000" w:themeColor="text1"/>
          <w:u w:val="single"/>
        </w:rPr>
        <w:t>322</w:t>
      </w:r>
      <w:r w:rsidR="00673CDD">
        <w:rPr>
          <w:rFonts w:ascii="Arial" w:hAnsi="Arial" w:cs="Arial"/>
          <w:color w:val="000000" w:themeColor="text1"/>
          <w:u w:val="single"/>
        </w:rPr>
        <w:t xml:space="preserve"> –</w:t>
      </w:r>
      <w:r w:rsidR="00532A78">
        <w:rPr>
          <w:rFonts w:ascii="Arial" w:hAnsi="Arial" w:cs="Arial"/>
          <w:color w:val="000000" w:themeColor="text1"/>
          <w:u w:val="single"/>
        </w:rPr>
        <w:t xml:space="preserve"> Biology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2C39BF">
        <w:rPr>
          <w:rFonts w:ascii="Arial" w:hAnsi="Arial" w:cs="Arial"/>
          <w:color w:val="000000" w:themeColor="text1"/>
        </w:rPr>
        <w:t>12</w:t>
      </w:r>
      <w:r>
        <w:rPr>
          <w:rFonts w:ascii="Arial" w:hAnsi="Arial" w:cs="Arial"/>
          <w:color w:val="000000" w:themeColor="text1"/>
        </w:rPr>
        <w:t>-</w:t>
      </w:r>
      <w:r w:rsidR="001A2E6B">
        <w:rPr>
          <w:rFonts w:ascii="Arial" w:hAnsi="Arial" w:cs="Arial"/>
          <w:color w:val="000000" w:themeColor="text1"/>
        </w:rPr>
        <w:t>20</w:t>
      </w:r>
      <w:r w:rsidR="002C39BF">
        <w:rPr>
          <w:rFonts w:ascii="Arial" w:hAnsi="Arial" w:cs="Arial"/>
          <w:color w:val="000000" w:themeColor="text1"/>
        </w:rPr>
        <w:t>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73CDD">
        <w:rPr>
          <w:rFonts w:ascii="Arial" w:hAnsi="Arial" w:cs="Arial"/>
          <w:color w:val="000000" w:themeColor="text1"/>
        </w:rPr>
        <w:t>1</w:t>
      </w:r>
      <w:r w:rsidR="002C39BF">
        <w:rPr>
          <w:rFonts w:ascii="Arial" w:hAnsi="Arial" w:cs="Arial"/>
          <w:color w:val="000000" w:themeColor="text1"/>
        </w:rPr>
        <w:t>7</w:t>
      </w:r>
      <w:r>
        <w:rPr>
          <w:rFonts w:ascii="Arial" w:hAnsi="Arial" w:cs="Arial"/>
          <w:color w:val="000000" w:themeColor="text1"/>
        </w:rPr>
        <w:t>-201</w:t>
      </w:r>
      <w:r w:rsidR="002C39BF">
        <w:rPr>
          <w:rFonts w:ascii="Arial" w:hAnsi="Arial" w:cs="Arial"/>
          <w:color w:val="000000" w:themeColor="text1"/>
        </w:rPr>
        <w:t>8</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3C70E8" w:rsidP="00585766">
      <w:pPr>
        <w:rPr>
          <w:rFonts w:ascii="Arial" w:hAnsi="Arial" w:cs="Arial"/>
          <w:noProof/>
          <w:color w:val="000000" w:themeColor="text1"/>
        </w:rPr>
      </w:pPr>
      <w:r>
        <w:rPr>
          <w:noProof/>
        </w:rPr>
        <w:drawing>
          <wp:inline distT="0" distB="0" distL="0" distR="0" wp14:anchorId="74D79F0F" wp14:editId="3B3D825F">
            <wp:extent cx="5943600" cy="2438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BD24C0" w:rsidRDefault="00BD24C0" w:rsidP="00585766">
      <w:pPr>
        <w:ind w:left="720"/>
        <w:rPr>
          <w:rFonts w:ascii="Arial" w:hAnsi="Arial" w:cs="Arial"/>
          <w:color w:val="000000" w:themeColor="text1"/>
        </w:rPr>
      </w:pPr>
    </w:p>
    <w:p w:rsidR="00BD24C0" w:rsidRDefault="004500C1" w:rsidP="00585766">
      <w:pPr>
        <w:ind w:left="720"/>
        <w:rPr>
          <w:rFonts w:ascii="Arial" w:hAnsi="Arial" w:cs="Arial"/>
          <w:color w:val="000000" w:themeColor="text1"/>
        </w:rPr>
      </w:pPr>
      <w:r>
        <w:rPr>
          <w:rFonts w:ascii="Arial" w:hAnsi="Arial" w:cs="Arial"/>
          <w:noProof/>
          <w:color w:val="000000" w:themeColor="text1"/>
        </w:rPr>
        <w:drawing>
          <wp:inline distT="0" distB="0" distL="0" distR="0" wp14:anchorId="15D1C556">
            <wp:extent cx="4291965" cy="274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1965" cy="2749550"/>
                    </a:xfrm>
                    <a:prstGeom prst="rect">
                      <a:avLst/>
                    </a:prstGeom>
                    <a:noFill/>
                  </pic:spPr>
                </pic:pic>
              </a:graphicData>
            </a:graphic>
          </wp:inline>
        </w:drawing>
      </w:r>
    </w:p>
    <w:p w:rsidR="00BD24C0" w:rsidRDefault="00BD24C0" w:rsidP="00585766">
      <w:pPr>
        <w:ind w:left="720"/>
        <w:rPr>
          <w:rFonts w:ascii="Arial" w:hAnsi="Arial" w:cs="Arial"/>
          <w:color w:val="000000" w:themeColor="text1"/>
        </w:rPr>
      </w:pPr>
    </w:p>
    <w:p w:rsidR="00BD24C0" w:rsidRDefault="00BD24C0"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1A2E6B" w:rsidRDefault="001A2E6B" w:rsidP="009D4417">
      <w:pPr>
        <w:pStyle w:val="ListParagraph"/>
        <w:tabs>
          <w:tab w:val="left" w:pos="5040"/>
        </w:tabs>
        <w:ind w:left="0"/>
        <w:rPr>
          <w:rFonts w:ascii="Arial" w:hAnsi="Arial" w:cs="Arial"/>
          <w:color w:val="000000" w:themeColor="text1"/>
        </w:rPr>
      </w:pPr>
    </w:p>
    <w:p w:rsidR="00CC7151" w:rsidRDefault="003878BD">
      <w:pPr>
        <w:spacing w:after="200" w:line="276" w:lineRule="auto"/>
        <w:rPr>
          <w:rFonts w:ascii="Arial" w:hAnsi="Arial" w:cs="Arial"/>
          <w:b/>
          <w:color w:val="000000" w:themeColor="text1"/>
        </w:rPr>
      </w:pPr>
      <w:r>
        <w:rPr>
          <w:rFonts w:ascii="Arial" w:hAnsi="Arial" w:cs="Arial"/>
          <w:b/>
          <w:color w:val="000000" w:themeColor="text1"/>
        </w:rPr>
        <w:t xml:space="preserve">Although the completion rates for both the BTN.S.AAS and BIOE.S.AS degrees fluctuate year to year, the overall trend indicates an increase in completion rates over time.  </w:t>
      </w:r>
      <w:r w:rsidR="00D1797B">
        <w:rPr>
          <w:rFonts w:ascii="Arial" w:hAnsi="Arial" w:cs="Arial"/>
          <w:b/>
          <w:color w:val="000000" w:themeColor="text1"/>
        </w:rPr>
        <w:t xml:space="preserve">We have increased our efforts to market these programs to both traditional and non-traditional prospective students by attending various career fairs and community outreach programs. </w:t>
      </w:r>
      <w:r w:rsidR="00CC7151">
        <w:rPr>
          <w:rFonts w:ascii="Arial" w:hAnsi="Arial" w:cs="Arial"/>
          <w:b/>
          <w:color w:val="000000" w:themeColor="text1"/>
        </w:rPr>
        <w:t xml:space="preserve">In addition, Biology/Biotechnology students also participated in some of these community outreach programs.  This in addition to their involvement in the Biotechnology Club gives students a sense of belonging and responsibility which may enhance the likeliness of degree completion.  </w:t>
      </w:r>
      <w:r w:rsidR="00D1797B">
        <w:rPr>
          <w:rFonts w:ascii="Arial" w:hAnsi="Arial" w:cs="Arial"/>
          <w:b/>
          <w:color w:val="000000" w:themeColor="text1"/>
        </w:rPr>
        <w:t>We have had multiple discussions with SCC STEM Advisors to clarify the purpose of our programs and to raise awareness of what our programs have to offer to prospective students.  These discussions will hopefully ensure students are placed in the appropriate degree programs</w:t>
      </w:r>
      <w:r w:rsidR="00EC7BF3">
        <w:rPr>
          <w:rFonts w:ascii="Arial" w:hAnsi="Arial" w:cs="Arial"/>
          <w:b/>
          <w:color w:val="000000" w:themeColor="text1"/>
        </w:rPr>
        <w:t xml:space="preserve"> thereby increasing the completion rates of the degrees.</w:t>
      </w:r>
      <w:r w:rsidR="00CC7151">
        <w:rPr>
          <w:rFonts w:ascii="Arial" w:hAnsi="Arial" w:cs="Arial"/>
          <w:b/>
          <w:color w:val="000000" w:themeColor="text1"/>
        </w:rPr>
        <w:t xml:space="preserve">  </w:t>
      </w:r>
    </w:p>
    <w:p w:rsidR="004C52FC" w:rsidRDefault="004C52FC">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6673A2" w:rsidP="00585766">
      <w:pPr>
        <w:rPr>
          <w:rFonts w:ascii="Arial" w:hAnsi="Arial" w:cs="Arial"/>
          <w:color w:val="000000" w:themeColor="text1"/>
        </w:rPr>
      </w:pPr>
      <w:r>
        <w:rPr>
          <w:noProof/>
        </w:rPr>
        <w:drawing>
          <wp:inline distT="0" distB="0" distL="0" distR="0" wp14:anchorId="31AD40A2" wp14:editId="5E955321">
            <wp:extent cx="5943600" cy="2682875"/>
            <wp:effectExtent l="0" t="0" r="19050" b="222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CC582B" w:rsidRPr="008258DA" w:rsidRDefault="004500C1" w:rsidP="008258DA">
      <w:pPr>
        <w:rPr>
          <w:rFonts w:ascii="Arial" w:hAnsi="Arial" w:cs="Arial"/>
          <w:color w:val="000000" w:themeColor="text1"/>
        </w:rPr>
      </w:pPr>
      <w:r>
        <w:rPr>
          <w:rFonts w:ascii="Arial" w:hAnsi="Arial" w:cs="Arial"/>
          <w:noProof/>
          <w:color w:val="000000" w:themeColor="text1"/>
        </w:rPr>
        <w:drawing>
          <wp:anchor distT="0" distB="0" distL="114300" distR="114300" simplePos="0" relativeHeight="251615744" behindDoc="0" locked="0" layoutInCell="1" allowOverlap="1" wp14:anchorId="278F7717" wp14:editId="45D871B1">
            <wp:simplePos x="0" y="0"/>
            <wp:positionH relativeFrom="column">
              <wp:posOffset>3124200</wp:posOffset>
            </wp:positionH>
            <wp:positionV relativeFrom="paragraph">
              <wp:posOffset>106680</wp:posOffset>
            </wp:positionV>
            <wp:extent cx="2545080" cy="200629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5080" cy="20062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rPr>
        <w:drawing>
          <wp:anchor distT="0" distB="0" distL="114300" distR="114300" simplePos="0" relativeHeight="251695616" behindDoc="0" locked="0" layoutInCell="1" allowOverlap="1" wp14:anchorId="1B8E5FF4" wp14:editId="4003E683">
            <wp:simplePos x="0" y="0"/>
            <wp:positionH relativeFrom="column">
              <wp:posOffset>0</wp:posOffset>
            </wp:positionH>
            <wp:positionV relativeFrom="paragraph">
              <wp:posOffset>114300</wp:posOffset>
            </wp:positionV>
            <wp:extent cx="2667000" cy="2067211"/>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2067211"/>
                    </a:xfrm>
                    <a:prstGeom prst="rect">
                      <a:avLst/>
                    </a:prstGeom>
                    <a:noFill/>
                  </pic:spPr>
                </pic:pic>
              </a:graphicData>
            </a:graphic>
            <wp14:sizeRelH relativeFrom="page">
              <wp14:pctWidth>0</wp14:pctWidth>
            </wp14:sizeRelH>
            <wp14:sizeRelV relativeFrom="page">
              <wp14:pctHeight>0</wp14:pctHeight>
            </wp14:sizeRelV>
          </wp:anchor>
        </w:drawing>
      </w:r>
    </w:p>
    <w:p w:rsidR="001D3E1D" w:rsidRPr="00CC582B" w:rsidRDefault="001D3E1D" w:rsidP="002C1B1C">
      <w:pPr>
        <w:rPr>
          <w:rFonts w:ascii="Arial" w:hAnsi="Arial" w:cs="Arial"/>
          <w:color w:val="000000" w:themeColor="text1"/>
        </w:rPr>
      </w:pPr>
    </w:p>
    <w:p w:rsidR="001A2E6B" w:rsidRDefault="001A2E6B" w:rsidP="001A2E6B">
      <w:pPr>
        <w:pStyle w:val="ListParagraph"/>
        <w:tabs>
          <w:tab w:val="left" w:pos="5040"/>
        </w:tabs>
        <w:ind w:left="0"/>
        <w:rPr>
          <w:rFonts w:ascii="Arial" w:hAnsi="Arial" w:cs="Arial"/>
          <w:color w:val="000000" w:themeColor="text1"/>
        </w:rPr>
      </w:pPr>
    </w:p>
    <w:p w:rsidR="001D3E1D" w:rsidRPr="001A2E6B" w:rsidRDefault="001D3E1D" w:rsidP="001A2E6B">
      <w:pPr>
        <w:rPr>
          <w:rFonts w:ascii="Arial" w:hAnsi="Arial" w:cs="Arial"/>
          <w:color w:val="000000" w:themeColor="text1"/>
        </w:rPr>
      </w:pP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4500C1" w:rsidRDefault="004500C1" w:rsidP="008258DA">
      <w:pPr>
        <w:rPr>
          <w:rFonts w:ascii="Arial" w:hAnsi="Arial" w:cs="Arial"/>
          <w:color w:val="000000" w:themeColor="text1"/>
        </w:rPr>
      </w:pPr>
    </w:p>
    <w:p w:rsidR="004500C1" w:rsidRDefault="004500C1" w:rsidP="008258DA">
      <w:pPr>
        <w:rPr>
          <w:rFonts w:ascii="Arial" w:hAnsi="Arial" w:cs="Arial"/>
          <w:color w:val="000000" w:themeColor="text1"/>
        </w:rPr>
      </w:pPr>
    </w:p>
    <w:p w:rsidR="004500C1" w:rsidRDefault="004500C1" w:rsidP="008258DA">
      <w:pPr>
        <w:rPr>
          <w:rFonts w:ascii="Arial" w:hAnsi="Arial" w:cs="Arial"/>
          <w:color w:val="000000" w:themeColor="text1"/>
        </w:rPr>
      </w:pPr>
    </w:p>
    <w:p w:rsidR="004500C1" w:rsidRDefault="009D7E16" w:rsidP="008258DA">
      <w:pPr>
        <w:rPr>
          <w:rFonts w:ascii="Arial" w:hAnsi="Arial" w:cs="Arial"/>
          <w:color w:val="000000" w:themeColor="text1"/>
        </w:rPr>
      </w:pPr>
      <w:r>
        <w:rPr>
          <w:rFonts w:ascii="Arial" w:hAnsi="Arial" w:cs="Arial"/>
          <w:noProof/>
          <w:color w:val="000000" w:themeColor="text1"/>
        </w:rPr>
        <w:drawing>
          <wp:anchor distT="0" distB="0" distL="114300" distR="114300" simplePos="0" relativeHeight="251665920" behindDoc="0" locked="0" layoutInCell="1" allowOverlap="1" wp14:anchorId="2DD8333C" wp14:editId="5A324CF4">
            <wp:simplePos x="0" y="0"/>
            <wp:positionH relativeFrom="column">
              <wp:posOffset>-90805</wp:posOffset>
            </wp:positionH>
            <wp:positionV relativeFrom="paragraph">
              <wp:posOffset>206375</wp:posOffset>
            </wp:positionV>
            <wp:extent cx="2788920" cy="1918970"/>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8920" cy="1918970"/>
                    </a:xfrm>
                    <a:prstGeom prst="rect">
                      <a:avLst/>
                    </a:prstGeom>
                    <a:noFill/>
                  </pic:spPr>
                </pic:pic>
              </a:graphicData>
            </a:graphic>
            <wp14:sizeRelH relativeFrom="page">
              <wp14:pctWidth>0</wp14:pctWidth>
            </wp14:sizeRelH>
            <wp14:sizeRelV relativeFrom="page">
              <wp14:pctHeight>0</wp14:pctHeight>
            </wp14:sizeRelV>
          </wp:anchor>
        </w:drawing>
      </w:r>
    </w:p>
    <w:p w:rsidR="004500C1" w:rsidRDefault="009D7E16" w:rsidP="008258DA">
      <w:pPr>
        <w:rPr>
          <w:rFonts w:ascii="Arial" w:hAnsi="Arial" w:cs="Arial"/>
          <w:color w:val="000000" w:themeColor="text1"/>
        </w:rPr>
      </w:pPr>
      <w:r>
        <w:rPr>
          <w:rFonts w:ascii="Arial" w:hAnsi="Arial" w:cs="Arial"/>
          <w:noProof/>
          <w:color w:val="000000" w:themeColor="text1"/>
        </w:rPr>
        <w:drawing>
          <wp:anchor distT="0" distB="0" distL="114300" distR="114300" simplePos="0" relativeHeight="251720192" behindDoc="0" locked="0" layoutInCell="1" allowOverlap="1" wp14:anchorId="7C788AA1" wp14:editId="376B386D">
            <wp:simplePos x="0" y="0"/>
            <wp:positionH relativeFrom="column">
              <wp:posOffset>2994660</wp:posOffset>
            </wp:positionH>
            <wp:positionV relativeFrom="paragraph">
              <wp:posOffset>8255</wp:posOffset>
            </wp:positionV>
            <wp:extent cx="3299460" cy="2087829"/>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9460" cy="2087829"/>
                    </a:xfrm>
                    <a:prstGeom prst="rect">
                      <a:avLst/>
                    </a:prstGeom>
                    <a:noFill/>
                  </pic:spPr>
                </pic:pic>
              </a:graphicData>
            </a:graphic>
            <wp14:sizeRelH relativeFrom="page">
              <wp14:pctWidth>0</wp14:pctWidth>
            </wp14:sizeRelH>
            <wp14:sizeRelV relativeFrom="page">
              <wp14:pctHeight>0</wp14:pctHeight>
            </wp14:sizeRelV>
          </wp:anchor>
        </w:drawing>
      </w:r>
    </w:p>
    <w:p w:rsidR="004500C1" w:rsidRDefault="004500C1" w:rsidP="008258DA">
      <w:pPr>
        <w:rPr>
          <w:rFonts w:ascii="Arial" w:hAnsi="Arial" w:cs="Arial"/>
          <w:color w:val="000000" w:themeColor="text1"/>
        </w:rPr>
      </w:pPr>
    </w:p>
    <w:p w:rsidR="004500C1" w:rsidRDefault="004500C1" w:rsidP="008258DA">
      <w:pPr>
        <w:rPr>
          <w:rFonts w:ascii="Arial" w:hAnsi="Arial" w:cs="Arial"/>
          <w:color w:val="000000" w:themeColor="text1"/>
        </w:rPr>
      </w:pPr>
    </w:p>
    <w:p w:rsidR="004500C1" w:rsidRDefault="004500C1" w:rsidP="008258DA">
      <w:pPr>
        <w:rPr>
          <w:rFonts w:ascii="Arial" w:hAnsi="Arial" w:cs="Arial"/>
          <w:color w:val="000000" w:themeColor="text1"/>
        </w:rPr>
      </w:pPr>
    </w:p>
    <w:p w:rsidR="004500C1" w:rsidRDefault="004500C1" w:rsidP="008258DA">
      <w:pPr>
        <w:rPr>
          <w:rFonts w:ascii="Arial" w:hAnsi="Arial" w:cs="Arial"/>
          <w:color w:val="000000" w:themeColor="text1"/>
        </w:rPr>
      </w:pPr>
    </w:p>
    <w:p w:rsidR="004500C1" w:rsidRDefault="004500C1"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4500C1" w:rsidRDefault="004500C1" w:rsidP="008258DA">
      <w:pPr>
        <w:rPr>
          <w:rFonts w:ascii="Arial" w:hAnsi="Arial" w:cs="Arial"/>
          <w:color w:val="000000" w:themeColor="text1"/>
        </w:rPr>
      </w:pPr>
    </w:p>
    <w:p w:rsidR="002F0552" w:rsidRDefault="002F0552" w:rsidP="008258DA">
      <w:pPr>
        <w:rPr>
          <w:rFonts w:ascii="Arial" w:hAnsi="Arial" w:cs="Arial"/>
          <w:color w:val="000000" w:themeColor="text1"/>
        </w:rPr>
      </w:pPr>
    </w:p>
    <w:p w:rsidR="002F0552" w:rsidRDefault="002F0552" w:rsidP="008258DA">
      <w:pPr>
        <w:rPr>
          <w:rFonts w:ascii="Arial" w:hAnsi="Arial" w:cs="Arial"/>
          <w:color w:val="000000" w:themeColor="text1"/>
        </w:rPr>
      </w:pPr>
      <w:r>
        <w:rPr>
          <w:rFonts w:ascii="Arial" w:hAnsi="Arial" w:cs="Arial"/>
          <w:noProof/>
          <w:color w:val="000000" w:themeColor="text1"/>
        </w:rPr>
        <w:drawing>
          <wp:anchor distT="0" distB="0" distL="114300" distR="114300" simplePos="0" relativeHeight="251722240" behindDoc="0" locked="0" layoutInCell="1" allowOverlap="1">
            <wp:simplePos x="0" y="0"/>
            <wp:positionH relativeFrom="column">
              <wp:posOffset>259081</wp:posOffset>
            </wp:positionH>
            <wp:positionV relativeFrom="paragraph">
              <wp:posOffset>-327659</wp:posOffset>
            </wp:positionV>
            <wp:extent cx="2819400" cy="2262364"/>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7951" cy="2269225"/>
                    </a:xfrm>
                    <a:prstGeom prst="rect">
                      <a:avLst/>
                    </a:prstGeom>
                    <a:noFill/>
                  </pic:spPr>
                </pic:pic>
              </a:graphicData>
            </a:graphic>
            <wp14:sizeRelH relativeFrom="page">
              <wp14:pctWidth>0</wp14:pctWidth>
            </wp14:sizeRelH>
            <wp14:sizeRelV relativeFrom="page">
              <wp14:pctHeight>0</wp14:pctHeight>
            </wp14:sizeRelV>
          </wp:anchor>
        </w:drawing>
      </w:r>
    </w:p>
    <w:p w:rsidR="002F0552" w:rsidRDefault="002F0552" w:rsidP="008258DA">
      <w:pPr>
        <w:rPr>
          <w:rFonts w:ascii="Arial" w:hAnsi="Arial" w:cs="Arial"/>
          <w:color w:val="000000" w:themeColor="text1"/>
        </w:rPr>
      </w:pPr>
    </w:p>
    <w:p w:rsidR="002F0552" w:rsidRDefault="002F0552" w:rsidP="008258DA">
      <w:pPr>
        <w:rPr>
          <w:rFonts w:ascii="Arial" w:hAnsi="Arial" w:cs="Arial"/>
          <w:color w:val="000000" w:themeColor="text1"/>
        </w:rPr>
      </w:pPr>
    </w:p>
    <w:p w:rsidR="002F0552" w:rsidRDefault="002F0552" w:rsidP="008258DA">
      <w:pPr>
        <w:rPr>
          <w:rFonts w:ascii="Arial" w:hAnsi="Arial" w:cs="Arial"/>
          <w:color w:val="000000" w:themeColor="text1"/>
        </w:rPr>
      </w:pPr>
    </w:p>
    <w:p w:rsidR="002F0552" w:rsidRDefault="002F0552" w:rsidP="008258DA">
      <w:pPr>
        <w:rPr>
          <w:rFonts w:ascii="Arial" w:hAnsi="Arial" w:cs="Arial"/>
          <w:color w:val="000000" w:themeColor="text1"/>
        </w:rPr>
      </w:pPr>
    </w:p>
    <w:p w:rsidR="002F0552" w:rsidRDefault="002F0552" w:rsidP="008258DA">
      <w:pPr>
        <w:rPr>
          <w:rFonts w:ascii="Arial" w:hAnsi="Arial" w:cs="Arial"/>
          <w:color w:val="000000" w:themeColor="text1"/>
        </w:rPr>
      </w:pPr>
    </w:p>
    <w:p w:rsidR="002F0552" w:rsidRDefault="002F0552" w:rsidP="008258DA">
      <w:pPr>
        <w:rPr>
          <w:rFonts w:ascii="Arial" w:hAnsi="Arial" w:cs="Arial"/>
          <w:color w:val="000000" w:themeColor="text1"/>
        </w:rPr>
      </w:pPr>
    </w:p>
    <w:p w:rsidR="002F0552" w:rsidRDefault="002F0552" w:rsidP="008258DA">
      <w:pPr>
        <w:rPr>
          <w:rFonts w:ascii="Arial" w:hAnsi="Arial" w:cs="Arial"/>
          <w:color w:val="000000" w:themeColor="text1"/>
        </w:rPr>
      </w:pPr>
    </w:p>
    <w:p w:rsidR="002F0552" w:rsidRDefault="002F0552" w:rsidP="008258DA">
      <w:pPr>
        <w:rPr>
          <w:rFonts w:ascii="Arial" w:hAnsi="Arial" w:cs="Arial"/>
          <w:color w:val="000000" w:themeColor="text1"/>
        </w:rPr>
      </w:pPr>
    </w:p>
    <w:p w:rsidR="002F0552" w:rsidRDefault="002F0552" w:rsidP="008258DA">
      <w:pPr>
        <w:rPr>
          <w:rFonts w:ascii="Arial" w:hAnsi="Arial" w:cs="Arial"/>
          <w:color w:val="000000" w:themeColor="text1"/>
        </w:rPr>
      </w:pPr>
    </w:p>
    <w:p w:rsidR="002F0552" w:rsidRDefault="002F0552" w:rsidP="008258DA">
      <w:pPr>
        <w:rPr>
          <w:rFonts w:ascii="Arial" w:hAnsi="Arial" w:cs="Arial"/>
          <w:color w:val="000000" w:themeColor="text1"/>
        </w:rPr>
      </w:pPr>
    </w:p>
    <w:p w:rsidR="002F0552" w:rsidRDefault="002F0552" w:rsidP="008258DA">
      <w:pPr>
        <w:rPr>
          <w:rFonts w:ascii="Arial" w:hAnsi="Arial" w:cs="Arial"/>
          <w:color w:val="000000" w:themeColor="text1"/>
        </w:rPr>
      </w:pPr>
    </w:p>
    <w:p w:rsidR="002F0552" w:rsidRDefault="002F0552" w:rsidP="008258DA">
      <w:pPr>
        <w:rPr>
          <w:rFonts w:ascii="Arial" w:hAnsi="Arial" w:cs="Arial"/>
          <w:color w:val="000000" w:themeColor="text1"/>
        </w:rPr>
      </w:pPr>
    </w:p>
    <w:p w:rsidR="00DF05AD" w:rsidRPr="005029F4" w:rsidRDefault="00575D06" w:rsidP="008258DA">
      <w:pPr>
        <w:rPr>
          <w:rFonts w:ascii="Arial" w:hAnsi="Arial" w:cs="Arial"/>
          <w:b/>
          <w:color w:val="000000" w:themeColor="text1"/>
        </w:rPr>
      </w:pPr>
      <w:r w:rsidRPr="005029F4">
        <w:rPr>
          <w:rFonts w:ascii="Arial" w:hAnsi="Arial" w:cs="Arial"/>
          <w:b/>
          <w:color w:val="000000" w:themeColor="text1"/>
        </w:rPr>
        <w:t xml:space="preserve">Although the success rates are variable year to year for most of our courses, the overall success rate trend over seven years of data </w:t>
      </w:r>
      <w:r w:rsidR="00D367E2">
        <w:rPr>
          <w:rFonts w:ascii="Arial" w:hAnsi="Arial" w:cs="Arial"/>
          <w:b/>
          <w:color w:val="000000" w:themeColor="text1"/>
        </w:rPr>
        <w:t xml:space="preserve">for </w:t>
      </w:r>
      <w:r w:rsidRPr="005029F4">
        <w:rPr>
          <w:rFonts w:ascii="Arial" w:hAnsi="Arial" w:cs="Arial"/>
          <w:b/>
          <w:color w:val="000000" w:themeColor="text1"/>
        </w:rPr>
        <w:t xml:space="preserve">Biology and Biotechnology courses has remained stationary for some courses (BIO 1141) while showing a slight improvement in other courses (BIO 1107 and BIO 1111).  </w:t>
      </w:r>
      <w:r w:rsidR="001B0309" w:rsidRPr="005029F4">
        <w:rPr>
          <w:rFonts w:ascii="Arial" w:hAnsi="Arial" w:cs="Arial"/>
          <w:b/>
          <w:color w:val="000000" w:themeColor="text1"/>
        </w:rPr>
        <w:t>We have made changes to our curriculum to improve success rates, particularly the</w:t>
      </w:r>
      <w:r w:rsidR="00DF05AD" w:rsidRPr="005029F4">
        <w:rPr>
          <w:rFonts w:ascii="Arial" w:hAnsi="Arial" w:cs="Arial"/>
          <w:b/>
          <w:color w:val="000000" w:themeColor="text1"/>
        </w:rPr>
        <w:t xml:space="preserve"> A&amp;P</w:t>
      </w:r>
      <w:r w:rsidR="001B0309" w:rsidRPr="005029F4">
        <w:rPr>
          <w:rFonts w:ascii="Arial" w:hAnsi="Arial" w:cs="Arial"/>
          <w:b/>
          <w:color w:val="000000" w:themeColor="text1"/>
        </w:rPr>
        <w:t xml:space="preserve"> lab sections, by implementing weekly lab quizzes.  </w:t>
      </w:r>
      <w:r w:rsidR="00DF05AD" w:rsidRPr="005029F4">
        <w:rPr>
          <w:rFonts w:ascii="Arial" w:hAnsi="Arial" w:cs="Arial"/>
          <w:b/>
          <w:color w:val="000000" w:themeColor="text1"/>
        </w:rPr>
        <w:t>These quizzes will allow students to assess their comprehension of the lab material and help better prepare them for the lab exams.</w:t>
      </w:r>
    </w:p>
    <w:p w:rsidR="00DF05AD" w:rsidRPr="005029F4" w:rsidRDefault="00DF05AD" w:rsidP="008258DA">
      <w:pPr>
        <w:rPr>
          <w:rFonts w:ascii="Arial" w:hAnsi="Arial" w:cs="Arial"/>
          <w:b/>
          <w:color w:val="000000" w:themeColor="text1"/>
        </w:rPr>
      </w:pPr>
    </w:p>
    <w:p w:rsidR="00575D06" w:rsidRPr="001A5065" w:rsidRDefault="00DF05AD" w:rsidP="008258DA">
      <w:pPr>
        <w:rPr>
          <w:rFonts w:ascii="Arial" w:hAnsi="Arial" w:cs="Arial"/>
          <w:b/>
          <w:color w:val="000000" w:themeColor="text1"/>
        </w:rPr>
      </w:pPr>
      <w:r w:rsidRPr="001A5065">
        <w:rPr>
          <w:rFonts w:ascii="Arial" w:hAnsi="Arial" w:cs="Arial"/>
          <w:b/>
          <w:color w:val="000000" w:themeColor="text1"/>
        </w:rPr>
        <w:t>The success rate for BIO 1171/1272 Majors Biology has decreased since our switch to semesters.  This</w:t>
      </w:r>
      <w:r w:rsidR="00B749EE" w:rsidRPr="001A5065">
        <w:rPr>
          <w:rFonts w:ascii="Arial" w:hAnsi="Arial" w:cs="Arial"/>
          <w:b/>
          <w:color w:val="000000" w:themeColor="text1"/>
        </w:rPr>
        <w:t xml:space="preserve"> downward trend may be due to </w:t>
      </w:r>
      <w:r w:rsidRPr="001A5065">
        <w:rPr>
          <w:rFonts w:ascii="Arial" w:hAnsi="Arial" w:cs="Arial"/>
          <w:b/>
          <w:color w:val="000000" w:themeColor="text1"/>
        </w:rPr>
        <w:t xml:space="preserve">the increased enrollment that we have seen in this course and the removal of prerequisites for the BIO 1171 course.  </w:t>
      </w:r>
      <w:r w:rsidR="00B749EE" w:rsidRPr="001A5065">
        <w:rPr>
          <w:rFonts w:ascii="Arial" w:hAnsi="Arial" w:cs="Arial"/>
          <w:b/>
          <w:color w:val="000000" w:themeColor="text1"/>
        </w:rPr>
        <w:t>The enrollment increased</w:t>
      </w:r>
      <w:r w:rsidR="00686CAF" w:rsidRPr="001A5065">
        <w:rPr>
          <w:rFonts w:ascii="Arial" w:hAnsi="Arial" w:cs="Arial"/>
          <w:b/>
          <w:color w:val="000000" w:themeColor="text1"/>
        </w:rPr>
        <w:t xml:space="preserve"> </w:t>
      </w:r>
      <w:r w:rsidR="00B749EE" w:rsidRPr="001A5065">
        <w:rPr>
          <w:rFonts w:ascii="Arial" w:hAnsi="Arial" w:cs="Arial"/>
          <w:b/>
          <w:color w:val="000000" w:themeColor="text1"/>
        </w:rPr>
        <w:t>from</w:t>
      </w:r>
      <w:r w:rsidR="00686CAF" w:rsidRPr="001A5065">
        <w:rPr>
          <w:rFonts w:ascii="Arial" w:hAnsi="Arial" w:cs="Arial"/>
          <w:b/>
          <w:color w:val="000000" w:themeColor="text1"/>
        </w:rPr>
        <w:t xml:space="preserve"> 95 students</w:t>
      </w:r>
      <w:r w:rsidR="00B749EE" w:rsidRPr="001A5065">
        <w:rPr>
          <w:rFonts w:ascii="Arial" w:hAnsi="Arial" w:cs="Arial"/>
          <w:b/>
          <w:color w:val="000000" w:themeColor="text1"/>
        </w:rPr>
        <w:t xml:space="preserve"> </w:t>
      </w:r>
      <w:r w:rsidR="00686CAF" w:rsidRPr="001A5065">
        <w:rPr>
          <w:rFonts w:ascii="Arial" w:hAnsi="Arial" w:cs="Arial"/>
          <w:b/>
          <w:color w:val="000000" w:themeColor="text1"/>
        </w:rPr>
        <w:t xml:space="preserve">11/FA to 135 students 14FA. </w:t>
      </w:r>
      <w:r w:rsidR="00F83971" w:rsidRPr="001A5065">
        <w:rPr>
          <w:rFonts w:ascii="Arial" w:hAnsi="Arial" w:cs="Arial"/>
          <w:b/>
          <w:color w:val="000000" w:themeColor="text1"/>
        </w:rPr>
        <w:t>T</w:t>
      </w:r>
      <w:r w:rsidR="006F0C7E" w:rsidRPr="001A5065">
        <w:rPr>
          <w:rFonts w:ascii="Arial" w:hAnsi="Arial" w:cs="Arial"/>
          <w:b/>
          <w:color w:val="000000" w:themeColor="text1"/>
        </w:rPr>
        <w:t>he</w:t>
      </w:r>
      <w:r w:rsidR="00F83971" w:rsidRPr="001A5065">
        <w:rPr>
          <w:rFonts w:ascii="Arial" w:hAnsi="Arial" w:cs="Arial"/>
          <w:b/>
          <w:color w:val="000000" w:themeColor="text1"/>
        </w:rPr>
        <w:t xml:space="preserve"> increase in </w:t>
      </w:r>
      <w:r w:rsidR="006F0C7E" w:rsidRPr="001A5065">
        <w:rPr>
          <w:rFonts w:ascii="Arial" w:hAnsi="Arial" w:cs="Arial"/>
          <w:b/>
          <w:color w:val="000000" w:themeColor="text1"/>
        </w:rPr>
        <w:t>student numbers</w:t>
      </w:r>
      <w:r w:rsidR="00F83971" w:rsidRPr="001A5065">
        <w:rPr>
          <w:rFonts w:ascii="Arial" w:hAnsi="Arial" w:cs="Arial"/>
          <w:b/>
          <w:color w:val="000000" w:themeColor="text1"/>
        </w:rPr>
        <w:t xml:space="preserve"> may be contributing to the decrease in success rates by having more underprepared students in the course.  In addition, faculty have discovered through conversation with students that it may have been more </w:t>
      </w:r>
      <w:r w:rsidR="006F0C7E" w:rsidRPr="001A5065">
        <w:rPr>
          <w:rFonts w:ascii="Arial" w:hAnsi="Arial" w:cs="Arial"/>
          <w:b/>
          <w:color w:val="000000" w:themeColor="text1"/>
        </w:rPr>
        <w:t xml:space="preserve">advantageous </w:t>
      </w:r>
      <w:r w:rsidR="00F83971" w:rsidRPr="001A5065">
        <w:rPr>
          <w:rFonts w:ascii="Arial" w:hAnsi="Arial" w:cs="Arial"/>
          <w:b/>
          <w:color w:val="000000" w:themeColor="text1"/>
        </w:rPr>
        <w:t xml:space="preserve">for these students to enroll in BIO 1111 General Biology (non-majors).  </w:t>
      </w:r>
      <w:r w:rsidR="006F0C7E" w:rsidRPr="001A5065">
        <w:rPr>
          <w:rFonts w:ascii="Arial" w:hAnsi="Arial" w:cs="Arial"/>
          <w:b/>
          <w:color w:val="000000" w:themeColor="text1"/>
        </w:rPr>
        <w:t xml:space="preserve">Based on preliminary information, some of these students did not need to take BIO 1171.  </w:t>
      </w:r>
      <w:r w:rsidR="003E2597" w:rsidRPr="001A5065">
        <w:rPr>
          <w:rFonts w:ascii="Arial" w:hAnsi="Arial" w:cs="Arial"/>
          <w:b/>
          <w:color w:val="000000" w:themeColor="text1"/>
        </w:rPr>
        <w:t xml:space="preserve">As a result, our department has met with the STEM Advisors to provide detailed information regarding our general biology courses and the Biology A.S. degree program.  </w:t>
      </w:r>
    </w:p>
    <w:p w:rsidR="001A5065" w:rsidRDefault="001A5065" w:rsidP="008258DA">
      <w:pPr>
        <w:rPr>
          <w:rFonts w:ascii="Arial" w:hAnsi="Arial" w:cs="Arial"/>
          <w:color w:val="000000" w:themeColor="text1"/>
        </w:rPr>
      </w:pPr>
    </w:p>
    <w:p w:rsidR="00525661" w:rsidRPr="00525661" w:rsidRDefault="00525661" w:rsidP="008258DA">
      <w:pPr>
        <w:rPr>
          <w:rFonts w:ascii="Arial" w:hAnsi="Arial" w:cs="Arial"/>
          <w:b/>
          <w:color w:val="000000" w:themeColor="text1"/>
        </w:rPr>
      </w:pPr>
      <w:r>
        <w:rPr>
          <w:rFonts w:ascii="Arial" w:hAnsi="Arial" w:cs="Arial"/>
          <w:b/>
          <w:color w:val="000000" w:themeColor="text1"/>
        </w:rPr>
        <w:t xml:space="preserve">Our department is also investigating changes/improvements to the BIO 1121/1222 curriculum to improve success rates in this course. </w:t>
      </w:r>
      <w:r w:rsidR="00F230AC">
        <w:rPr>
          <w:rFonts w:ascii="Arial" w:hAnsi="Arial" w:cs="Arial"/>
          <w:b/>
          <w:color w:val="000000" w:themeColor="text1"/>
        </w:rPr>
        <w:t xml:space="preserve">The decrease in the success rates over the last few years is also due to increase enrollment in these courses.  There are more programs outside of the Biology Department that require these courses (or at least BIO 1121).  In addition, the decrease can also be attributed to the offering of the hybrid </w:t>
      </w:r>
      <w:r w:rsidR="00D367E2">
        <w:rPr>
          <w:rFonts w:ascii="Arial" w:hAnsi="Arial" w:cs="Arial"/>
          <w:b/>
          <w:color w:val="000000" w:themeColor="text1"/>
        </w:rPr>
        <w:t>version</w:t>
      </w:r>
      <w:r w:rsidR="00F230AC">
        <w:rPr>
          <w:rFonts w:ascii="Arial" w:hAnsi="Arial" w:cs="Arial"/>
          <w:b/>
          <w:color w:val="000000" w:themeColor="text1"/>
        </w:rPr>
        <w:t xml:space="preserve"> of this course.  Data shows a higher attrition rate for the hybrid sections compared to the face to face or online sections of this course.</w:t>
      </w:r>
      <w:r w:rsidR="005253F5">
        <w:rPr>
          <w:rFonts w:ascii="Arial" w:hAnsi="Arial" w:cs="Arial"/>
          <w:b/>
          <w:color w:val="000000" w:themeColor="text1"/>
        </w:rPr>
        <w:t xml:space="preserve">   One other contributing factor to the attrition rate may be the loss of contact hours in this course when we </w:t>
      </w:r>
      <w:r w:rsidR="00D367E2">
        <w:rPr>
          <w:rFonts w:ascii="Arial" w:hAnsi="Arial" w:cs="Arial"/>
          <w:b/>
          <w:color w:val="000000" w:themeColor="text1"/>
        </w:rPr>
        <w:t>converted</w:t>
      </w:r>
      <w:r w:rsidR="005253F5">
        <w:rPr>
          <w:rFonts w:ascii="Arial" w:hAnsi="Arial" w:cs="Arial"/>
          <w:b/>
          <w:color w:val="000000" w:themeColor="text1"/>
        </w:rPr>
        <w:t xml:space="preserve"> to semesters.  The c</w:t>
      </w:r>
      <w:r w:rsidR="00321007">
        <w:rPr>
          <w:rFonts w:ascii="Arial" w:hAnsi="Arial" w:cs="Arial"/>
          <w:b/>
          <w:color w:val="000000" w:themeColor="text1"/>
        </w:rPr>
        <w:t xml:space="preserve">lassroom course decreased from </w:t>
      </w:r>
      <w:r w:rsidR="000D645E">
        <w:rPr>
          <w:rFonts w:ascii="Arial" w:hAnsi="Arial" w:cs="Arial"/>
          <w:b/>
          <w:color w:val="000000" w:themeColor="text1"/>
        </w:rPr>
        <w:t>four</w:t>
      </w:r>
      <w:r w:rsidR="00321007">
        <w:rPr>
          <w:rFonts w:ascii="Arial" w:hAnsi="Arial" w:cs="Arial"/>
          <w:b/>
          <w:color w:val="000000" w:themeColor="text1"/>
        </w:rPr>
        <w:t xml:space="preserve"> lecture</w:t>
      </w:r>
      <w:r w:rsidR="00773ACD">
        <w:rPr>
          <w:rFonts w:ascii="Arial" w:hAnsi="Arial" w:cs="Arial"/>
          <w:b/>
          <w:color w:val="000000" w:themeColor="text1"/>
        </w:rPr>
        <w:t xml:space="preserve"> hours</w:t>
      </w:r>
      <w:r w:rsidR="000D645E">
        <w:rPr>
          <w:rFonts w:ascii="Arial" w:hAnsi="Arial" w:cs="Arial"/>
          <w:b/>
          <w:color w:val="000000" w:themeColor="text1"/>
        </w:rPr>
        <w:t xml:space="preserve"> to two</w:t>
      </w:r>
      <w:r w:rsidR="005253F5">
        <w:rPr>
          <w:rFonts w:ascii="Arial" w:hAnsi="Arial" w:cs="Arial"/>
          <w:b/>
          <w:color w:val="000000" w:themeColor="text1"/>
        </w:rPr>
        <w:t xml:space="preserve"> </w:t>
      </w:r>
      <w:r w:rsidR="000D645E">
        <w:rPr>
          <w:rFonts w:ascii="Arial" w:hAnsi="Arial" w:cs="Arial"/>
          <w:b/>
          <w:color w:val="000000" w:themeColor="text1"/>
        </w:rPr>
        <w:t>lecture</w:t>
      </w:r>
      <w:r w:rsidR="00773ACD">
        <w:rPr>
          <w:rFonts w:ascii="Arial" w:hAnsi="Arial" w:cs="Arial"/>
          <w:b/>
          <w:color w:val="000000" w:themeColor="text1"/>
        </w:rPr>
        <w:t xml:space="preserve"> hours </w:t>
      </w:r>
      <w:r w:rsidR="005253F5">
        <w:rPr>
          <w:rFonts w:ascii="Arial" w:hAnsi="Arial" w:cs="Arial"/>
          <w:b/>
          <w:color w:val="000000" w:themeColor="text1"/>
        </w:rPr>
        <w:t>starting Fall 2012.   Although some content was condensed in this course to accommodate the loss</w:t>
      </w:r>
      <w:r w:rsidR="00773ACD">
        <w:rPr>
          <w:rFonts w:ascii="Arial" w:hAnsi="Arial" w:cs="Arial"/>
          <w:b/>
          <w:color w:val="000000" w:themeColor="text1"/>
        </w:rPr>
        <w:t xml:space="preserve"> of hours, we cannot make major</w:t>
      </w:r>
      <w:r w:rsidR="005253F5">
        <w:rPr>
          <w:rFonts w:ascii="Arial" w:hAnsi="Arial" w:cs="Arial"/>
          <w:b/>
          <w:color w:val="000000" w:themeColor="text1"/>
        </w:rPr>
        <w:t xml:space="preserve"> deletions due to the nature of the course and the </w:t>
      </w:r>
      <w:r w:rsidR="00101B1D">
        <w:rPr>
          <w:rFonts w:ascii="Arial" w:hAnsi="Arial" w:cs="Arial"/>
          <w:b/>
          <w:color w:val="000000" w:themeColor="text1"/>
        </w:rPr>
        <w:t xml:space="preserve">programs we support.  </w:t>
      </w:r>
    </w:p>
    <w:p w:rsidR="00575D06" w:rsidRDefault="00575D06" w:rsidP="008258DA">
      <w:pPr>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CC582B" w:rsidRPr="008258DA" w:rsidRDefault="00CC582B" w:rsidP="008258DA">
      <w:pPr>
        <w:rPr>
          <w:rFonts w:ascii="Arial" w:hAnsi="Arial" w:cs="Arial"/>
          <w:color w:val="000000" w:themeColor="text1"/>
        </w:rPr>
      </w:pPr>
    </w:p>
    <w:p w:rsidR="009E2D06" w:rsidRPr="00A25900" w:rsidRDefault="009E2D06" w:rsidP="009E2D06">
      <w:pPr>
        <w:pStyle w:val="ListParagraph"/>
        <w:numPr>
          <w:ilvl w:val="0"/>
          <w:numId w:val="20"/>
        </w:numPr>
        <w:spacing w:after="200" w:line="276" w:lineRule="auto"/>
        <w:rPr>
          <w:rFonts w:ascii="Arial" w:hAnsi="Arial" w:cs="Arial"/>
          <w:b/>
          <w:color w:val="000000" w:themeColor="text1"/>
        </w:rPr>
      </w:pPr>
      <w:r w:rsidRPr="00A25900">
        <w:rPr>
          <w:rFonts w:ascii="Arial" w:hAnsi="Arial" w:cs="Arial"/>
          <w:b/>
          <w:color w:val="000000" w:themeColor="text1"/>
        </w:rPr>
        <w:t>We currently have several articulation agreements with WSU and continue to investigate articulation opportunities with other 4 year universities.  The articulation agreements with WSU are as follows:</w:t>
      </w:r>
    </w:p>
    <w:p w:rsidR="00DD37CA" w:rsidRPr="00A25900" w:rsidRDefault="00DD37CA" w:rsidP="00DD37CA">
      <w:pPr>
        <w:pStyle w:val="ListParagraph"/>
        <w:numPr>
          <w:ilvl w:val="1"/>
          <w:numId w:val="20"/>
        </w:numPr>
        <w:spacing w:after="200" w:line="276" w:lineRule="auto"/>
        <w:rPr>
          <w:rFonts w:ascii="Arial" w:hAnsi="Arial" w:cs="Arial"/>
          <w:b/>
          <w:color w:val="000000" w:themeColor="text1"/>
        </w:rPr>
      </w:pPr>
      <w:r w:rsidRPr="00A25900">
        <w:rPr>
          <w:rFonts w:ascii="Arial" w:hAnsi="Arial" w:cs="Arial"/>
          <w:b/>
          <w:color w:val="000000" w:themeColor="text1"/>
        </w:rPr>
        <w:t xml:space="preserve">SCC BIOE.AS degree to WSU Biology B.A. </w:t>
      </w:r>
    </w:p>
    <w:p w:rsidR="00DD37CA" w:rsidRPr="00A25900" w:rsidRDefault="00DD37CA" w:rsidP="00DD37CA">
      <w:pPr>
        <w:pStyle w:val="ListParagraph"/>
        <w:numPr>
          <w:ilvl w:val="1"/>
          <w:numId w:val="20"/>
        </w:numPr>
        <w:spacing w:after="200" w:line="276" w:lineRule="auto"/>
        <w:rPr>
          <w:rFonts w:ascii="Arial" w:hAnsi="Arial" w:cs="Arial"/>
          <w:b/>
          <w:color w:val="000000" w:themeColor="text1"/>
        </w:rPr>
      </w:pPr>
      <w:r w:rsidRPr="00A25900">
        <w:rPr>
          <w:rFonts w:ascii="Arial" w:hAnsi="Arial" w:cs="Arial"/>
          <w:b/>
          <w:color w:val="000000" w:themeColor="text1"/>
        </w:rPr>
        <w:t xml:space="preserve">SCC BIOE.AS degree to WSU Biology B.S. </w:t>
      </w:r>
    </w:p>
    <w:p w:rsidR="00DD37CA" w:rsidRPr="00A25900" w:rsidRDefault="00672ECF" w:rsidP="00DD37CA">
      <w:pPr>
        <w:pStyle w:val="ListParagraph"/>
        <w:numPr>
          <w:ilvl w:val="1"/>
          <w:numId w:val="20"/>
        </w:numPr>
        <w:spacing w:after="200" w:line="276" w:lineRule="auto"/>
        <w:rPr>
          <w:rFonts w:ascii="Arial" w:hAnsi="Arial" w:cs="Arial"/>
          <w:b/>
          <w:color w:val="000000" w:themeColor="text1"/>
        </w:rPr>
      </w:pPr>
      <w:r w:rsidRPr="00A25900">
        <w:rPr>
          <w:rFonts w:ascii="Arial" w:hAnsi="Arial" w:cs="Arial"/>
          <w:b/>
          <w:color w:val="000000" w:themeColor="text1"/>
        </w:rPr>
        <w:t>SCC BTN.AAS degree to WSU Biology B.S.</w:t>
      </w:r>
    </w:p>
    <w:p w:rsidR="00672ECF" w:rsidRPr="00A25900" w:rsidRDefault="00672ECF" w:rsidP="00672ECF">
      <w:pPr>
        <w:pStyle w:val="ListParagraph"/>
        <w:numPr>
          <w:ilvl w:val="1"/>
          <w:numId w:val="20"/>
        </w:numPr>
        <w:spacing w:after="200" w:line="276" w:lineRule="auto"/>
        <w:rPr>
          <w:rFonts w:ascii="Arial" w:hAnsi="Arial" w:cs="Arial"/>
          <w:b/>
          <w:color w:val="000000" w:themeColor="text1"/>
        </w:rPr>
      </w:pPr>
      <w:r w:rsidRPr="00A25900">
        <w:rPr>
          <w:rFonts w:ascii="Arial" w:hAnsi="Arial" w:cs="Arial"/>
          <w:b/>
          <w:color w:val="000000" w:themeColor="text1"/>
        </w:rPr>
        <w:t>SCC BIOE.AS degree to WSU Biology B.S. Applied Physiology</w:t>
      </w:r>
    </w:p>
    <w:p w:rsidR="00672ECF" w:rsidRPr="00A25900" w:rsidRDefault="00672ECF" w:rsidP="00672ECF">
      <w:pPr>
        <w:pStyle w:val="ListParagraph"/>
        <w:numPr>
          <w:ilvl w:val="1"/>
          <w:numId w:val="20"/>
        </w:numPr>
        <w:spacing w:after="200" w:line="276" w:lineRule="auto"/>
        <w:rPr>
          <w:rFonts w:ascii="Arial" w:hAnsi="Arial" w:cs="Arial"/>
          <w:b/>
          <w:color w:val="000000" w:themeColor="text1"/>
        </w:rPr>
      </w:pPr>
      <w:r w:rsidRPr="00A25900">
        <w:rPr>
          <w:rFonts w:ascii="Arial" w:hAnsi="Arial" w:cs="Arial"/>
          <w:b/>
          <w:color w:val="000000" w:themeColor="text1"/>
        </w:rPr>
        <w:t xml:space="preserve">SCC BIOE.AS degree to WSU Clinical Lab Science B.S. </w:t>
      </w:r>
    </w:p>
    <w:p w:rsidR="00672ECF" w:rsidRPr="00A25900" w:rsidRDefault="00672ECF" w:rsidP="00672ECF">
      <w:pPr>
        <w:pStyle w:val="ListParagraph"/>
        <w:numPr>
          <w:ilvl w:val="0"/>
          <w:numId w:val="20"/>
        </w:numPr>
        <w:spacing w:after="200" w:line="276" w:lineRule="auto"/>
        <w:rPr>
          <w:rFonts w:ascii="Arial" w:hAnsi="Arial" w:cs="Arial"/>
          <w:b/>
          <w:color w:val="000000" w:themeColor="text1"/>
        </w:rPr>
      </w:pPr>
      <w:r w:rsidRPr="00A25900">
        <w:rPr>
          <w:rFonts w:ascii="Arial" w:hAnsi="Arial" w:cs="Arial"/>
          <w:b/>
          <w:color w:val="000000" w:themeColor="text1"/>
        </w:rPr>
        <w:t>Biology faculty are collaborating with Distance Learning to develop BIO 2205/2206 Microbiology online course.  The projected completion date for this course is Spring 2016.</w:t>
      </w:r>
    </w:p>
    <w:p w:rsidR="00672ECF" w:rsidRPr="00A25900" w:rsidRDefault="00672ECF" w:rsidP="00672ECF">
      <w:pPr>
        <w:pStyle w:val="ListParagraph"/>
        <w:spacing w:after="200" w:line="276" w:lineRule="auto"/>
        <w:rPr>
          <w:rFonts w:ascii="Arial" w:hAnsi="Arial" w:cs="Arial"/>
          <w:b/>
          <w:color w:val="000000" w:themeColor="text1"/>
        </w:rPr>
      </w:pPr>
    </w:p>
    <w:p w:rsidR="009E2D06" w:rsidRDefault="009E2D06" w:rsidP="00377D40">
      <w:pPr>
        <w:spacing w:after="200" w:line="276" w:lineRule="auto"/>
        <w:rPr>
          <w:rFonts w:ascii="Arial" w:hAnsi="Arial" w:cs="Arial"/>
          <w:color w:val="000000" w:themeColor="text1"/>
        </w:rPr>
      </w:pPr>
    </w:p>
    <w:p w:rsidR="00DD37CA" w:rsidRDefault="00DD37CA" w:rsidP="00377D40">
      <w:pPr>
        <w:spacing w:after="200" w:line="276" w:lineRule="auto"/>
        <w:rPr>
          <w:rFonts w:ascii="Arial" w:hAnsi="Arial" w:cs="Arial"/>
          <w:color w:val="000000" w:themeColor="text1"/>
        </w:rPr>
      </w:pPr>
    </w:p>
    <w:p w:rsidR="004C52FC" w:rsidRDefault="004C52FC" w:rsidP="00377D40">
      <w:pPr>
        <w:spacing w:after="200" w:line="276" w:lineRule="auto"/>
        <w:rPr>
          <w:rFonts w:ascii="Arial" w:hAnsi="Arial" w:cs="Arial"/>
          <w:color w:val="000000" w:themeColor="text1"/>
        </w:rPr>
      </w:pPr>
    </w:p>
    <w:p w:rsidR="001A2E6B" w:rsidRDefault="001A2E6B" w:rsidP="001A2E6B">
      <w:pPr>
        <w:pStyle w:val="ListParagraph"/>
        <w:tabs>
          <w:tab w:val="left" w:pos="5040"/>
        </w:tabs>
        <w:ind w:left="0"/>
        <w:rPr>
          <w:rFonts w:ascii="Arial" w:hAnsi="Arial" w:cs="Arial"/>
          <w:color w:val="000000" w:themeColor="text1"/>
        </w:rPr>
      </w:pPr>
    </w:p>
    <w:p w:rsidR="001A2E6B" w:rsidRDefault="001A2E6B" w:rsidP="00377D40">
      <w:pPr>
        <w:spacing w:after="200" w:line="276" w:lineRule="auto"/>
        <w:rPr>
          <w:rFonts w:ascii="Arial" w:hAnsi="Arial" w:cs="Arial"/>
          <w:color w:val="000000" w:themeColor="text1"/>
        </w:rPr>
        <w:sectPr w:rsidR="001A2E6B" w:rsidSect="00D708C3">
          <w:footerReference w:type="default" r:id="rId16"/>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1A2E6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A2E6B" w:rsidTr="001A2E6B">
        <w:trPr>
          <w:trHeight w:val="1399"/>
        </w:trPr>
        <w:tc>
          <w:tcPr>
            <w:tcW w:w="3951" w:type="dxa"/>
          </w:tcPr>
          <w:p w:rsidR="00412BCB" w:rsidRPr="00A95B55" w:rsidRDefault="00412BCB" w:rsidP="00412BCB">
            <w:pPr>
              <w:spacing w:before="120"/>
              <w:rPr>
                <w:rFonts w:ascii="Arial" w:hAnsi="Arial" w:cs="Arial"/>
              </w:rPr>
            </w:pPr>
            <w:r w:rsidRPr="00A95B55">
              <w:rPr>
                <w:rFonts w:ascii="Arial" w:hAnsi="Arial" w:cs="Arial"/>
              </w:rPr>
              <w:t>As our administration continues to defin</w:t>
            </w:r>
            <w:r>
              <w:rPr>
                <w:rFonts w:ascii="Arial" w:hAnsi="Arial" w:cs="Arial"/>
              </w:rPr>
              <w:t xml:space="preserve">e the goals for Sinclair at the </w:t>
            </w:r>
            <w:r w:rsidRPr="00A95B55">
              <w:rPr>
                <w:rFonts w:ascii="Arial" w:hAnsi="Arial" w:cs="Arial"/>
              </w:rPr>
              <w:t>YMCA and Warren County sites, the Biology department is committed to providing course offerings that support these efforts.</w:t>
            </w:r>
            <w:r>
              <w:rPr>
                <w:rFonts w:ascii="Arial" w:hAnsi="Arial" w:cs="Arial"/>
              </w:rPr>
              <w:t xml:space="preserve">  The ability to offer hybrid classes at these YMCA/Warren county sites has saved the college $60,000 per location.</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4D531F">
              <w:fldChar w:fldCharType="begin">
                <w:ffData>
                  <w:name w:val="Check1"/>
                  <w:enabled/>
                  <w:calcOnExit w:val="0"/>
                  <w:checkBox>
                    <w:sizeAuto/>
                    <w:default w:val="0"/>
                  </w:checkBox>
                </w:ffData>
              </w:fldChar>
            </w:r>
            <w:r w:rsidR="004D531F">
              <w:instrText xml:space="preserve"> FORMCHECKBOX </w:instrText>
            </w:r>
            <w:r w:rsidR="006F3240">
              <w:fldChar w:fldCharType="separate"/>
            </w:r>
            <w:r w:rsidR="004D531F">
              <w:fldChar w:fldCharType="end"/>
            </w:r>
            <w:bookmarkEnd w:id="0"/>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ed/>
                  </w:checkBox>
                </w:ffData>
              </w:fldChar>
            </w:r>
            <w:r>
              <w:instrText xml:space="preserve"> FORMCHECKBOX </w:instrText>
            </w:r>
            <w:r w:rsidR="006F3240">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6F3240">
              <w:fldChar w:fldCharType="separate"/>
            </w:r>
            <w:r w:rsidR="00F260DC">
              <w:fldChar w:fldCharType="end"/>
            </w:r>
          </w:p>
        </w:tc>
        <w:tc>
          <w:tcPr>
            <w:tcW w:w="6632" w:type="dxa"/>
          </w:tcPr>
          <w:p w:rsidR="001A2E6B" w:rsidRDefault="00CC582B" w:rsidP="00A579B4">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C5C14">
              <w:t>Completed, the department offers numerous hybrid classes to meet the needs of the students at these various locations</w:t>
            </w:r>
            <w:r>
              <w:rPr>
                <w:rFonts w:ascii="Arial" w:hAnsi="Arial" w:cs="Arial"/>
                <w:b/>
                <w:color w:val="000000" w:themeColor="text1"/>
              </w:rPr>
              <w:fldChar w:fldCharType="end"/>
            </w:r>
          </w:p>
        </w:tc>
      </w:tr>
      <w:tr w:rsidR="001A2E6B" w:rsidTr="001A2E6B">
        <w:trPr>
          <w:trHeight w:val="1399"/>
        </w:trPr>
        <w:tc>
          <w:tcPr>
            <w:tcW w:w="3951" w:type="dxa"/>
          </w:tcPr>
          <w:p w:rsidR="00412BCB" w:rsidRPr="009519F3" w:rsidRDefault="00412BCB" w:rsidP="00412BCB">
            <w:pPr>
              <w:spacing w:before="120"/>
              <w:rPr>
                <w:rFonts w:ascii="Arial" w:hAnsi="Arial" w:cs="Arial"/>
              </w:rPr>
            </w:pPr>
            <w:r>
              <w:rPr>
                <w:rFonts w:ascii="Arial" w:hAnsi="Arial" w:cs="Arial"/>
              </w:rPr>
              <w:t>At this time, our primary goal is to meet the established enrollment demand for Top 45 biology courses                      (and the semester versions), namely  BIO 107 (1107)Human Biology, BIO 141-143 (1141/1242)Human Anatomy and Physiology I- III, BIO 111-113 (1111/1211) General Biology I-III (for non-majors).  No new courses are planned at this time, as some were removed from the “books” in semester conversion.</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Box>
                </w:ffData>
              </w:fldChar>
            </w:r>
            <w:r w:rsidR="004D531F">
              <w:instrText xml:space="preserve"> FORMCHECKBOX </w:instrText>
            </w:r>
            <w:r w:rsidR="006F3240">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ed/>
                  </w:checkBox>
                </w:ffData>
              </w:fldChar>
            </w:r>
            <w:r>
              <w:instrText xml:space="preserve"> FORMCHECKBOX </w:instrText>
            </w:r>
            <w:r w:rsidR="006F3240">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ed w:val="0"/>
                  </w:checkBox>
                </w:ffData>
              </w:fldChar>
            </w:r>
            <w:r>
              <w:instrText xml:space="preserve"> FORMCHECKBOX </w:instrText>
            </w:r>
            <w:r w:rsidR="006F3240">
              <w:fldChar w:fldCharType="separate"/>
            </w:r>
            <w:r w:rsidR="00F260DC">
              <w:fldChar w:fldCharType="end"/>
            </w:r>
          </w:p>
        </w:tc>
        <w:tc>
          <w:tcPr>
            <w:tcW w:w="6632" w:type="dxa"/>
          </w:tcPr>
          <w:p w:rsidR="001A2E6B" w:rsidRDefault="00CC582B" w:rsidP="002C5C14">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C5C14">
              <w:t>Completed</w:t>
            </w:r>
            <w:r>
              <w:rPr>
                <w:rFonts w:ascii="Arial" w:hAnsi="Arial" w:cs="Arial"/>
                <w:b/>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1A2E6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A2E6B" w:rsidRPr="0037786D" w:rsidTr="001A2E6B">
        <w:tc>
          <w:tcPr>
            <w:tcW w:w="3708" w:type="dxa"/>
          </w:tcPr>
          <w:p w:rsidR="00412BCB" w:rsidRDefault="00412BCB" w:rsidP="00412BCB">
            <w:pPr>
              <w:autoSpaceDE w:val="0"/>
              <w:autoSpaceDN w:val="0"/>
              <w:adjustRightInd w:val="0"/>
              <w:rPr>
                <w:rFonts w:ascii="Arial" w:hAnsi="Arial" w:cs="Arial"/>
                <w:bCs/>
                <w:color w:val="000000"/>
              </w:rPr>
            </w:pPr>
            <w:r>
              <w:rPr>
                <w:rFonts w:ascii="Arial" w:hAnsi="Arial" w:cs="Arial"/>
                <w:bCs/>
                <w:color w:val="000000"/>
              </w:rPr>
              <w:t>While the department did an outstanding job of articulating which activities in programs and courses address each of the General Education outcomes, no data was provided regarding how well students are performing on these measures.  The department has already laid the groundwork for increased assessment by identifying activities, it is recommended that the department take the next step in assessment and begin collecting, aggregating, and analyzing data from these activities so that the department can demonstrate students are achieving these outcomes.</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562F28" w:rsidRDefault="00562F28" w:rsidP="00562F28">
            <w:pPr>
              <w:pStyle w:val="ListParagraph"/>
              <w:ind w:left="0"/>
              <w:rPr>
                <w:rFonts w:ascii="Arial" w:hAnsi="Arial" w:cs="Arial"/>
                <w:color w:val="000000" w:themeColor="text1"/>
              </w:rPr>
            </w:pPr>
            <w:r>
              <w:rPr>
                <w:rFonts w:ascii="Arial" w:hAnsi="Arial" w:cs="Arial"/>
                <w:color w:val="000000" w:themeColor="text1"/>
              </w:rPr>
              <w:t xml:space="preserve">In progress </w:t>
            </w:r>
            <w:r w:rsidR="00A525BF">
              <w:fldChar w:fldCharType="begin">
                <w:ffData>
                  <w:name w:val=""/>
                  <w:enabled/>
                  <w:calcOnExit w:val="0"/>
                  <w:checkBox>
                    <w:sizeAuto/>
                    <w:default w:val="1"/>
                  </w:checkBox>
                </w:ffData>
              </w:fldChar>
            </w:r>
            <w:r w:rsidR="00A525BF">
              <w:instrText xml:space="preserve"> FORMCHECKBOX </w:instrText>
            </w:r>
            <w:r w:rsidR="006F3240">
              <w:fldChar w:fldCharType="separate"/>
            </w:r>
            <w:r w:rsidR="00A525BF">
              <w:fldChar w:fldCharType="end"/>
            </w:r>
          </w:p>
          <w:p w:rsidR="00562F28" w:rsidRDefault="00562F28" w:rsidP="00562F28">
            <w:pPr>
              <w:pStyle w:val="ListParagraph"/>
              <w:ind w:left="0"/>
              <w:rPr>
                <w:rFonts w:ascii="Arial" w:hAnsi="Arial" w:cs="Arial"/>
                <w:color w:val="000000" w:themeColor="text1"/>
              </w:rPr>
            </w:pPr>
          </w:p>
          <w:p w:rsidR="00562F28" w:rsidRDefault="00562F28" w:rsidP="00562F28">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F3240">
              <w:fldChar w:fldCharType="separate"/>
            </w:r>
            <w:r>
              <w:fldChar w:fldCharType="end"/>
            </w:r>
          </w:p>
          <w:p w:rsidR="00562F28" w:rsidRDefault="00562F28" w:rsidP="00562F28">
            <w:pPr>
              <w:pStyle w:val="ListParagraph"/>
              <w:ind w:left="0"/>
              <w:rPr>
                <w:rFonts w:ascii="Arial" w:hAnsi="Arial" w:cs="Arial"/>
                <w:color w:val="000000" w:themeColor="text1"/>
              </w:rPr>
            </w:pPr>
          </w:p>
          <w:p w:rsidR="00562F28" w:rsidRDefault="00562F28" w:rsidP="00562F28">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F3240">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480" w:type="dxa"/>
          </w:tcPr>
          <w:p w:rsidR="001A2E6B" w:rsidRPr="00A525BF" w:rsidRDefault="00A525BF" w:rsidP="00A525BF">
            <w:pPr>
              <w:rPr>
                <w:rFonts w:ascii="Arial" w:hAnsi="Arial" w:cs="Arial"/>
              </w:rPr>
            </w:pPr>
            <w:r>
              <w:rPr>
                <w:rFonts w:ascii="Arial" w:hAnsi="Arial" w:cs="Arial"/>
              </w:rPr>
              <w:t xml:space="preserve">The department is in the process of identifying the courses and the assessment measures that will provide the best data for determining how well our students are achieving the General Education outcomes.  </w:t>
            </w:r>
            <w:r w:rsidR="00177C1C">
              <w:rPr>
                <w:rFonts w:ascii="Arial" w:hAnsi="Arial" w:cs="Arial"/>
              </w:rPr>
              <w:t xml:space="preserve">The next step in completing this recommendation is to determine the best methods of collecting the data from these courses. </w:t>
            </w:r>
          </w:p>
        </w:tc>
      </w:tr>
      <w:tr w:rsidR="001A2E6B" w:rsidRPr="0037786D" w:rsidTr="001A2E6B">
        <w:tc>
          <w:tcPr>
            <w:tcW w:w="3708" w:type="dxa"/>
          </w:tcPr>
          <w:p w:rsidR="00412BCB" w:rsidRDefault="00412BCB" w:rsidP="00412BCB">
            <w:pPr>
              <w:autoSpaceDE w:val="0"/>
              <w:autoSpaceDN w:val="0"/>
              <w:adjustRightInd w:val="0"/>
              <w:rPr>
                <w:rFonts w:ascii="Arial" w:hAnsi="Arial" w:cs="Arial"/>
                <w:bCs/>
                <w:color w:val="000000"/>
              </w:rPr>
            </w:pPr>
            <w:r>
              <w:rPr>
                <w:rFonts w:ascii="Arial" w:hAnsi="Arial" w:cs="Arial"/>
                <w:bCs/>
                <w:color w:val="000000"/>
              </w:rPr>
              <w:t>The current program outcomes for BIOE.S.AS were developed at a time when the degree was an emphasis area in Liberal Arts and Sciences.  Now that the program has come into its own as an independent degree, additional outcomes should be developed that target BIO specifically.  The existing outcomes can be kept, but they should be enhanced with additional targeted outcomes for BIO, and activities should be identified that are associated with these new outcomes similar to the specific activities have been identified that are associated with the current outcomes.   Developing a small number of additional outcomes will be crucial to helping the BIOE.S.AS program develop its own identity as an independent program, rather than just as one option among many for Liberal Arts and Sciences program students. The department is encouraged to seek support from the division learning liaison in developing program outcomes and a system for collecting, analyzing and using outcomes data to improve the program.</w:t>
            </w:r>
          </w:p>
          <w:p w:rsidR="001A2E6B" w:rsidRPr="00654C15" w:rsidRDefault="001A2E6B" w:rsidP="003E791C">
            <w:pPr>
              <w:pStyle w:val="ListParagraph"/>
              <w:ind w:left="0"/>
              <w:rPr>
                <w:rFonts w:ascii="Arial" w:hAnsi="Arial" w:cs="Arial"/>
                <w:color w:val="000000" w:themeColor="text1"/>
              </w:rPr>
            </w:pPr>
          </w:p>
        </w:tc>
        <w:tc>
          <w:tcPr>
            <w:tcW w:w="2700" w:type="dxa"/>
          </w:tcPr>
          <w:p w:rsidR="00562F28" w:rsidRDefault="00562F28" w:rsidP="00562F28">
            <w:pPr>
              <w:pStyle w:val="ListParagraph"/>
              <w:ind w:left="0"/>
              <w:rPr>
                <w:rFonts w:ascii="Arial" w:hAnsi="Arial" w:cs="Arial"/>
                <w:color w:val="000000" w:themeColor="text1"/>
              </w:rPr>
            </w:pPr>
          </w:p>
          <w:p w:rsidR="00562F28" w:rsidRDefault="00562F28" w:rsidP="00562F28">
            <w:pPr>
              <w:pStyle w:val="ListParagraph"/>
              <w:ind w:left="0"/>
              <w:rPr>
                <w:rFonts w:ascii="Arial" w:hAnsi="Arial" w:cs="Arial"/>
                <w:color w:val="000000" w:themeColor="text1"/>
              </w:rPr>
            </w:pPr>
            <w:r>
              <w:rPr>
                <w:rFonts w:ascii="Arial" w:hAnsi="Arial" w:cs="Arial"/>
                <w:color w:val="000000" w:themeColor="text1"/>
              </w:rPr>
              <w:t xml:space="preserve">In progress </w:t>
            </w:r>
            <w:r w:rsidR="00F24881">
              <w:fldChar w:fldCharType="begin">
                <w:ffData>
                  <w:name w:val=""/>
                  <w:enabled/>
                  <w:calcOnExit w:val="0"/>
                  <w:checkBox>
                    <w:sizeAuto/>
                    <w:default w:val="1"/>
                  </w:checkBox>
                </w:ffData>
              </w:fldChar>
            </w:r>
            <w:r w:rsidR="00F24881">
              <w:instrText xml:space="preserve"> FORMCHECKBOX </w:instrText>
            </w:r>
            <w:r w:rsidR="006F3240">
              <w:fldChar w:fldCharType="separate"/>
            </w:r>
            <w:r w:rsidR="00F24881">
              <w:fldChar w:fldCharType="end"/>
            </w:r>
          </w:p>
          <w:p w:rsidR="00562F28" w:rsidRDefault="00562F28" w:rsidP="00562F28">
            <w:pPr>
              <w:pStyle w:val="ListParagraph"/>
              <w:ind w:left="0"/>
              <w:rPr>
                <w:rFonts w:ascii="Arial" w:hAnsi="Arial" w:cs="Arial"/>
                <w:color w:val="000000" w:themeColor="text1"/>
              </w:rPr>
            </w:pPr>
          </w:p>
          <w:p w:rsidR="00562F28" w:rsidRDefault="00562F28" w:rsidP="00562F28">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F3240">
              <w:fldChar w:fldCharType="separate"/>
            </w:r>
            <w:r>
              <w:fldChar w:fldCharType="end"/>
            </w:r>
          </w:p>
          <w:p w:rsidR="00562F28" w:rsidRDefault="00562F28" w:rsidP="00562F28">
            <w:pPr>
              <w:pStyle w:val="ListParagraph"/>
              <w:ind w:left="0"/>
              <w:rPr>
                <w:rFonts w:ascii="Arial" w:hAnsi="Arial" w:cs="Arial"/>
                <w:color w:val="000000" w:themeColor="text1"/>
              </w:rPr>
            </w:pPr>
          </w:p>
          <w:p w:rsidR="00562F28" w:rsidRDefault="00562F28" w:rsidP="00562F28">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F3240">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480" w:type="dxa"/>
          </w:tcPr>
          <w:p w:rsidR="001A2E6B" w:rsidRPr="00BF7E3E" w:rsidRDefault="00BF7E3E" w:rsidP="00EB011C">
            <w:pPr>
              <w:rPr>
                <w:rFonts w:ascii="Arial" w:hAnsi="Arial" w:cs="Arial"/>
              </w:rPr>
            </w:pPr>
            <w:r>
              <w:rPr>
                <w:rFonts w:ascii="Arial" w:hAnsi="Arial" w:cs="Arial"/>
              </w:rPr>
              <w:t xml:space="preserve">The department will begin the process of developing a small number of additional outcomes that are specific to the BIOE.S.AS degree.  We will seek the assistance of our division learning liaison to help with this task.  </w:t>
            </w:r>
          </w:p>
        </w:tc>
      </w:tr>
      <w:tr w:rsidR="001A2E6B" w:rsidRPr="0037786D" w:rsidTr="001A2E6B">
        <w:tc>
          <w:tcPr>
            <w:tcW w:w="3708" w:type="dxa"/>
          </w:tcPr>
          <w:p w:rsidR="00412BCB" w:rsidRDefault="00412BCB" w:rsidP="00412BCB">
            <w:pPr>
              <w:autoSpaceDE w:val="0"/>
              <w:autoSpaceDN w:val="0"/>
              <w:adjustRightInd w:val="0"/>
              <w:rPr>
                <w:rFonts w:ascii="Arial" w:hAnsi="Arial" w:cs="Arial"/>
                <w:bCs/>
                <w:color w:val="000000"/>
              </w:rPr>
            </w:pPr>
            <w:r>
              <w:rPr>
                <w:rFonts w:ascii="Arial" w:hAnsi="Arial" w:cs="Arial"/>
                <w:bCs/>
                <w:color w:val="000000"/>
              </w:rPr>
              <w:t>Efforts were initially begun to articulate credit from the non-credit Biotechnology offerings that the department has developed with Workforce Development.  The review team recommends that these efforts be pursued to completion to give students participating in non-credit education a head start on earning a credit-bearing credential.  Having this may enable the department to recruit more students into the Biotechnology program.</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562F28" w:rsidRDefault="00562F28" w:rsidP="00562F28">
            <w:pPr>
              <w:pStyle w:val="ListParagraph"/>
              <w:ind w:left="0"/>
              <w:rPr>
                <w:rFonts w:ascii="Arial" w:hAnsi="Arial" w:cs="Arial"/>
                <w:color w:val="000000" w:themeColor="text1"/>
              </w:rPr>
            </w:pPr>
            <w:r>
              <w:rPr>
                <w:rFonts w:ascii="Arial" w:hAnsi="Arial" w:cs="Arial"/>
                <w:color w:val="000000" w:themeColor="text1"/>
              </w:rPr>
              <w:t xml:space="preserve">In progress </w:t>
            </w:r>
            <w:r w:rsidR="00BF7E3E">
              <w:fldChar w:fldCharType="begin">
                <w:ffData>
                  <w:name w:val=""/>
                  <w:enabled/>
                  <w:calcOnExit w:val="0"/>
                  <w:checkBox>
                    <w:sizeAuto/>
                    <w:default w:val="1"/>
                  </w:checkBox>
                </w:ffData>
              </w:fldChar>
            </w:r>
            <w:r w:rsidR="00BF7E3E">
              <w:instrText xml:space="preserve"> FORMCHECKBOX </w:instrText>
            </w:r>
            <w:r w:rsidR="006F3240">
              <w:fldChar w:fldCharType="separate"/>
            </w:r>
            <w:r w:rsidR="00BF7E3E">
              <w:fldChar w:fldCharType="end"/>
            </w:r>
          </w:p>
          <w:p w:rsidR="00562F28" w:rsidRDefault="00562F28" w:rsidP="00562F28">
            <w:pPr>
              <w:pStyle w:val="ListParagraph"/>
              <w:ind w:left="0"/>
              <w:rPr>
                <w:rFonts w:ascii="Arial" w:hAnsi="Arial" w:cs="Arial"/>
                <w:color w:val="000000" w:themeColor="text1"/>
              </w:rPr>
            </w:pPr>
          </w:p>
          <w:p w:rsidR="00562F28" w:rsidRDefault="00562F28" w:rsidP="00562F28">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F3240">
              <w:fldChar w:fldCharType="separate"/>
            </w:r>
            <w:r>
              <w:fldChar w:fldCharType="end"/>
            </w:r>
          </w:p>
          <w:p w:rsidR="00562F28" w:rsidRDefault="00562F28" w:rsidP="00562F28">
            <w:pPr>
              <w:pStyle w:val="ListParagraph"/>
              <w:ind w:left="0"/>
              <w:rPr>
                <w:rFonts w:ascii="Arial" w:hAnsi="Arial" w:cs="Arial"/>
                <w:color w:val="000000" w:themeColor="text1"/>
              </w:rPr>
            </w:pPr>
          </w:p>
          <w:p w:rsidR="00562F28" w:rsidRDefault="00562F28" w:rsidP="00562F28">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F3240">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480" w:type="dxa"/>
          </w:tcPr>
          <w:p w:rsidR="00BF3D2C" w:rsidRDefault="00BF7E3E" w:rsidP="00BF3D2C">
            <w:pPr>
              <w:rPr>
                <w:rFonts w:ascii="Arial" w:hAnsi="Arial"/>
              </w:rPr>
            </w:pPr>
            <w:r>
              <w:rPr>
                <w:rFonts w:ascii="Arial" w:hAnsi="Arial"/>
              </w:rPr>
              <w:t xml:space="preserve">The department investigated the </w:t>
            </w:r>
            <w:r w:rsidR="00BF3D2C">
              <w:rPr>
                <w:rFonts w:ascii="Arial" w:hAnsi="Arial"/>
              </w:rPr>
              <w:t xml:space="preserve">possibility of articulated credit </w:t>
            </w:r>
            <w:r>
              <w:rPr>
                <w:rFonts w:ascii="Arial" w:hAnsi="Arial"/>
              </w:rPr>
              <w:t xml:space="preserve">with </w:t>
            </w:r>
            <w:r w:rsidR="00BF3D2C">
              <w:rPr>
                <w:rFonts w:ascii="Arial" w:hAnsi="Arial"/>
              </w:rPr>
              <w:t xml:space="preserve">courses offered by </w:t>
            </w:r>
            <w:r>
              <w:rPr>
                <w:rFonts w:ascii="Arial" w:hAnsi="Arial"/>
              </w:rPr>
              <w:t>Workforce Dev</w:t>
            </w:r>
            <w:r w:rsidR="00BF3D2C">
              <w:rPr>
                <w:rFonts w:ascii="Arial" w:hAnsi="Arial"/>
              </w:rPr>
              <w:t>elopment, PLTW, and Tech Prep. The</w:t>
            </w:r>
            <w:r w:rsidR="00D85AB8">
              <w:rPr>
                <w:rFonts w:ascii="Arial" w:hAnsi="Arial"/>
              </w:rPr>
              <w:t xml:space="preserve"> results of the investigation are</w:t>
            </w:r>
            <w:r w:rsidR="00BF3D2C">
              <w:rPr>
                <w:rFonts w:ascii="Arial" w:hAnsi="Arial"/>
              </w:rPr>
              <w:t xml:space="preserve"> as follows:</w:t>
            </w:r>
          </w:p>
          <w:p w:rsidR="001A2E6B" w:rsidRDefault="00BF3D2C" w:rsidP="00BF3D2C">
            <w:pPr>
              <w:pStyle w:val="ListParagraph"/>
              <w:numPr>
                <w:ilvl w:val="0"/>
                <w:numId w:val="19"/>
              </w:numPr>
              <w:rPr>
                <w:rFonts w:ascii="Arial" w:hAnsi="Arial"/>
              </w:rPr>
            </w:pPr>
            <w:r>
              <w:rPr>
                <w:rFonts w:ascii="Arial" w:hAnsi="Arial"/>
              </w:rPr>
              <w:t>WFD offers a short-term certificate in Bio-manufacturing which is a subdivision of Biotechnology.  Although the coursework and learning outcomes are similar</w:t>
            </w:r>
            <w:r w:rsidR="00D85AB8">
              <w:rPr>
                <w:rFonts w:ascii="Arial" w:hAnsi="Arial"/>
              </w:rPr>
              <w:t>,</w:t>
            </w:r>
            <w:r>
              <w:rPr>
                <w:rFonts w:ascii="Arial" w:hAnsi="Arial"/>
              </w:rPr>
              <w:t xml:space="preserve"> to some extent</w:t>
            </w:r>
            <w:r w:rsidR="00D85AB8">
              <w:rPr>
                <w:rFonts w:ascii="Arial" w:hAnsi="Arial"/>
              </w:rPr>
              <w:t>,</w:t>
            </w:r>
            <w:r>
              <w:rPr>
                <w:rFonts w:ascii="Arial" w:hAnsi="Arial"/>
              </w:rPr>
              <w:t xml:space="preserve"> to the courses in our BTN program, there is not enough similarity to justify giving credit for one or more of the BTN courses after completing the short-term certificate.  The information students learn in short-term certificate is very broad and does not encompass the learning outcomes for any of our BTN courses.</w:t>
            </w:r>
          </w:p>
          <w:p w:rsidR="006C3B41" w:rsidRDefault="00D85AB8" w:rsidP="00BF3D2C">
            <w:pPr>
              <w:pStyle w:val="ListParagraph"/>
              <w:numPr>
                <w:ilvl w:val="0"/>
                <w:numId w:val="19"/>
              </w:numPr>
              <w:rPr>
                <w:rFonts w:ascii="Arial" w:hAnsi="Arial"/>
              </w:rPr>
            </w:pPr>
            <w:r>
              <w:rPr>
                <w:rFonts w:ascii="Arial" w:hAnsi="Arial"/>
              </w:rPr>
              <w:t>We are currently discussing</w:t>
            </w:r>
            <w:r w:rsidR="006C3B41">
              <w:rPr>
                <w:rFonts w:ascii="Arial" w:hAnsi="Arial"/>
              </w:rPr>
              <w:t xml:space="preserve"> the possibility of developing a short term </w:t>
            </w:r>
            <w:r w:rsidR="00ED1645">
              <w:rPr>
                <w:rFonts w:ascii="Arial" w:hAnsi="Arial"/>
              </w:rPr>
              <w:t>certificate that may bridge the gap between the WFD short term certificate and articulation with course(s) in our BTN program.  We need to investigate the skill sets sought by our local biotechnology industry partners prior to developing this certificate to ensure that we are offering</w:t>
            </w:r>
            <w:r w:rsidR="003C4725">
              <w:rPr>
                <w:rFonts w:ascii="Arial" w:hAnsi="Arial"/>
              </w:rPr>
              <w:t xml:space="preserve"> a viable certificate.</w:t>
            </w:r>
          </w:p>
          <w:p w:rsidR="0094287E" w:rsidRDefault="0094287E" w:rsidP="00BF3D2C">
            <w:pPr>
              <w:pStyle w:val="ListParagraph"/>
              <w:numPr>
                <w:ilvl w:val="0"/>
                <w:numId w:val="19"/>
              </w:numPr>
              <w:rPr>
                <w:rFonts w:ascii="Arial" w:hAnsi="Arial"/>
              </w:rPr>
            </w:pPr>
            <w:r>
              <w:rPr>
                <w:rFonts w:ascii="Arial" w:hAnsi="Arial"/>
              </w:rPr>
              <w:t>Faculty in our department have reviewed the curricul</w:t>
            </w:r>
            <w:r w:rsidR="002D748B">
              <w:rPr>
                <w:rFonts w:ascii="Arial" w:hAnsi="Arial"/>
              </w:rPr>
              <w:t>um outcomes for the Biomedical Pathway in PLTW.  This pathway does not correlate with the program outcomes and coursework for the BTN.S.AAS degree.  However, there is a possibility of students enrolled in PLTW Biomedical to receive credit for one of our introductory courses</w:t>
            </w:r>
            <w:r w:rsidR="00D85AB8">
              <w:rPr>
                <w:rFonts w:ascii="Arial" w:hAnsi="Arial"/>
              </w:rPr>
              <w:t>,</w:t>
            </w:r>
            <w:r w:rsidR="002D748B">
              <w:rPr>
                <w:rFonts w:ascii="Arial" w:hAnsi="Arial"/>
              </w:rPr>
              <w:t xml:space="preserve"> BTN 1110 Biotechnology and Bioethics.</w:t>
            </w:r>
          </w:p>
          <w:p w:rsidR="005B1304" w:rsidRDefault="005B1304" w:rsidP="00BF3D2C">
            <w:pPr>
              <w:pStyle w:val="ListParagraph"/>
              <w:numPr>
                <w:ilvl w:val="0"/>
                <w:numId w:val="19"/>
              </w:numPr>
              <w:rPr>
                <w:rFonts w:ascii="Arial" w:hAnsi="Arial"/>
              </w:rPr>
            </w:pPr>
            <w:r>
              <w:rPr>
                <w:rFonts w:ascii="Arial" w:hAnsi="Arial"/>
              </w:rPr>
              <w:t>Biotechnology Tech Prep students currently receive credit for two of the courses in the BTN.S.AAS degree:  BTN 1110 and BTN 1120.  Also, Tech Prep students will now receive a letter grade</w:t>
            </w:r>
            <w:r w:rsidR="00D85AB8">
              <w:rPr>
                <w:rFonts w:ascii="Arial" w:hAnsi="Arial"/>
              </w:rPr>
              <w:t xml:space="preserve"> for these courses instead of a</w:t>
            </w:r>
            <w:r>
              <w:rPr>
                <w:rFonts w:ascii="Arial" w:hAnsi="Arial"/>
              </w:rPr>
              <w:t xml:space="preserve"> “Y” or “N” on their transcripts upon completion of these courses at the high schools.  The will afford the students the opportunity to receive credit for these courses at other institutions of higher education.</w:t>
            </w:r>
          </w:p>
          <w:p w:rsidR="006C3B41" w:rsidRPr="00BF3D2C" w:rsidRDefault="006C3B41" w:rsidP="006C3B41">
            <w:pPr>
              <w:pStyle w:val="ListParagraph"/>
              <w:ind w:left="780"/>
              <w:rPr>
                <w:rFonts w:ascii="Arial" w:hAnsi="Arial"/>
              </w:rPr>
            </w:pPr>
          </w:p>
        </w:tc>
      </w:tr>
      <w:tr w:rsidR="001A2E6B" w:rsidRPr="0037786D" w:rsidTr="001A2E6B">
        <w:tc>
          <w:tcPr>
            <w:tcW w:w="3708" w:type="dxa"/>
          </w:tcPr>
          <w:p w:rsidR="00412BCB" w:rsidRDefault="00412BCB" w:rsidP="00412BCB">
            <w:pPr>
              <w:autoSpaceDE w:val="0"/>
              <w:autoSpaceDN w:val="0"/>
              <w:adjustRightInd w:val="0"/>
              <w:rPr>
                <w:rFonts w:ascii="Arial" w:hAnsi="Arial" w:cs="Arial"/>
                <w:bCs/>
                <w:color w:val="000000"/>
              </w:rPr>
            </w:pPr>
            <w:r>
              <w:rPr>
                <w:rFonts w:ascii="Arial" w:hAnsi="Arial" w:cs="Arial"/>
                <w:bCs/>
                <w:color w:val="000000"/>
              </w:rPr>
              <w:t>The department is encouraged to bolster its collection and use of data, particularly in regards to transfer and employment of graduates.  Research, Analytics, and Reporting (RAR) has access to National Student Clearinghouse data that can provide comprehensive data on where students transfer to and what degrees they receive at their transfer institutions.  In addition, RAR has access to Ohio Department of Job and Family Services data that can provide data on employment of graduates, which may be particularly beneficial for the Biotechnology students.  Finally, RAR may be able to help find ways to document the benefits of the excellent work that is done helping students in the B.I.O.S.I.S. lab.</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562F28" w:rsidRDefault="00562F28" w:rsidP="00562F28">
            <w:pPr>
              <w:pStyle w:val="ListParagraph"/>
              <w:ind w:left="0"/>
              <w:rPr>
                <w:rFonts w:ascii="Arial" w:hAnsi="Arial" w:cs="Arial"/>
                <w:color w:val="000000" w:themeColor="text1"/>
              </w:rPr>
            </w:pPr>
            <w:r>
              <w:rPr>
                <w:rFonts w:ascii="Arial" w:hAnsi="Arial" w:cs="Arial"/>
                <w:color w:val="000000" w:themeColor="text1"/>
              </w:rPr>
              <w:t xml:space="preserve">In progress </w:t>
            </w:r>
            <w:r w:rsidR="00A67476">
              <w:fldChar w:fldCharType="begin">
                <w:ffData>
                  <w:name w:val=""/>
                  <w:enabled/>
                  <w:calcOnExit w:val="0"/>
                  <w:checkBox>
                    <w:sizeAuto/>
                    <w:default w:val="1"/>
                  </w:checkBox>
                </w:ffData>
              </w:fldChar>
            </w:r>
            <w:r w:rsidR="00A67476">
              <w:instrText xml:space="preserve"> FORMCHECKBOX </w:instrText>
            </w:r>
            <w:r w:rsidR="006F3240">
              <w:fldChar w:fldCharType="separate"/>
            </w:r>
            <w:r w:rsidR="00A67476">
              <w:fldChar w:fldCharType="end"/>
            </w:r>
          </w:p>
          <w:p w:rsidR="00562F28" w:rsidRDefault="00562F28" w:rsidP="00562F28">
            <w:pPr>
              <w:pStyle w:val="ListParagraph"/>
              <w:ind w:left="0"/>
              <w:rPr>
                <w:rFonts w:ascii="Arial" w:hAnsi="Arial" w:cs="Arial"/>
                <w:color w:val="000000" w:themeColor="text1"/>
              </w:rPr>
            </w:pPr>
          </w:p>
          <w:p w:rsidR="00562F28" w:rsidRDefault="00562F28" w:rsidP="00562F28">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F3240">
              <w:fldChar w:fldCharType="separate"/>
            </w:r>
            <w:r>
              <w:fldChar w:fldCharType="end"/>
            </w:r>
          </w:p>
          <w:p w:rsidR="00562F28" w:rsidRDefault="00562F28" w:rsidP="00562F28">
            <w:pPr>
              <w:pStyle w:val="ListParagraph"/>
              <w:ind w:left="0"/>
              <w:rPr>
                <w:rFonts w:ascii="Arial" w:hAnsi="Arial" w:cs="Arial"/>
                <w:color w:val="000000" w:themeColor="text1"/>
              </w:rPr>
            </w:pPr>
          </w:p>
          <w:p w:rsidR="00562F28" w:rsidRDefault="00562F28" w:rsidP="00562F28">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F3240">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480" w:type="dxa"/>
          </w:tcPr>
          <w:p w:rsidR="001A2E6B" w:rsidRPr="00A67476" w:rsidRDefault="004F556C" w:rsidP="004F556C">
            <w:pPr>
              <w:rPr>
                <w:rFonts w:ascii="Arial" w:hAnsi="Arial" w:cs="Arial"/>
              </w:rPr>
            </w:pPr>
            <w:r>
              <w:rPr>
                <w:rFonts w:ascii="Arial" w:hAnsi="Arial" w:cs="Arial"/>
              </w:rPr>
              <w:t>We are currently working with RAR to revise the questions included in the online Recent Graduate Survey.  We will continue to provide feedback to RAR regarding these surveys.  Faculty involved in the BTN program dev</w:t>
            </w:r>
            <w:r w:rsidR="00E20B3F">
              <w:rPr>
                <w:rFonts w:ascii="Arial" w:hAnsi="Arial" w:cs="Arial"/>
              </w:rPr>
              <w:t>eloped a F</w:t>
            </w:r>
            <w:r w:rsidR="00D85AB8">
              <w:rPr>
                <w:rFonts w:ascii="Arial" w:hAnsi="Arial" w:cs="Arial"/>
              </w:rPr>
              <w:t>acebook page</w:t>
            </w:r>
            <w:r>
              <w:rPr>
                <w:rFonts w:ascii="Arial" w:hAnsi="Arial" w:cs="Arial"/>
              </w:rPr>
              <w:t xml:space="preserve"> utilized by current and past BTN students.  Faculty are currently collecting data from recent BTN graduates using </w:t>
            </w:r>
            <w:r w:rsidR="00D85AB8">
              <w:rPr>
                <w:rFonts w:ascii="Arial" w:hAnsi="Arial" w:cs="Arial"/>
              </w:rPr>
              <w:t>the Facebook page and via phone</w:t>
            </w:r>
            <w:r w:rsidR="00D403C6">
              <w:rPr>
                <w:rFonts w:ascii="Arial" w:hAnsi="Arial" w:cs="Arial"/>
              </w:rPr>
              <w:t xml:space="preserve"> calls.  They are also collecting employment data from the Ohio Department of Job and Family Services.  Although, faculty are currently collecting this data, our department will investigate </w:t>
            </w:r>
            <w:r w:rsidR="009C3126">
              <w:rPr>
                <w:rFonts w:ascii="Arial" w:hAnsi="Arial" w:cs="Arial"/>
              </w:rPr>
              <w:t>using RAR to help with</w:t>
            </w:r>
            <w:r w:rsidR="00D403C6">
              <w:rPr>
                <w:rFonts w:ascii="Arial" w:hAnsi="Arial" w:cs="Arial"/>
              </w:rPr>
              <w:t xml:space="preserve"> this task.</w:t>
            </w:r>
          </w:p>
        </w:tc>
      </w:tr>
      <w:tr w:rsidR="00412BCB" w:rsidRPr="0037786D" w:rsidTr="001A2E6B">
        <w:tc>
          <w:tcPr>
            <w:tcW w:w="3708" w:type="dxa"/>
          </w:tcPr>
          <w:p w:rsidR="00412BCB" w:rsidRDefault="00412BCB" w:rsidP="00412BCB">
            <w:pPr>
              <w:autoSpaceDE w:val="0"/>
              <w:autoSpaceDN w:val="0"/>
              <w:adjustRightInd w:val="0"/>
              <w:rPr>
                <w:rFonts w:ascii="Arial" w:hAnsi="Arial" w:cs="Arial"/>
                <w:bCs/>
                <w:color w:val="000000"/>
              </w:rPr>
            </w:pPr>
            <w:r>
              <w:rPr>
                <w:rFonts w:ascii="Arial" w:hAnsi="Arial" w:cs="Arial"/>
                <w:bCs/>
                <w:color w:val="000000"/>
              </w:rPr>
              <w:t xml:space="preserve">Are there opportunities to move some of the resources provided in the B.I.O.S.I.S. lab into an online format so that students located some distance from campus who are taking online sections could benefit from these resources? </w:t>
            </w:r>
          </w:p>
          <w:p w:rsidR="00412BCB" w:rsidRPr="00412BCB" w:rsidRDefault="00412BCB" w:rsidP="00412BCB">
            <w:pPr>
              <w:autoSpaceDE w:val="0"/>
              <w:autoSpaceDN w:val="0"/>
              <w:adjustRightInd w:val="0"/>
              <w:rPr>
                <w:rFonts w:ascii="Arial" w:hAnsi="Arial" w:cs="Arial"/>
                <w:b/>
                <w:bCs/>
                <w:color w:val="000000"/>
              </w:rPr>
            </w:pPr>
          </w:p>
        </w:tc>
        <w:tc>
          <w:tcPr>
            <w:tcW w:w="2700" w:type="dxa"/>
          </w:tcPr>
          <w:p w:rsidR="00412BCB" w:rsidRDefault="00412BCB" w:rsidP="00730C95">
            <w:pPr>
              <w:pStyle w:val="ListParagraph"/>
              <w:ind w:left="0"/>
              <w:rPr>
                <w:rFonts w:ascii="Arial" w:hAnsi="Arial" w:cs="Arial"/>
                <w:color w:val="000000" w:themeColor="text1"/>
              </w:rPr>
            </w:pPr>
          </w:p>
          <w:p w:rsidR="00412BCB" w:rsidRDefault="00412BCB" w:rsidP="00730C95">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Box>
                </w:ffData>
              </w:fldChar>
            </w:r>
            <w:r>
              <w:instrText xml:space="preserve"> FORMCHECKBOX </w:instrText>
            </w:r>
            <w:r w:rsidR="006F3240">
              <w:fldChar w:fldCharType="separate"/>
            </w:r>
            <w:r>
              <w:fldChar w:fldCharType="end"/>
            </w:r>
          </w:p>
          <w:p w:rsidR="00412BCB" w:rsidRDefault="00412BCB" w:rsidP="00730C95">
            <w:pPr>
              <w:pStyle w:val="ListParagraph"/>
              <w:ind w:left="0"/>
              <w:rPr>
                <w:rFonts w:ascii="Arial" w:hAnsi="Arial" w:cs="Arial"/>
                <w:color w:val="000000" w:themeColor="text1"/>
              </w:rPr>
            </w:pPr>
          </w:p>
          <w:p w:rsidR="00412BCB" w:rsidRDefault="00412BCB" w:rsidP="00730C95">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ed/>
                  </w:checkBox>
                </w:ffData>
              </w:fldChar>
            </w:r>
            <w:r>
              <w:instrText xml:space="preserve"> FORMCHECKBOX </w:instrText>
            </w:r>
            <w:r w:rsidR="006F3240">
              <w:fldChar w:fldCharType="separate"/>
            </w:r>
            <w:r>
              <w:fldChar w:fldCharType="end"/>
            </w:r>
          </w:p>
          <w:p w:rsidR="00412BCB" w:rsidRDefault="00412BCB" w:rsidP="00730C95">
            <w:pPr>
              <w:pStyle w:val="ListParagraph"/>
              <w:ind w:left="0"/>
              <w:rPr>
                <w:rFonts w:ascii="Arial" w:hAnsi="Arial" w:cs="Arial"/>
                <w:color w:val="000000" w:themeColor="text1"/>
              </w:rPr>
            </w:pPr>
          </w:p>
          <w:p w:rsidR="00412BCB" w:rsidRPr="0037786D" w:rsidRDefault="00412BCB" w:rsidP="00730C95">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ed w:val="0"/>
                  </w:checkBox>
                </w:ffData>
              </w:fldChar>
            </w:r>
            <w:r>
              <w:instrText xml:space="preserve"> FORMCHECKBOX </w:instrText>
            </w:r>
            <w:r w:rsidR="006F3240">
              <w:fldChar w:fldCharType="separate"/>
            </w:r>
            <w:r>
              <w:fldChar w:fldCharType="end"/>
            </w:r>
          </w:p>
        </w:tc>
        <w:tc>
          <w:tcPr>
            <w:tcW w:w="6480" w:type="dxa"/>
          </w:tcPr>
          <w:p w:rsidR="00412BCB" w:rsidRDefault="00412BCB" w:rsidP="002C5C14">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C5C14">
              <w:t>BIOSIS is based on the campus, while students who take our classes are online.  That being said, each angel shell tells the student(s) about using BIOSIS if they are local</w:t>
            </w:r>
            <w:r w:rsidR="006D1E92">
              <w:t>.</w:t>
            </w:r>
            <w:r>
              <w:rPr>
                <w:rFonts w:ascii="Arial" w:hAnsi="Arial" w:cs="Arial"/>
                <w:b/>
                <w:color w:val="000000" w:themeColor="text1"/>
              </w:rPr>
              <w:fldChar w:fldCharType="end"/>
            </w:r>
          </w:p>
        </w:tc>
      </w:tr>
      <w:tr w:rsidR="00412BCB" w:rsidRPr="00EA5A5B" w:rsidTr="001A2E6B">
        <w:tc>
          <w:tcPr>
            <w:tcW w:w="3708" w:type="dxa"/>
          </w:tcPr>
          <w:p w:rsidR="00412BCB" w:rsidRDefault="00412BCB" w:rsidP="00412BCB">
            <w:pPr>
              <w:autoSpaceDE w:val="0"/>
              <w:autoSpaceDN w:val="0"/>
              <w:adjustRightInd w:val="0"/>
              <w:rPr>
                <w:rFonts w:ascii="Arial" w:hAnsi="Arial" w:cs="Arial"/>
                <w:bCs/>
                <w:color w:val="000000"/>
              </w:rPr>
            </w:pPr>
            <w:r>
              <w:rPr>
                <w:rFonts w:ascii="Arial" w:hAnsi="Arial" w:cs="Arial"/>
                <w:bCs/>
                <w:color w:val="000000"/>
              </w:rPr>
              <w:t>The department has experienced increased enrollment in recent years, and with the push nationally and regionally for more education in STEM areas, and with the possibility that more companies requiring STEM-educated employees will be moving into the area, it is important that the department monitor potential employment demand and the impact that might have on enrollment.  If enrollment increases look likely, the department may need to be thoughtful and strategic in determining how those increased demands may be met, particularly in light of constraints of space and equipment.  Some course offerings may need to be prioritized over others in the future, resources within the department may need to be shifted around, and options for increasing lab capacities may need to be considered, along with any other strategies that might be implemented to increase student capacity.</w:t>
            </w:r>
          </w:p>
          <w:p w:rsidR="00412BCB" w:rsidRDefault="00412BCB" w:rsidP="00412BCB">
            <w:pPr>
              <w:autoSpaceDE w:val="0"/>
              <w:autoSpaceDN w:val="0"/>
              <w:adjustRightInd w:val="0"/>
              <w:rPr>
                <w:rFonts w:ascii="Arial" w:hAnsi="Arial" w:cs="Arial"/>
                <w:bCs/>
                <w:color w:val="000000"/>
              </w:rPr>
            </w:pPr>
          </w:p>
        </w:tc>
        <w:tc>
          <w:tcPr>
            <w:tcW w:w="2700" w:type="dxa"/>
          </w:tcPr>
          <w:p w:rsidR="00412BCB" w:rsidRDefault="00412BCB" w:rsidP="00730C95">
            <w:pPr>
              <w:pStyle w:val="ListParagraph"/>
              <w:ind w:left="0"/>
              <w:rPr>
                <w:rFonts w:ascii="Arial" w:hAnsi="Arial" w:cs="Arial"/>
                <w:color w:val="000000" w:themeColor="text1"/>
              </w:rPr>
            </w:pPr>
          </w:p>
          <w:p w:rsidR="00562F28" w:rsidRDefault="00562F28" w:rsidP="00562F28">
            <w:pPr>
              <w:pStyle w:val="ListParagraph"/>
              <w:ind w:left="0"/>
              <w:rPr>
                <w:rFonts w:ascii="Arial" w:hAnsi="Arial" w:cs="Arial"/>
                <w:color w:val="000000" w:themeColor="text1"/>
              </w:rPr>
            </w:pPr>
            <w:r>
              <w:rPr>
                <w:rFonts w:ascii="Arial" w:hAnsi="Arial" w:cs="Arial"/>
                <w:color w:val="000000" w:themeColor="text1"/>
              </w:rPr>
              <w:t xml:space="preserve">In progress </w:t>
            </w:r>
            <w:r w:rsidR="00F85242">
              <w:fldChar w:fldCharType="begin">
                <w:ffData>
                  <w:name w:val=""/>
                  <w:enabled/>
                  <w:calcOnExit w:val="0"/>
                  <w:checkBox>
                    <w:sizeAuto/>
                    <w:default w:val="1"/>
                  </w:checkBox>
                </w:ffData>
              </w:fldChar>
            </w:r>
            <w:r w:rsidR="00F85242">
              <w:instrText xml:space="preserve"> FORMCHECKBOX </w:instrText>
            </w:r>
            <w:r w:rsidR="006F3240">
              <w:fldChar w:fldCharType="separate"/>
            </w:r>
            <w:r w:rsidR="00F85242">
              <w:fldChar w:fldCharType="end"/>
            </w:r>
          </w:p>
          <w:p w:rsidR="00562F28" w:rsidRDefault="00562F28" w:rsidP="00562F28">
            <w:pPr>
              <w:pStyle w:val="ListParagraph"/>
              <w:ind w:left="0"/>
              <w:rPr>
                <w:rFonts w:ascii="Arial" w:hAnsi="Arial" w:cs="Arial"/>
                <w:color w:val="000000" w:themeColor="text1"/>
              </w:rPr>
            </w:pPr>
          </w:p>
          <w:p w:rsidR="00562F28" w:rsidRDefault="00562F28" w:rsidP="00562F28">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F3240">
              <w:fldChar w:fldCharType="separate"/>
            </w:r>
            <w:r>
              <w:fldChar w:fldCharType="end"/>
            </w:r>
          </w:p>
          <w:p w:rsidR="00562F28" w:rsidRDefault="00562F28" w:rsidP="00562F28">
            <w:pPr>
              <w:pStyle w:val="ListParagraph"/>
              <w:ind w:left="0"/>
              <w:rPr>
                <w:rFonts w:ascii="Arial" w:hAnsi="Arial" w:cs="Arial"/>
                <w:color w:val="000000" w:themeColor="text1"/>
              </w:rPr>
            </w:pPr>
          </w:p>
          <w:p w:rsidR="00562F28" w:rsidRDefault="00562F28" w:rsidP="00562F28">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F3240">
              <w:fldChar w:fldCharType="separate"/>
            </w:r>
            <w:r>
              <w:fldChar w:fldCharType="end"/>
            </w:r>
          </w:p>
          <w:p w:rsidR="00412BCB" w:rsidRPr="0037786D" w:rsidRDefault="00412BCB" w:rsidP="00730C95">
            <w:pPr>
              <w:pStyle w:val="ListParagraph"/>
              <w:ind w:left="0"/>
              <w:rPr>
                <w:rFonts w:ascii="Arial" w:hAnsi="Arial" w:cs="Arial"/>
                <w:color w:val="000000" w:themeColor="text1"/>
              </w:rPr>
            </w:pPr>
          </w:p>
        </w:tc>
        <w:tc>
          <w:tcPr>
            <w:tcW w:w="6480" w:type="dxa"/>
          </w:tcPr>
          <w:p w:rsidR="00412BCB" w:rsidRPr="00EA5A5B" w:rsidRDefault="00F85242" w:rsidP="00370370">
            <w:pPr>
              <w:rPr>
                <w:rFonts w:ascii="Arial" w:hAnsi="Arial" w:cs="Arial"/>
              </w:rPr>
            </w:pPr>
            <w:r w:rsidRPr="00EA5A5B">
              <w:rPr>
                <w:rFonts w:ascii="Arial" w:hAnsi="Arial" w:cs="Arial"/>
                <w:color w:val="000000" w:themeColor="text1"/>
              </w:rPr>
              <w:t>The department continues to monitor the employment demands within the biotechnology industry by maintaining productive relationships with our Advisory Board members and reviewing employment data provided by BioOhio.  BioOhio is a non-profit</w:t>
            </w:r>
            <w:r w:rsidR="000829DB" w:rsidRPr="00EA5A5B">
              <w:rPr>
                <w:rFonts w:ascii="Arial" w:hAnsi="Arial" w:cs="Arial"/>
                <w:color w:val="000000" w:themeColor="text1"/>
              </w:rPr>
              <w:t xml:space="preserve"> organization working to build the bioscience industry and education in Ohio.  This organization is the liaison between the industry members and academia.</w:t>
            </w:r>
            <w:r w:rsidR="0034268A" w:rsidRPr="00EA5A5B">
              <w:rPr>
                <w:rFonts w:ascii="Arial" w:hAnsi="Arial" w:cs="Arial"/>
              </w:rPr>
              <w:t xml:space="preserve"> According to data collected by BioOhio, Ohio currently has over 1,600 bioscience-related organizations, at over 3,000 facilities in 73 of 88 Ohio counties.  </w:t>
            </w:r>
            <w:r w:rsidR="0034268A" w:rsidRPr="0034268A">
              <w:rPr>
                <w:rFonts w:ascii="Arial" w:hAnsi="Arial" w:cs="Arial"/>
              </w:rPr>
              <w:t>In 2014, bioscience firms employed over 67,400 Ohioans, earning an average wage of $69,604</w:t>
            </w:r>
            <w:r w:rsidR="0034268A" w:rsidRPr="00EA5A5B">
              <w:rPr>
                <w:rFonts w:ascii="Arial" w:hAnsi="Arial" w:cs="Arial"/>
              </w:rPr>
              <w:t xml:space="preserve">. </w:t>
            </w:r>
            <w:r w:rsidR="005425EF" w:rsidRPr="00EA5A5B">
              <w:rPr>
                <w:rFonts w:ascii="Arial" w:hAnsi="Arial" w:cs="Arial"/>
              </w:rPr>
              <w:t xml:space="preserve"> The Southwest region of Ohio, including Warren County, is one of the fastest growing regions for bioscience industry.  </w:t>
            </w:r>
            <w:r w:rsidR="00370370">
              <w:rPr>
                <w:rFonts w:ascii="Arial" w:hAnsi="Arial" w:cs="Arial"/>
              </w:rPr>
              <w:t xml:space="preserve">In order to meet the demands of this growing industry </w:t>
            </w:r>
            <w:r w:rsidR="005425EF" w:rsidRPr="00EA5A5B">
              <w:rPr>
                <w:rFonts w:ascii="Arial" w:hAnsi="Arial" w:cs="Arial"/>
              </w:rPr>
              <w:t>we started the BTN.S.AAS program at the Courseview Campus.</w:t>
            </w:r>
          </w:p>
        </w:tc>
      </w:tr>
      <w:tr w:rsidR="00412BCB" w:rsidRPr="0037786D" w:rsidTr="001A2E6B">
        <w:tc>
          <w:tcPr>
            <w:tcW w:w="3708" w:type="dxa"/>
          </w:tcPr>
          <w:p w:rsidR="00412BCB" w:rsidRDefault="00412BCB" w:rsidP="00412BCB">
            <w:pPr>
              <w:autoSpaceDE w:val="0"/>
              <w:autoSpaceDN w:val="0"/>
              <w:adjustRightInd w:val="0"/>
              <w:rPr>
                <w:rFonts w:ascii="Arial" w:hAnsi="Arial" w:cs="Arial"/>
                <w:bCs/>
                <w:color w:val="000000"/>
              </w:rPr>
            </w:pPr>
            <w:r>
              <w:rPr>
                <w:rFonts w:ascii="Arial" w:hAnsi="Arial" w:cs="Arial"/>
                <w:bCs/>
                <w:color w:val="000000"/>
              </w:rPr>
              <w:t>Section IV.E of the self-study report addresses goals for the program, and the only goals listed were providing support for institutional goals and meeting increased enrollment demand.  The department should give some thought to what other goals might be appropriate – where does the department see itself in five years?  Ten years?  What goals and related infrastructure will need to be put in place to get there?</w:t>
            </w:r>
          </w:p>
          <w:p w:rsidR="00412BCB" w:rsidRDefault="00412BCB" w:rsidP="00412BCB">
            <w:pPr>
              <w:autoSpaceDE w:val="0"/>
              <w:autoSpaceDN w:val="0"/>
              <w:adjustRightInd w:val="0"/>
              <w:rPr>
                <w:rFonts w:ascii="Arial" w:hAnsi="Arial" w:cs="Arial"/>
                <w:bCs/>
                <w:color w:val="000000"/>
              </w:rPr>
            </w:pPr>
          </w:p>
        </w:tc>
        <w:tc>
          <w:tcPr>
            <w:tcW w:w="2700" w:type="dxa"/>
          </w:tcPr>
          <w:p w:rsidR="00412BCB" w:rsidRDefault="00412BCB" w:rsidP="00730C95">
            <w:pPr>
              <w:pStyle w:val="ListParagraph"/>
              <w:ind w:left="0"/>
              <w:rPr>
                <w:rFonts w:ascii="Arial" w:hAnsi="Arial" w:cs="Arial"/>
                <w:color w:val="000000" w:themeColor="text1"/>
              </w:rPr>
            </w:pPr>
          </w:p>
          <w:p w:rsidR="00562F28" w:rsidRDefault="00562F28" w:rsidP="00562F28">
            <w:pPr>
              <w:pStyle w:val="ListParagraph"/>
              <w:ind w:left="0"/>
              <w:rPr>
                <w:rFonts w:ascii="Arial" w:hAnsi="Arial" w:cs="Arial"/>
                <w:color w:val="000000" w:themeColor="text1"/>
              </w:rPr>
            </w:pPr>
            <w:r>
              <w:rPr>
                <w:rFonts w:ascii="Arial" w:hAnsi="Arial" w:cs="Arial"/>
                <w:color w:val="000000" w:themeColor="text1"/>
              </w:rPr>
              <w:t xml:space="preserve">In progress </w:t>
            </w:r>
            <w:r w:rsidR="00596530">
              <w:fldChar w:fldCharType="begin">
                <w:ffData>
                  <w:name w:val=""/>
                  <w:enabled/>
                  <w:calcOnExit w:val="0"/>
                  <w:checkBox>
                    <w:sizeAuto/>
                    <w:default w:val="1"/>
                  </w:checkBox>
                </w:ffData>
              </w:fldChar>
            </w:r>
            <w:r w:rsidR="00596530">
              <w:instrText xml:space="preserve"> FORMCHECKBOX </w:instrText>
            </w:r>
            <w:r w:rsidR="006F3240">
              <w:fldChar w:fldCharType="separate"/>
            </w:r>
            <w:r w:rsidR="00596530">
              <w:fldChar w:fldCharType="end"/>
            </w:r>
          </w:p>
          <w:p w:rsidR="00562F28" w:rsidRDefault="00562F28" w:rsidP="00562F28">
            <w:pPr>
              <w:pStyle w:val="ListParagraph"/>
              <w:ind w:left="0"/>
              <w:rPr>
                <w:rFonts w:ascii="Arial" w:hAnsi="Arial" w:cs="Arial"/>
                <w:color w:val="000000" w:themeColor="text1"/>
              </w:rPr>
            </w:pPr>
          </w:p>
          <w:p w:rsidR="00562F28" w:rsidRDefault="00562F28" w:rsidP="00562F28">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F3240">
              <w:fldChar w:fldCharType="separate"/>
            </w:r>
            <w:r>
              <w:fldChar w:fldCharType="end"/>
            </w:r>
          </w:p>
          <w:p w:rsidR="00562F28" w:rsidRDefault="00562F28" w:rsidP="00562F28">
            <w:pPr>
              <w:pStyle w:val="ListParagraph"/>
              <w:ind w:left="0"/>
              <w:rPr>
                <w:rFonts w:ascii="Arial" w:hAnsi="Arial" w:cs="Arial"/>
                <w:color w:val="000000" w:themeColor="text1"/>
              </w:rPr>
            </w:pPr>
          </w:p>
          <w:p w:rsidR="00412BCB" w:rsidRPr="00562F28" w:rsidRDefault="00562F28" w:rsidP="00562F28">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F3240">
              <w:fldChar w:fldCharType="separate"/>
            </w:r>
            <w:r>
              <w:fldChar w:fldCharType="end"/>
            </w:r>
          </w:p>
        </w:tc>
        <w:tc>
          <w:tcPr>
            <w:tcW w:w="6480" w:type="dxa"/>
          </w:tcPr>
          <w:p w:rsidR="00412BCB" w:rsidRPr="00596530" w:rsidRDefault="00596530" w:rsidP="00596530">
            <w:r w:rsidRPr="00596530">
              <w:rPr>
                <w:rFonts w:ascii="Arial" w:hAnsi="Arial" w:cs="Arial"/>
                <w:color w:val="000000" w:themeColor="text1"/>
              </w:rPr>
              <w:t xml:space="preserve">The department is currently developing additional short-term and long-term goals.  However, one short-term goal is to develop a strategy for effectively offering dual enrollment courses at local high schools.  </w:t>
            </w:r>
            <w:r>
              <w:rPr>
                <w:rFonts w:ascii="Arial" w:hAnsi="Arial" w:cs="Arial"/>
                <w:color w:val="000000" w:themeColor="text1"/>
              </w:rPr>
              <w:t xml:space="preserve">Our department must maintain open communication with the department </w:t>
            </w:r>
            <w:r w:rsidR="000B2E43">
              <w:rPr>
                <w:rFonts w:ascii="Arial" w:hAnsi="Arial" w:cs="Arial"/>
                <w:color w:val="000000" w:themeColor="text1"/>
              </w:rPr>
              <w:t xml:space="preserve">of School and Community Partnerships </w:t>
            </w:r>
            <w:r>
              <w:rPr>
                <w:rFonts w:ascii="Arial" w:hAnsi="Arial" w:cs="Arial"/>
                <w:color w:val="000000" w:themeColor="text1"/>
              </w:rPr>
              <w:t>at SCC and the high school teachers to ensure quality instruction of these courses.</w:t>
            </w:r>
          </w:p>
        </w:tc>
      </w:tr>
      <w:tr w:rsidR="001A2E6B" w:rsidRPr="0037786D" w:rsidTr="001A2E6B">
        <w:tc>
          <w:tcPr>
            <w:tcW w:w="3708" w:type="dxa"/>
          </w:tcPr>
          <w:p w:rsidR="00412BCB" w:rsidRPr="00412BCB" w:rsidRDefault="00412BCB" w:rsidP="00412BCB">
            <w:pPr>
              <w:rPr>
                <w:rFonts w:ascii="Arial" w:hAnsi="Arial" w:cs="Arial"/>
              </w:rPr>
            </w:pPr>
            <w:r>
              <w:rPr>
                <w:rFonts w:ascii="Arial" w:hAnsi="Arial" w:cs="Arial"/>
                <w:bCs/>
                <w:color w:val="000000"/>
              </w:rPr>
              <w:t>The department should monitor employment opportunities in Biotechnology carefully to determine whether we are offering the appropriate degree level to meet employment needs – if fewer jobs become available at the associate degree level and more jobs require higher levels of education, it may be appropriate to consider making the Biotechnology degree a transfer degree rather than a career program.</w:t>
            </w:r>
          </w:p>
          <w:p w:rsidR="001A2E6B" w:rsidRPr="00654C15" w:rsidRDefault="001A2E6B" w:rsidP="00D07030">
            <w:pPr>
              <w:pStyle w:val="ListParagraph"/>
              <w:ind w:left="0"/>
              <w:rPr>
                <w:rFonts w:ascii="Arial" w:hAnsi="Arial" w:cs="Arial"/>
                <w:color w:val="000000" w:themeColor="text1"/>
              </w:rPr>
            </w:pPr>
          </w:p>
        </w:tc>
        <w:tc>
          <w:tcPr>
            <w:tcW w:w="2700" w:type="dxa"/>
          </w:tcPr>
          <w:p w:rsidR="001A2E6B" w:rsidRDefault="001A2E6B" w:rsidP="00D07030">
            <w:pPr>
              <w:pStyle w:val="ListParagraph"/>
              <w:ind w:left="0"/>
              <w:rPr>
                <w:rFonts w:ascii="Arial" w:hAnsi="Arial" w:cs="Arial"/>
                <w:color w:val="000000" w:themeColor="text1"/>
              </w:rPr>
            </w:pPr>
          </w:p>
          <w:p w:rsidR="000C4913" w:rsidRDefault="000C4913" w:rsidP="000C4913">
            <w:pPr>
              <w:pStyle w:val="ListParagraph"/>
              <w:ind w:left="0"/>
              <w:rPr>
                <w:rFonts w:ascii="Arial" w:hAnsi="Arial" w:cs="Arial"/>
                <w:color w:val="000000" w:themeColor="text1"/>
              </w:rPr>
            </w:pPr>
            <w:r>
              <w:rPr>
                <w:rFonts w:ascii="Arial" w:hAnsi="Arial" w:cs="Arial"/>
                <w:color w:val="000000" w:themeColor="text1"/>
              </w:rPr>
              <w:t xml:space="preserve">In progress </w:t>
            </w:r>
            <w:r w:rsidR="00A82954">
              <w:fldChar w:fldCharType="begin">
                <w:ffData>
                  <w:name w:val=""/>
                  <w:enabled/>
                  <w:calcOnExit w:val="0"/>
                  <w:checkBox>
                    <w:sizeAuto/>
                    <w:default w:val="1"/>
                  </w:checkBox>
                </w:ffData>
              </w:fldChar>
            </w:r>
            <w:r w:rsidR="00A82954">
              <w:instrText xml:space="preserve"> FORMCHECKBOX </w:instrText>
            </w:r>
            <w:r w:rsidR="006F3240">
              <w:fldChar w:fldCharType="separate"/>
            </w:r>
            <w:r w:rsidR="00A82954">
              <w:fldChar w:fldCharType="end"/>
            </w:r>
          </w:p>
          <w:p w:rsidR="000C4913" w:rsidRDefault="000C4913" w:rsidP="000C4913">
            <w:pPr>
              <w:pStyle w:val="ListParagraph"/>
              <w:ind w:left="0"/>
              <w:rPr>
                <w:rFonts w:ascii="Arial" w:hAnsi="Arial" w:cs="Arial"/>
                <w:color w:val="000000" w:themeColor="text1"/>
              </w:rPr>
            </w:pPr>
          </w:p>
          <w:p w:rsidR="000C4913" w:rsidRDefault="000C4913" w:rsidP="000C4913">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F3240">
              <w:fldChar w:fldCharType="separate"/>
            </w:r>
            <w:r>
              <w:fldChar w:fldCharType="end"/>
            </w:r>
          </w:p>
          <w:p w:rsidR="000C4913" w:rsidRDefault="000C4913" w:rsidP="000C4913">
            <w:pPr>
              <w:pStyle w:val="ListParagraph"/>
              <w:ind w:left="0"/>
              <w:rPr>
                <w:rFonts w:ascii="Arial" w:hAnsi="Arial" w:cs="Arial"/>
                <w:color w:val="000000" w:themeColor="text1"/>
              </w:rPr>
            </w:pPr>
          </w:p>
          <w:p w:rsidR="000C4913" w:rsidRDefault="000C4913" w:rsidP="000C491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F3240">
              <w:fldChar w:fldCharType="separate"/>
            </w:r>
            <w:r>
              <w:fldChar w:fldCharType="end"/>
            </w:r>
          </w:p>
          <w:p w:rsidR="001A2E6B" w:rsidRPr="0037786D" w:rsidRDefault="001A2E6B" w:rsidP="00D07030">
            <w:pPr>
              <w:pStyle w:val="ListParagraph"/>
              <w:ind w:left="0"/>
              <w:rPr>
                <w:rFonts w:ascii="Arial" w:hAnsi="Arial" w:cs="Arial"/>
                <w:color w:val="000000" w:themeColor="text1"/>
              </w:rPr>
            </w:pPr>
          </w:p>
        </w:tc>
        <w:tc>
          <w:tcPr>
            <w:tcW w:w="6480" w:type="dxa"/>
          </w:tcPr>
          <w:p w:rsidR="001A2E6B" w:rsidRDefault="00B44CEE" w:rsidP="0014633F">
            <w:pPr>
              <w:rPr>
                <w:rFonts w:ascii="Arial" w:hAnsi="Arial" w:cs="Arial"/>
                <w:color w:val="000000" w:themeColor="text1"/>
              </w:rPr>
            </w:pPr>
            <w:r w:rsidRPr="00B44CEE">
              <w:rPr>
                <w:rFonts w:ascii="Arial" w:hAnsi="Arial" w:cs="Arial"/>
              </w:rPr>
              <w:t>As stat</w:t>
            </w:r>
            <w:r>
              <w:rPr>
                <w:rFonts w:ascii="Arial" w:hAnsi="Arial" w:cs="Arial"/>
              </w:rPr>
              <w:t xml:space="preserve">ed earlier in </w:t>
            </w:r>
            <w:r w:rsidRPr="00B44CEE">
              <w:rPr>
                <w:rFonts w:ascii="Arial" w:hAnsi="Arial" w:cs="Arial"/>
              </w:rPr>
              <w:t xml:space="preserve">this update, </w:t>
            </w:r>
            <w:r w:rsidRPr="00B44CEE">
              <w:rPr>
                <w:rFonts w:ascii="Arial" w:hAnsi="Arial" w:cs="Arial"/>
                <w:color w:val="000000" w:themeColor="text1"/>
              </w:rPr>
              <w:t xml:space="preserve">the department continues to monitor the employment demands within the biotechnology industry by maintaining productive relationships with our Advisory Board members and reviewing employment data provided by </w:t>
            </w:r>
            <w:r>
              <w:rPr>
                <w:rFonts w:ascii="Arial" w:hAnsi="Arial" w:cs="Arial"/>
                <w:color w:val="000000" w:themeColor="text1"/>
              </w:rPr>
              <w:t xml:space="preserve">BioOhio. </w:t>
            </w:r>
            <w:r w:rsidR="00AD1FE2">
              <w:rPr>
                <w:rFonts w:ascii="Arial" w:hAnsi="Arial" w:cs="Arial"/>
                <w:color w:val="000000" w:themeColor="text1"/>
              </w:rPr>
              <w:t xml:space="preserve">We meet with our Advisory Board twice a year and have recently included new members from bioscience industries in the Southwest region of Ohio.  </w:t>
            </w:r>
            <w:r w:rsidR="001768ED">
              <w:rPr>
                <w:rFonts w:ascii="Arial" w:hAnsi="Arial" w:cs="Arial"/>
                <w:color w:val="000000" w:themeColor="text1"/>
              </w:rPr>
              <w:t xml:space="preserve">We also collect information in regards to employment opportunities by maintaining communication with graduates of the BTN program.  This is accomplished by phone calls, emails, and entries in the BTN Facebook page.  Graduates working in the biotech industry will often post job openings from their place of employment on the BTN Facebook page.  Current students network with recent graduates also using Facebook.  </w:t>
            </w:r>
            <w:r w:rsidR="0014633F">
              <w:rPr>
                <w:rFonts w:ascii="Arial" w:hAnsi="Arial" w:cs="Arial"/>
                <w:color w:val="000000" w:themeColor="text1"/>
              </w:rPr>
              <w:t>In addition, we have an articulation agreement with Wright State University to allow students graduating from our BTN.S.AAS degree to get credit towards a B.S. in Biology from WSU.</w:t>
            </w:r>
          </w:p>
          <w:p w:rsidR="00414694" w:rsidRDefault="00414694" w:rsidP="0014633F">
            <w:pPr>
              <w:rPr>
                <w:rFonts w:ascii="Arial" w:hAnsi="Arial" w:cs="Arial"/>
                <w:color w:val="000000" w:themeColor="text1"/>
              </w:rPr>
            </w:pPr>
          </w:p>
          <w:p w:rsidR="00414694" w:rsidRPr="00B44CEE" w:rsidRDefault="00414694" w:rsidP="0014633F">
            <w:pPr>
              <w:rPr>
                <w:rFonts w:ascii="Arial" w:hAnsi="Arial" w:cs="Arial"/>
              </w:rPr>
            </w:pPr>
            <w:r>
              <w:rPr>
                <w:rFonts w:ascii="Arial" w:hAnsi="Arial" w:cs="Arial"/>
                <w:color w:val="000000" w:themeColor="text1"/>
              </w:rPr>
              <w:t xml:space="preserve">We are also working with Chad Bridgman, Internship Coordinator at SCC, to offer more internship opportunities to our BTN students.  </w:t>
            </w:r>
          </w:p>
        </w:tc>
      </w:tr>
    </w:tbl>
    <w:p w:rsidR="006E1338" w:rsidRDefault="006E1338" w:rsidP="00262E6F">
      <w:pPr>
        <w:rPr>
          <w:rFonts w:ascii="Arial" w:hAnsi="Arial" w:cs="Arial"/>
          <w:b/>
          <w:color w:val="000000" w:themeColor="text1"/>
          <w:sz w:val="20"/>
          <w:szCs w:val="20"/>
          <w:u w:val="single"/>
        </w:rPr>
      </w:pPr>
    </w:p>
    <w:p w:rsidR="006E1338" w:rsidRDefault="006E1338" w:rsidP="00262E6F">
      <w:pPr>
        <w:rPr>
          <w:rFonts w:ascii="Arial" w:hAnsi="Arial" w:cs="Arial"/>
          <w:b/>
          <w:color w:val="000000" w:themeColor="text1"/>
          <w:sz w:val="20"/>
          <w:szCs w:val="20"/>
          <w:u w:val="single"/>
        </w:rPr>
      </w:pPr>
    </w:p>
    <w:p w:rsidR="006E1338" w:rsidRDefault="006E1338" w:rsidP="00262E6F">
      <w:pPr>
        <w:rPr>
          <w:rFonts w:ascii="Arial" w:hAnsi="Arial" w:cs="Arial"/>
          <w:b/>
          <w:color w:val="000000" w:themeColor="text1"/>
          <w:sz w:val="20"/>
          <w:szCs w:val="20"/>
          <w:u w:val="single"/>
        </w:rPr>
      </w:pPr>
    </w:p>
    <w:p w:rsidR="006E1338" w:rsidRDefault="006E1338">
      <w:pPr>
        <w:spacing w:after="200" w:line="276" w:lineRule="auto"/>
        <w:rPr>
          <w:rFonts w:ascii="Arial" w:hAnsi="Arial" w:cs="Arial"/>
          <w:b/>
          <w:color w:val="000000" w:themeColor="text1"/>
          <w:sz w:val="20"/>
          <w:szCs w:val="20"/>
          <w:u w:val="single"/>
        </w:rPr>
      </w:pPr>
      <w:r>
        <w:rPr>
          <w:rFonts w:ascii="Arial" w:hAnsi="Arial" w:cs="Arial"/>
          <w:b/>
          <w:color w:val="000000" w:themeColor="text1"/>
          <w:sz w:val="20"/>
          <w:szCs w:val="20"/>
          <w:u w:val="single"/>
        </w:rPr>
        <w:br w:type="page"/>
      </w:r>
    </w:p>
    <w:tbl>
      <w:tblPr>
        <w:tblStyle w:val="TableGrid"/>
        <w:tblpPr w:leftFromText="180" w:rightFromText="180" w:vertAnchor="page" w:horzAnchor="margin" w:tblpY="916"/>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6E1338" w:rsidTr="006E1338">
        <w:trPr>
          <w:trHeight w:val="440"/>
        </w:trPr>
        <w:tc>
          <w:tcPr>
            <w:tcW w:w="13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6E1338" w:rsidRDefault="006E1338" w:rsidP="006E1338">
            <w:r>
              <w:t>Please respond to the following items regarding external program accreditation.</w:t>
            </w:r>
          </w:p>
          <w:p w:rsidR="006E1338" w:rsidRDefault="006E1338" w:rsidP="006E1338">
            <w:pPr>
              <w:pStyle w:val="ListParagraph"/>
              <w:ind w:left="0"/>
              <w:rPr>
                <w:rFonts w:ascii="Arial" w:hAnsi="Arial" w:cs="Arial"/>
                <w:color w:val="000000" w:themeColor="text1"/>
              </w:rPr>
            </w:pPr>
          </w:p>
        </w:tc>
      </w:tr>
      <w:tr w:rsidR="006E1338" w:rsidTr="006E1338">
        <w:trPr>
          <w:trHeight w:val="1520"/>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6E1338" w:rsidRDefault="006E1338" w:rsidP="006E1338">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E1338" w:rsidRDefault="006E1338" w:rsidP="006E1338">
            <w:pPr>
              <w:pStyle w:val="ListParagraph"/>
              <w:ind w:left="0"/>
              <w:rPr>
                <w:rFonts w:ascii="Arial" w:hAnsi="Arial" w:cs="Arial"/>
                <w:color w:val="000000" w:themeColor="text1"/>
              </w:rPr>
            </w:pPr>
            <w:r>
              <w:rPr>
                <w:rFonts w:ascii="Arial" w:hAnsi="Arial" w:cs="Arial"/>
                <w:color w:val="000000" w:themeColor="text1"/>
              </w:rPr>
              <w:t>Date of most recent accreditation review:  _____________</w:t>
            </w:r>
          </w:p>
          <w:p w:rsidR="006E1338" w:rsidRDefault="006E1338" w:rsidP="006E1338">
            <w:pPr>
              <w:pStyle w:val="ListParagraph"/>
              <w:ind w:left="0"/>
              <w:rPr>
                <w:rFonts w:ascii="Arial" w:hAnsi="Arial" w:cs="Arial"/>
                <w:color w:val="000000" w:themeColor="text1"/>
              </w:rPr>
            </w:pPr>
          </w:p>
          <w:p w:rsidR="006E1338" w:rsidRDefault="006E1338" w:rsidP="006E1338">
            <w:pPr>
              <w:pStyle w:val="ListParagraph"/>
              <w:ind w:left="0"/>
              <w:rPr>
                <w:rFonts w:ascii="Arial" w:hAnsi="Arial" w:cs="Arial"/>
                <w:b/>
                <w:color w:val="000000" w:themeColor="text1"/>
              </w:rPr>
            </w:pPr>
            <w:r>
              <w:rPr>
                <w:rFonts w:ascii="Arial" w:hAnsi="Arial" w:cs="Arial"/>
                <w:b/>
                <w:color w:val="000000" w:themeColor="text1"/>
              </w:rPr>
              <w:t>OR</w:t>
            </w:r>
          </w:p>
          <w:p w:rsidR="006E1338" w:rsidRDefault="006E1338" w:rsidP="006E1338">
            <w:pPr>
              <w:pStyle w:val="ListParagraph"/>
              <w:ind w:left="0"/>
              <w:rPr>
                <w:rFonts w:ascii="Arial" w:hAnsi="Arial" w:cs="Arial"/>
                <w:color w:val="000000" w:themeColor="text1"/>
              </w:rPr>
            </w:pPr>
          </w:p>
          <w:p w:rsidR="006E1338" w:rsidRDefault="00BA51C6" w:rsidP="006E1338">
            <w:pPr>
              <w:pStyle w:val="ListParagraph"/>
              <w:ind w:left="0"/>
              <w:rPr>
                <w:rFonts w:ascii="Arial" w:hAnsi="Arial" w:cs="Arial"/>
                <w:color w:val="000000" w:themeColor="text1"/>
              </w:rPr>
            </w:pPr>
            <w:r>
              <w:fldChar w:fldCharType="begin">
                <w:ffData>
                  <w:name w:val=""/>
                  <w:enabled/>
                  <w:calcOnExit w:val="0"/>
                  <w:checkBox>
                    <w:sizeAuto/>
                    <w:default w:val="1"/>
                  </w:checkBox>
                </w:ffData>
              </w:fldChar>
            </w:r>
            <w:r>
              <w:instrText xml:space="preserve"> FORMCHECKBOX </w:instrText>
            </w:r>
            <w:r w:rsidR="006F3240">
              <w:fldChar w:fldCharType="separate"/>
            </w:r>
            <w:r>
              <w:fldChar w:fldCharType="end"/>
            </w:r>
            <w:r w:rsidR="006E1338">
              <w:t xml:space="preserve">   </w:t>
            </w:r>
            <w:r w:rsidR="006E1338">
              <w:rPr>
                <w:rFonts w:ascii="Arial" w:hAnsi="Arial" w:cs="Arial"/>
                <w:color w:val="000000" w:themeColor="text1"/>
              </w:rPr>
              <w:t xml:space="preserve">Programs in this department do not have external accreditation </w:t>
            </w:r>
          </w:p>
        </w:tc>
      </w:tr>
      <w:tr w:rsidR="006E1338" w:rsidTr="006E1338">
        <w:trPr>
          <w:trHeight w:val="72"/>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6E1338" w:rsidRDefault="006E1338" w:rsidP="006E1338">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E1338" w:rsidRDefault="006E1338" w:rsidP="006E1338">
            <w:pPr>
              <w:rPr>
                <w:rFonts w:asciiTheme="minorHAnsi" w:hAnsiTheme="minorHAnsi" w:cs="Arial"/>
                <w:color w:val="000000" w:themeColor="text1"/>
                <w:sz w:val="20"/>
              </w:rPr>
            </w:pPr>
          </w:p>
        </w:tc>
      </w:tr>
      <w:tr w:rsidR="006E1338" w:rsidTr="006E1338">
        <w:trPr>
          <w:trHeight w:val="72"/>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6E1338" w:rsidRDefault="006E1338" w:rsidP="006E1338">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E1338" w:rsidRDefault="006E1338" w:rsidP="006E1338">
            <w:pPr>
              <w:rPr>
                <w:rFonts w:asciiTheme="minorHAnsi" w:hAnsiTheme="minorHAnsi" w:cs="Arial"/>
                <w:color w:val="000000" w:themeColor="text1"/>
                <w:sz w:val="20"/>
              </w:rPr>
            </w:pPr>
          </w:p>
        </w:tc>
      </w:tr>
    </w:tbl>
    <w:p w:rsidR="006E1338" w:rsidRDefault="006E1338" w:rsidP="00262E6F">
      <w:pPr>
        <w:rPr>
          <w:rFonts w:ascii="Arial" w:hAnsi="Arial" w:cs="Arial"/>
          <w:b/>
          <w:color w:val="000000" w:themeColor="text1"/>
          <w:sz w:val="20"/>
          <w:szCs w:val="20"/>
          <w:u w:val="single"/>
        </w:rPr>
      </w:pPr>
    </w:p>
    <w:p w:rsidR="006E1338" w:rsidRDefault="006E1338" w:rsidP="00262E6F">
      <w:pPr>
        <w:rPr>
          <w:rFonts w:ascii="Arial" w:hAnsi="Arial" w:cs="Arial"/>
          <w:b/>
          <w:color w:val="000000" w:themeColor="text1"/>
          <w:sz w:val="20"/>
          <w:szCs w:val="20"/>
          <w:u w:val="single"/>
        </w:rPr>
      </w:pPr>
    </w:p>
    <w:p w:rsidR="006E1338" w:rsidRDefault="006E1338" w:rsidP="00262E6F">
      <w:pPr>
        <w:rPr>
          <w:rFonts w:ascii="Arial" w:hAnsi="Arial" w:cs="Arial"/>
          <w:b/>
          <w:color w:val="000000" w:themeColor="text1"/>
          <w:sz w:val="20"/>
          <w:szCs w:val="20"/>
          <w:u w:val="single"/>
        </w:rPr>
      </w:pPr>
    </w:p>
    <w:p w:rsidR="006E1338" w:rsidRDefault="006E1338" w:rsidP="00262E6F">
      <w:pPr>
        <w:rPr>
          <w:rFonts w:ascii="Arial" w:hAnsi="Arial" w:cs="Arial"/>
          <w:b/>
          <w:color w:val="000000" w:themeColor="text1"/>
          <w:sz w:val="20"/>
          <w:szCs w:val="20"/>
          <w:u w:val="single"/>
        </w:rPr>
      </w:pPr>
    </w:p>
    <w:p w:rsidR="004150D8" w:rsidRDefault="004150D8" w:rsidP="004150D8">
      <w:pPr>
        <w:rPr>
          <w:rFonts w:ascii="Arial" w:hAnsi="Arial" w:cs="Arial"/>
          <w:b/>
          <w:color w:val="000000"/>
          <w:sz w:val="20"/>
          <w:szCs w:val="20"/>
          <w:u w:val="single"/>
        </w:rPr>
      </w:pPr>
      <w:r>
        <w:rPr>
          <w:rFonts w:ascii="Arial" w:hAnsi="Arial" w:cs="Arial"/>
          <w:b/>
          <w:color w:val="000000"/>
          <w:sz w:val="20"/>
          <w:szCs w:val="20"/>
          <w:u w:val="single"/>
        </w:rPr>
        <w:t>Section III: Assessment of General Education &amp; Degree Program Outcomes</w:t>
      </w:r>
    </w:p>
    <w:p w:rsidR="004150D8" w:rsidRDefault="004150D8" w:rsidP="004150D8">
      <w:pPr>
        <w:rPr>
          <w:rFonts w:ascii="Arial" w:hAnsi="Arial" w:cs="Arial"/>
          <w:color w:val="000000"/>
          <w:sz w:val="20"/>
          <w:szCs w:val="20"/>
        </w:rPr>
      </w:pPr>
    </w:p>
    <w:p w:rsidR="004150D8" w:rsidRDefault="004150D8" w:rsidP="004150D8">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4150D8" w:rsidRDefault="004150D8" w:rsidP="004150D8">
      <w:pPr>
        <w:rPr>
          <w:rFonts w:ascii="Arial" w:hAnsi="Arial" w:cs="Arial"/>
          <w:color w:val="000000"/>
          <w:sz w:val="20"/>
          <w:szCs w:val="20"/>
        </w:rPr>
      </w:pPr>
    </w:p>
    <w:p w:rsidR="004150D8" w:rsidRDefault="004150D8" w:rsidP="004150D8">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4150D8" w:rsidRDefault="004150D8" w:rsidP="004150D8">
      <w:pPr>
        <w:rPr>
          <w:rFonts w:ascii="Arial" w:hAnsi="Arial" w:cs="Arial"/>
          <w:b/>
          <w:color w:val="FF0000"/>
          <w:sz w:val="20"/>
          <w:szCs w:val="20"/>
        </w:rPr>
      </w:pPr>
    </w:p>
    <w:p w:rsidR="004150D8" w:rsidRDefault="004150D8" w:rsidP="004150D8">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4150D8" w:rsidRDefault="004150D8" w:rsidP="004150D8">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4150D8" w:rsidRDefault="004150D8" w:rsidP="004150D8">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COMPUTER LITERACY </w:t>
      </w:r>
    </w:p>
    <w:p w:rsidR="004150D8" w:rsidRDefault="004150D8" w:rsidP="004150D8">
      <w:pPr>
        <w:rPr>
          <w:rFonts w:ascii="Arial" w:hAnsi="Arial" w:cs="Arial"/>
          <w:b/>
          <w:color w:val="FF0000"/>
          <w:sz w:val="20"/>
          <w:szCs w:val="20"/>
        </w:rPr>
      </w:pPr>
    </w:p>
    <w:p w:rsidR="004150D8" w:rsidRDefault="004150D8" w:rsidP="004150D8">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4150D8" w:rsidRDefault="004150D8" w:rsidP="004150D8">
      <w:pPr>
        <w:rPr>
          <w:rFonts w:ascii="Arial" w:hAnsi="Arial" w:cs="Arial"/>
          <w:b/>
          <w:color w:val="FF0000"/>
          <w:sz w:val="20"/>
          <w:szCs w:val="20"/>
        </w:rPr>
      </w:pPr>
    </w:p>
    <w:p w:rsidR="004150D8" w:rsidRDefault="004150D8" w:rsidP="004150D8">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4150D8" w:rsidRDefault="004150D8" w:rsidP="004150D8">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33"/>
        <w:gridCol w:w="4040"/>
      </w:tblGrid>
      <w:tr w:rsidR="004150D8" w:rsidTr="002C40C9">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50D8" w:rsidRDefault="004150D8" w:rsidP="00562F28">
            <w:pPr>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4150D8" w:rsidRDefault="004150D8" w:rsidP="00562F28">
            <w:pPr>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4150D8" w:rsidRDefault="004150D8" w:rsidP="00562F28">
            <w:pPr>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4150D8" w:rsidRDefault="004150D8" w:rsidP="00562F28">
            <w:pPr>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4150D8" w:rsidRDefault="004150D8" w:rsidP="00562F28">
            <w:pPr>
              <w:jc w:val="center"/>
              <w:rPr>
                <w:rFonts w:ascii="Calibri" w:hAnsi="Calibri" w:cs="Arial"/>
                <w:color w:val="000000"/>
                <w:sz w:val="20"/>
              </w:rPr>
            </w:pPr>
          </w:p>
        </w:tc>
        <w:tc>
          <w:tcPr>
            <w:tcW w:w="4040" w:type="dxa"/>
            <w:tcBorders>
              <w:top w:val="single" w:sz="4" w:space="0" w:color="000000"/>
              <w:left w:val="single" w:sz="4" w:space="0" w:color="000000"/>
              <w:bottom w:val="single" w:sz="4" w:space="0" w:color="000000"/>
              <w:right w:val="single" w:sz="4" w:space="0" w:color="000000"/>
            </w:tcBorders>
            <w:shd w:val="clear" w:color="auto" w:fill="auto"/>
            <w:hideMark/>
          </w:tcPr>
          <w:p w:rsidR="004150D8" w:rsidRDefault="004150D8" w:rsidP="00562F28">
            <w:pPr>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4150D8" w:rsidRDefault="004150D8" w:rsidP="00562F28">
            <w:pPr>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4150D8" w:rsidRDefault="004150D8" w:rsidP="00562F28">
            <w:pPr>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4150D8" w:rsidTr="002C40C9">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50D8" w:rsidRDefault="004150D8" w:rsidP="00562F28">
            <w:pPr>
              <w:tabs>
                <w:tab w:val="left" w:pos="5040"/>
              </w:tabs>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4150D8" w:rsidRDefault="004150D8" w:rsidP="00562F28">
            <w:pPr>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4150D8" w:rsidRDefault="004150D8" w:rsidP="00562F28">
            <w:pPr>
              <w:jc w:val="center"/>
              <w:rPr>
                <w:rFonts w:ascii="Calibri" w:hAnsi="Calibri" w:cs="Arial"/>
                <w:b/>
                <w:color w:val="000000"/>
              </w:rPr>
            </w:pPr>
            <w:r>
              <w:rPr>
                <w:rFonts w:ascii="Calibri" w:hAnsi="Calibri" w:cs="Arial"/>
                <w:b/>
                <w:color w:val="000000"/>
              </w:rPr>
              <w:t>2014-2015</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FB153A" w:rsidRDefault="00FB153A" w:rsidP="00562F28">
            <w:pPr>
              <w:ind w:left="72"/>
              <w:rPr>
                <w:rFonts w:ascii="Calibri" w:hAnsi="Calibri" w:cs="Arial"/>
                <w:color w:val="000000"/>
              </w:rPr>
            </w:pPr>
            <w:r>
              <w:rPr>
                <w:rFonts w:ascii="Calibri" w:hAnsi="Calibri" w:cs="Arial"/>
                <w:color w:val="000000"/>
              </w:rPr>
              <w:t>BIO 2235 Genetics</w:t>
            </w:r>
          </w:p>
          <w:p w:rsidR="00FB153A" w:rsidRDefault="00FF01A3" w:rsidP="002C40C9">
            <w:pPr>
              <w:ind w:left="72"/>
              <w:rPr>
                <w:rFonts w:ascii="Calibri" w:hAnsi="Calibri" w:cs="Arial"/>
                <w:color w:val="000000"/>
              </w:rPr>
            </w:pPr>
            <w:r>
              <w:rPr>
                <w:rFonts w:ascii="Calibri" w:hAnsi="Calibri" w:cs="Arial"/>
                <w:color w:val="000000"/>
              </w:rPr>
              <w:t xml:space="preserve">BTN 1110 </w:t>
            </w:r>
            <w:r w:rsidR="002C40C9">
              <w:rPr>
                <w:rFonts w:ascii="Calibri" w:hAnsi="Calibri" w:cs="Arial"/>
                <w:color w:val="000000"/>
              </w:rPr>
              <w:t>B</w:t>
            </w:r>
            <w:r>
              <w:rPr>
                <w:rFonts w:ascii="Calibri" w:hAnsi="Calibri" w:cs="Arial"/>
                <w:color w:val="000000"/>
              </w:rPr>
              <w:t>iotechnology</w:t>
            </w:r>
            <w:r w:rsidR="002C40C9">
              <w:rPr>
                <w:rFonts w:ascii="Calibri" w:hAnsi="Calibri" w:cs="Arial"/>
                <w:color w:val="000000"/>
              </w:rPr>
              <w:t xml:space="preserve"> and Bioethics</w:t>
            </w:r>
          </w:p>
        </w:tc>
        <w:tc>
          <w:tcPr>
            <w:tcW w:w="4040" w:type="dxa"/>
            <w:tcBorders>
              <w:top w:val="single" w:sz="4" w:space="0" w:color="000000"/>
              <w:left w:val="single" w:sz="4" w:space="0" w:color="000000"/>
              <w:bottom w:val="single" w:sz="4" w:space="0" w:color="000000"/>
              <w:right w:val="single" w:sz="4" w:space="0" w:color="000000"/>
            </w:tcBorders>
            <w:shd w:val="clear" w:color="auto" w:fill="auto"/>
          </w:tcPr>
          <w:p w:rsidR="004150D8" w:rsidRDefault="004150D8" w:rsidP="00562F28">
            <w:pPr>
              <w:ind w:left="72"/>
              <w:rPr>
                <w:rFonts w:ascii="Calibri" w:hAnsi="Calibri" w:cs="Arial"/>
                <w:color w:val="000000"/>
              </w:rPr>
            </w:pPr>
          </w:p>
        </w:tc>
      </w:tr>
      <w:tr w:rsidR="004150D8" w:rsidTr="002C40C9">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50D8" w:rsidRDefault="004150D8" w:rsidP="00562F28">
            <w:pPr>
              <w:tabs>
                <w:tab w:val="left" w:pos="5040"/>
              </w:tabs>
              <w:rPr>
                <w:rFonts w:ascii="Calibri" w:hAnsi="Calibri" w:cs="Arial"/>
              </w:rPr>
            </w:pPr>
            <w:r>
              <w:rPr>
                <w:rFonts w:ascii="Calibri" w:hAnsi="Calibri" w:cs="Arial"/>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4150D8" w:rsidRDefault="004150D8" w:rsidP="00562F28">
            <w:pPr>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4150D8" w:rsidRDefault="004150D8" w:rsidP="00562F28">
            <w:pPr>
              <w:jc w:val="center"/>
              <w:rPr>
                <w:rFonts w:ascii="Calibri" w:hAnsi="Calibri" w:cs="Arial"/>
                <w:b/>
                <w:color w:val="000000"/>
              </w:rPr>
            </w:pPr>
            <w:r>
              <w:rPr>
                <w:rFonts w:ascii="Calibri" w:hAnsi="Calibri" w:cs="Arial"/>
                <w:b/>
                <w:color w:val="000000"/>
              </w:rPr>
              <w:t>2014-2015</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4150D8" w:rsidRDefault="007C3F9E" w:rsidP="00562F28">
            <w:pPr>
              <w:ind w:left="72"/>
              <w:rPr>
                <w:rFonts w:ascii="Calibri" w:hAnsi="Calibri" w:cs="Arial"/>
                <w:color w:val="000000"/>
              </w:rPr>
            </w:pPr>
            <w:r>
              <w:rPr>
                <w:rFonts w:ascii="Calibri" w:hAnsi="Calibri" w:cs="Arial"/>
                <w:color w:val="000000"/>
              </w:rPr>
              <w:t>BIO 2235 Genetics</w:t>
            </w:r>
          </w:p>
          <w:p w:rsidR="00FF01A3" w:rsidRDefault="002C40C9" w:rsidP="00562F28">
            <w:pPr>
              <w:ind w:left="72"/>
              <w:rPr>
                <w:rFonts w:ascii="Calibri" w:hAnsi="Calibri" w:cs="Arial"/>
                <w:color w:val="000000"/>
              </w:rPr>
            </w:pPr>
            <w:r>
              <w:rPr>
                <w:rFonts w:ascii="Calibri" w:hAnsi="Calibri" w:cs="Arial"/>
                <w:color w:val="000000"/>
              </w:rPr>
              <w:t>BTN 1110 Biotechnology and Bioethics</w:t>
            </w:r>
          </w:p>
        </w:tc>
        <w:tc>
          <w:tcPr>
            <w:tcW w:w="4040" w:type="dxa"/>
            <w:tcBorders>
              <w:top w:val="single" w:sz="4" w:space="0" w:color="000000"/>
              <w:left w:val="single" w:sz="4" w:space="0" w:color="000000"/>
              <w:bottom w:val="single" w:sz="4" w:space="0" w:color="000000"/>
              <w:right w:val="single" w:sz="4" w:space="0" w:color="000000"/>
            </w:tcBorders>
            <w:shd w:val="clear" w:color="auto" w:fill="auto"/>
          </w:tcPr>
          <w:p w:rsidR="004150D8" w:rsidRDefault="004150D8" w:rsidP="00562F28">
            <w:pPr>
              <w:ind w:left="72"/>
              <w:rPr>
                <w:rFonts w:ascii="Calibri" w:hAnsi="Calibri" w:cs="Arial"/>
                <w:color w:val="000000"/>
              </w:rPr>
            </w:pPr>
          </w:p>
        </w:tc>
      </w:tr>
      <w:tr w:rsidR="004150D8" w:rsidTr="002C40C9">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50D8" w:rsidRDefault="004150D8" w:rsidP="00562F28">
            <w:pPr>
              <w:tabs>
                <w:tab w:val="left" w:pos="5040"/>
              </w:tabs>
              <w:rPr>
                <w:rFonts w:ascii="Calibri" w:hAnsi="Calibri" w:cs="Arial"/>
                <w:color w:val="000000"/>
              </w:rPr>
            </w:pPr>
            <w:r>
              <w:rPr>
                <w:rFonts w:ascii="Calibri" w:hAnsi="Calibri" w:cs="Arial"/>
                <w:color w:val="00000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4150D8" w:rsidRDefault="004150D8" w:rsidP="00562F28">
            <w:pPr>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4150D8" w:rsidRDefault="004150D8" w:rsidP="00562F28">
            <w:pPr>
              <w:jc w:val="center"/>
              <w:rPr>
                <w:rFonts w:ascii="Calibri" w:hAnsi="Calibri" w:cs="Arial"/>
                <w:b/>
                <w:color w:val="000000"/>
              </w:rPr>
            </w:pPr>
            <w:r>
              <w:rPr>
                <w:rFonts w:ascii="Calibri" w:hAnsi="Calibri" w:cs="Arial"/>
                <w:b/>
                <w:color w:val="000000"/>
              </w:rPr>
              <w:t>2014-2015</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4150D8" w:rsidRDefault="007C3F9E" w:rsidP="00562F28">
            <w:pPr>
              <w:ind w:left="72"/>
              <w:rPr>
                <w:rFonts w:ascii="Calibri" w:hAnsi="Calibri" w:cs="Arial"/>
                <w:color w:val="000000"/>
              </w:rPr>
            </w:pPr>
            <w:r>
              <w:rPr>
                <w:rFonts w:ascii="Calibri" w:hAnsi="Calibri" w:cs="Arial"/>
                <w:color w:val="000000"/>
              </w:rPr>
              <w:t>BIO 2235 Genetics</w:t>
            </w:r>
          </w:p>
          <w:p w:rsidR="00FF01A3" w:rsidRDefault="002C40C9" w:rsidP="00562F28">
            <w:pPr>
              <w:ind w:left="72"/>
              <w:rPr>
                <w:rFonts w:ascii="Calibri" w:hAnsi="Calibri" w:cs="Arial"/>
                <w:color w:val="000000"/>
              </w:rPr>
            </w:pPr>
            <w:r>
              <w:rPr>
                <w:rFonts w:ascii="Calibri" w:hAnsi="Calibri" w:cs="Arial"/>
                <w:color w:val="000000"/>
              </w:rPr>
              <w:t>BTN 1110 Biotechnology and Bioethics</w:t>
            </w:r>
          </w:p>
        </w:tc>
        <w:tc>
          <w:tcPr>
            <w:tcW w:w="4040" w:type="dxa"/>
            <w:tcBorders>
              <w:top w:val="single" w:sz="4" w:space="0" w:color="000000"/>
              <w:left w:val="single" w:sz="4" w:space="0" w:color="000000"/>
              <w:bottom w:val="single" w:sz="4" w:space="0" w:color="000000"/>
              <w:right w:val="single" w:sz="4" w:space="0" w:color="000000"/>
            </w:tcBorders>
            <w:shd w:val="clear" w:color="auto" w:fill="auto"/>
          </w:tcPr>
          <w:p w:rsidR="004150D8" w:rsidRDefault="004150D8" w:rsidP="00562F28">
            <w:pPr>
              <w:ind w:left="72"/>
              <w:rPr>
                <w:rFonts w:ascii="Calibri" w:hAnsi="Calibri" w:cs="Arial"/>
                <w:color w:val="000000"/>
              </w:rPr>
            </w:pPr>
          </w:p>
        </w:tc>
      </w:tr>
      <w:tr w:rsidR="004150D8" w:rsidTr="002C40C9">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4150D8" w:rsidRDefault="004150D8" w:rsidP="00562F28">
            <w:pPr>
              <w:tabs>
                <w:tab w:val="left" w:pos="5040"/>
              </w:tabs>
              <w:rPr>
                <w:rFonts w:ascii="Calibri" w:hAnsi="Calibri" w:cs="Arial"/>
                <w:color w:val="FFFFFF"/>
              </w:rPr>
            </w:pPr>
            <w:r>
              <w:rPr>
                <w:rFonts w:ascii="Calibri" w:hAnsi="Calibri" w:cs="Arial"/>
                <w:color w:val="FFFFFF"/>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4150D8" w:rsidRDefault="004150D8" w:rsidP="00562F28">
            <w:pPr>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4150D8" w:rsidRDefault="004150D8" w:rsidP="00562F28">
            <w:pPr>
              <w:jc w:val="center"/>
              <w:rPr>
                <w:rFonts w:ascii="Calibri" w:hAnsi="Calibri" w:cs="Arial"/>
                <w:b/>
                <w:color w:val="FFFFFF"/>
              </w:rPr>
            </w:pPr>
            <w:r>
              <w:rPr>
                <w:rFonts w:ascii="Calibri" w:hAnsi="Calibri" w:cs="Arial"/>
                <w:b/>
                <w:color w:val="FFFFFF"/>
              </w:rPr>
              <w:t>2015-2016</w:t>
            </w:r>
          </w:p>
        </w:tc>
        <w:tc>
          <w:tcPr>
            <w:tcW w:w="2233" w:type="dxa"/>
            <w:tcBorders>
              <w:top w:val="single" w:sz="4" w:space="0" w:color="000000"/>
              <w:left w:val="single" w:sz="4" w:space="0" w:color="000000"/>
              <w:bottom w:val="single" w:sz="4" w:space="0" w:color="000000"/>
              <w:right w:val="single" w:sz="4" w:space="0" w:color="000000"/>
            </w:tcBorders>
            <w:shd w:val="clear" w:color="auto" w:fill="000000"/>
            <w:hideMark/>
          </w:tcPr>
          <w:p w:rsidR="004150D8" w:rsidRDefault="004150D8" w:rsidP="00562F28">
            <w:pPr>
              <w:ind w:left="72"/>
              <w:rPr>
                <w:rFonts w:ascii="Calibri" w:hAnsi="Calibri" w:cs="Arial"/>
                <w:color w:val="FFFFFF"/>
              </w:rPr>
            </w:pPr>
            <w:r>
              <w:rPr>
                <w:rFonts w:ascii="Calibri" w:hAnsi="Calibri" w:cs="Arial"/>
                <w:color w:val="FFFFFF"/>
              </w:rPr>
              <w:t>Due in FY 2015-16</w:t>
            </w:r>
          </w:p>
        </w:tc>
        <w:tc>
          <w:tcPr>
            <w:tcW w:w="4040" w:type="dxa"/>
            <w:tcBorders>
              <w:top w:val="single" w:sz="4" w:space="0" w:color="000000"/>
              <w:left w:val="single" w:sz="4" w:space="0" w:color="000000"/>
              <w:bottom w:val="single" w:sz="4" w:space="0" w:color="000000"/>
              <w:right w:val="single" w:sz="4" w:space="0" w:color="000000"/>
            </w:tcBorders>
            <w:shd w:val="clear" w:color="auto" w:fill="000000"/>
          </w:tcPr>
          <w:p w:rsidR="004150D8" w:rsidRDefault="004150D8" w:rsidP="00562F28">
            <w:pPr>
              <w:ind w:left="72"/>
              <w:rPr>
                <w:rFonts w:ascii="Calibri" w:hAnsi="Calibri" w:cs="Arial"/>
                <w:color w:val="FFFFFF"/>
              </w:rPr>
            </w:pPr>
          </w:p>
        </w:tc>
      </w:tr>
      <w:tr w:rsidR="004150D8" w:rsidTr="002C40C9">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4150D8" w:rsidRDefault="004150D8" w:rsidP="00562F28">
            <w:pPr>
              <w:tabs>
                <w:tab w:val="left" w:pos="5040"/>
              </w:tabs>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4150D8" w:rsidRDefault="004150D8" w:rsidP="00562F28">
            <w:pPr>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4150D8" w:rsidRDefault="004150D8" w:rsidP="00562F28">
            <w:pPr>
              <w:jc w:val="center"/>
              <w:rPr>
                <w:rFonts w:ascii="Calibri" w:hAnsi="Calibri" w:cs="Arial"/>
                <w:b/>
                <w:color w:val="FFFFFF"/>
              </w:rPr>
            </w:pPr>
            <w:r>
              <w:rPr>
                <w:rFonts w:ascii="Calibri" w:hAnsi="Calibri" w:cs="Arial"/>
                <w:b/>
                <w:color w:val="FFFFFF"/>
              </w:rPr>
              <w:t>N/A</w:t>
            </w:r>
          </w:p>
        </w:tc>
        <w:tc>
          <w:tcPr>
            <w:tcW w:w="2233" w:type="dxa"/>
            <w:tcBorders>
              <w:top w:val="single" w:sz="4" w:space="0" w:color="000000"/>
              <w:left w:val="single" w:sz="4" w:space="0" w:color="000000"/>
              <w:bottom w:val="single" w:sz="4" w:space="0" w:color="000000"/>
              <w:right w:val="single" w:sz="4" w:space="0" w:color="000000"/>
            </w:tcBorders>
            <w:shd w:val="clear" w:color="auto" w:fill="000000"/>
            <w:hideMark/>
          </w:tcPr>
          <w:p w:rsidR="004150D8" w:rsidRDefault="004150D8" w:rsidP="00562F28">
            <w:pPr>
              <w:ind w:left="72"/>
              <w:rPr>
                <w:rFonts w:ascii="Calibri" w:hAnsi="Calibri" w:cs="Arial"/>
                <w:color w:val="FFFFFF"/>
              </w:rPr>
            </w:pPr>
            <w:r>
              <w:rPr>
                <w:rFonts w:ascii="Calibri" w:hAnsi="Calibri" w:cs="Arial"/>
                <w:color w:val="FFFFFF"/>
              </w:rPr>
              <w:t>COM 2206/2211</w:t>
            </w:r>
          </w:p>
        </w:tc>
        <w:tc>
          <w:tcPr>
            <w:tcW w:w="4040" w:type="dxa"/>
            <w:tcBorders>
              <w:top w:val="single" w:sz="4" w:space="0" w:color="000000"/>
              <w:left w:val="single" w:sz="4" w:space="0" w:color="000000"/>
              <w:bottom w:val="single" w:sz="4" w:space="0" w:color="000000"/>
              <w:right w:val="single" w:sz="4" w:space="0" w:color="000000"/>
            </w:tcBorders>
            <w:shd w:val="clear" w:color="auto" w:fill="000000"/>
          </w:tcPr>
          <w:p w:rsidR="004150D8" w:rsidRDefault="004150D8" w:rsidP="00562F28">
            <w:pPr>
              <w:ind w:left="72"/>
              <w:rPr>
                <w:rFonts w:ascii="Calibri" w:hAnsi="Calibri" w:cs="Arial"/>
                <w:color w:val="FFFFFF"/>
              </w:rPr>
            </w:pPr>
          </w:p>
        </w:tc>
      </w:tr>
      <w:tr w:rsidR="004150D8" w:rsidTr="002C40C9">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4150D8" w:rsidRDefault="004150D8" w:rsidP="00562F28">
            <w:pPr>
              <w:tabs>
                <w:tab w:val="left" w:pos="5040"/>
              </w:tabs>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4150D8" w:rsidRDefault="004150D8" w:rsidP="00562F28">
            <w:pPr>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4150D8" w:rsidRDefault="004150D8" w:rsidP="00562F28">
            <w:pPr>
              <w:jc w:val="center"/>
              <w:rPr>
                <w:rFonts w:ascii="Calibri" w:hAnsi="Calibri" w:cs="Arial"/>
                <w:b/>
                <w:color w:val="FFFFFF"/>
              </w:rPr>
            </w:pPr>
            <w:r>
              <w:rPr>
                <w:rFonts w:ascii="Calibri" w:hAnsi="Calibri" w:cs="Arial"/>
                <w:b/>
                <w:color w:val="FFFFFF"/>
              </w:rPr>
              <w:t>N/A</w:t>
            </w:r>
          </w:p>
        </w:tc>
        <w:tc>
          <w:tcPr>
            <w:tcW w:w="2233" w:type="dxa"/>
            <w:tcBorders>
              <w:top w:val="single" w:sz="4" w:space="0" w:color="000000"/>
              <w:left w:val="single" w:sz="4" w:space="0" w:color="000000"/>
              <w:bottom w:val="single" w:sz="4" w:space="0" w:color="000000"/>
              <w:right w:val="single" w:sz="4" w:space="0" w:color="000000"/>
            </w:tcBorders>
            <w:shd w:val="clear" w:color="auto" w:fill="000000"/>
            <w:hideMark/>
          </w:tcPr>
          <w:p w:rsidR="004150D8" w:rsidRDefault="004150D8" w:rsidP="00562F28">
            <w:pPr>
              <w:ind w:left="72"/>
              <w:rPr>
                <w:rFonts w:ascii="Calibri" w:hAnsi="Calibri" w:cs="Arial"/>
                <w:color w:val="FFFFFF"/>
              </w:rPr>
            </w:pPr>
            <w:r>
              <w:rPr>
                <w:rFonts w:ascii="Calibri" w:hAnsi="Calibri" w:cs="Arial"/>
                <w:color w:val="FFFFFF"/>
              </w:rPr>
              <w:t>ENG 1101</w:t>
            </w:r>
          </w:p>
        </w:tc>
        <w:tc>
          <w:tcPr>
            <w:tcW w:w="4040" w:type="dxa"/>
            <w:tcBorders>
              <w:top w:val="single" w:sz="4" w:space="0" w:color="000000"/>
              <w:left w:val="single" w:sz="4" w:space="0" w:color="000000"/>
              <w:bottom w:val="single" w:sz="4" w:space="0" w:color="000000"/>
              <w:right w:val="single" w:sz="4" w:space="0" w:color="000000"/>
            </w:tcBorders>
            <w:shd w:val="clear" w:color="auto" w:fill="000000"/>
          </w:tcPr>
          <w:p w:rsidR="004150D8" w:rsidRDefault="004150D8" w:rsidP="00562F28">
            <w:pPr>
              <w:ind w:left="72"/>
              <w:rPr>
                <w:rFonts w:ascii="Calibri" w:hAnsi="Calibri" w:cs="Arial"/>
                <w:color w:val="FFFFFF"/>
              </w:rPr>
            </w:pPr>
          </w:p>
        </w:tc>
      </w:tr>
      <w:tr w:rsidR="004150D8" w:rsidTr="000C4913">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4150D8" w:rsidRDefault="004150D8" w:rsidP="00562F28">
            <w:pPr>
              <w:tabs>
                <w:tab w:val="left" w:pos="5040"/>
              </w:tabs>
              <w:rPr>
                <w:rFonts w:ascii="Calibri" w:hAnsi="Calibri" w:cs="Arial"/>
              </w:rPr>
            </w:pPr>
            <w:r>
              <w:rPr>
                <w:rFonts w:ascii="Arial" w:hAnsi="Arial" w:cs="Arial"/>
                <w:color w:val="000000"/>
              </w:rPr>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4150D8" w:rsidRDefault="004150D8" w:rsidP="00562F28">
            <w:pPr>
              <w:ind w:left="72"/>
              <w:rPr>
                <w:rFonts w:ascii="Calibri" w:hAnsi="Calibri" w:cs="Arial"/>
                <w:color w:val="000000"/>
              </w:rPr>
            </w:pPr>
          </w:p>
          <w:p w:rsidR="004150D8" w:rsidRDefault="004150D8" w:rsidP="00562F28">
            <w:pPr>
              <w:ind w:left="72"/>
              <w:rPr>
                <w:rFonts w:ascii="Calibri" w:hAnsi="Calibri" w:cs="Arial"/>
                <w:b/>
                <w:color w:val="000000"/>
              </w:rPr>
            </w:pPr>
            <w:r>
              <w:rPr>
                <w:rFonts w:ascii="Calibri" w:hAnsi="Calibri" w:cs="Arial"/>
                <w:b/>
                <w:color w:val="000000"/>
              </w:rPr>
              <w:t>OPTIONAL FOR FY 2014-15</w:t>
            </w:r>
          </w:p>
          <w:p w:rsidR="004150D8" w:rsidRDefault="004150D8" w:rsidP="00562F28">
            <w:pPr>
              <w:ind w:left="72"/>
              <w:rPr>
                <w:rFonts w:ascii="Calibri" w:hAnsi="Calibri" w:cs="Arial"/>
                <w:color w:val="000000"/>
              </w:rPr>
            </w:pPr>
          </w:p>
          <w:p w:rsidR="004150D8" w:rsidRDefault="004150D8" w:rsidP="00562F28">
            <w:pPr>
              <w:ind w:left="72"/>
              <w:rPr>
                <w:rFonts w:ascii="Calibri" w:hAnsi="Calibri" w:cs="Arial"/>
                <w:color w:val="000000"/>
              </w:rPr>
            </w:pPr>
          </w:p>
          <w:p w:rsidR="004150D8" w:rsidRDefault="004150D8" w:rsidP="00562F28">
            <w:pPr>
              <w:ind w:left="72"/>
              <w:rPr>
                <w:rFonts w:ascii="Calibri" w:hAnsi="Calibri" w:cs="Arial"/>
                <w:color w:val="000000"/>
              </w:rPr>
            </w:pPr>
          </w:p>
          <w:p w:rsidR="004150D8" w:rsidRDefault="004150D8" w:rsidP="00562F28">
            <w:pPr>
              <w:ind w:left="72"/>
              <w:rPr>
                <w:rFonts w:ascii="Calibri" w:hAnsi="Calibri" w:cs="Arial"/>
                <w:color w:val="000000"/>
              </w:rPr>
            </w:pPr>
          </w:p>
          <w:p w:rsidR="004150D8" w:rsidRDefault="004150D8" w:rsidP="00562F28">
            <w:pPr>
              <w:ind w:left="72"/>
              <w:rPr>
                <w:rFonts w:ascii="Calibri" w:hAnsi="Calibri" w:cs="Arial"/>
                <w:color w:val="000000"/>
              </w:rPr>
            </w:pPr>
          </w:p>
        </w:tc>
      </w:tr>
      <w:tr w:rsidR="004150D8" w:rsidTr="000C4913">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4150D8" w:rsidRDefault="004150D8" w:rsidP="00562F28">
            <w:pPr>
              <w:pStyle w:val="ListParagraph"/>
              <w:tabs>
                <w:tab w:val="left" w:pos="5040"/>
              </w:tabs>
              <w:ind w:left="0"/>
              <w:rPr>
                <w:rFonts w:ascii="Arial" w:hAnsi="Arial" w:cs="Arial"/>
                <w:color w:val="000000"/>
              </w:rPr>
            </w:pPr>
            <w:r>
              <w:rPr>
                <w:rFonts w:ascii="Arial" w:hAnsi="Arial" w:cs="Arial"/>
                <w:color w:val="000000"/>
              </w:rPr>
              <w:t xml:space="preserve">How will you determine whether those changes had an impact? </w:t>
            </w:r>
          </w:p>
          <w:p w:rsidR="004150D8" w:rsidRDefault="004150D8" w:rsidP="00562F28">
            <w:pPr>
              <w:tabs>
                <w:tab w:val="left" w:pos="5040"/>
              </w:tabs>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4150D8" w:rsidRDefault="004150D8" w:rsidP="00562F28">
            <w:pPr>
              <w:ind w:left="72"/>
              <w:rPr>
                <w:rFonts w:ascii="Calibri" w:hAnsi="Calibri" w:cs="Arial"/>
                <w:color w:val="000000"/>
              </w:rPr>
            </w:pPr>
          </w:p>
          <w:p w:rsidR="004150D8" w:rsidRDefault="004150D8" w:rsidP="00562F28">
            <w:pPr>
              <w:ind w:left="72"/>
              <w:rPr>
                <w:rFonts w:ascii="Calibri" w:hAnsi="Calibri" w:cs="Arial"/>
                <w:color w:val="000000"/>
              </w:rPr>
            </w:pPr>
          </w:p>
          <w:p w:rsidR="004150D8" w:rsidRDefault="004150D8" w:rsidP="00562F28">
            <w:pPr>
              <w:ind w:left="72"/>
              <w:rPr>
                <w:rFonts w:ascii="Calibri" w:hAnsi="Calibri" w:cs="Arial"/>
                <w:b/>
                <w:color w:val="000000"/>
              </w:rPr>
            </w:pPr>
            <w:r>
              <w:rPr>
                <w:rFonts w:ascii="Calibri" w:hAnsi="Calibri" w:cs="Arial"/>
                <w:b/>
                <w:color w:val="000000"/>
              </w:rPr>
              <w:t>OPTIONAL FOR FY 2014-15</w:t>
            </w:r>
          </w:p>
          <w:p w:rsidR="004150D8" w:rsidRDefault="004150D8" w:rsidP="00562F28">
            <w:pPr>
              <w:ind w:left="72"/>
              <w:rPr>
                <w:rFonts w:ascii="Calibri" w:hAnsi="Calibri" w:cs="Arial"/>
                <w:color w:val="000000"/>
              </w:rPr>
            </w:pPr>
          </w:p>
          <w:p w:rsidR="004150D8" w:rsidRDefault="004150D8" w:rsidP="00562F28">
            <w:pPr>
              <w:ind w:left="72"/>
              <w:rPr>
                <w:rFonts w:ascii="Calibri" w:hAnsi="Calibri" w:cs="Arial"/>
                <w:color w:val="000000"/>
              </w:rPr>
            </w:pPr>
          </w:p>
          <w:p w:rsidR="004150D8" w:rsidRDefault="004150D8" w:rsidP="00562F28">
            <w:pPr>
              <w:ind w:left="72"/>
              <w:rPr>
                <w:rFonts w:ascii="Calibri" w:hAnsi="Calibri" w:cs="Arial"/>
                <w:color w:val="000000"/>
              </w:rPr>
            </w:pPr>
          </w:p>
          <w:p w:rsidR="004150D8" w:rsidRDefault="004150D8" w:rsidP="00562F28">
            <w:pPr>
              <w:ind w:left="72"/>
              <w:rPr>
                <w:rFonts w:ascii="Calibri" w:hAnsi="Calibri" w:cs="Arial"/>
                <w:color w:val="000000"/>
              </w:rPr>
            </w:pPr>
          </w:p>
          <w:p w:rsidR="004150D8" w:rsidRDefault="004150D8" w:rsidP="00562F28">
            <w:pPr>
              <w:ind w:left="72"/>
              <w:rPr>
                <w:rFonts w:ascii="Calibri" w:hAnsi="Calibri" w:cs="Arial"/>
                <w:color w:val="000000"/>
              </w:rPr>
            </w:pPr>
          </w:p>
        </w:tc>
      </w:tr>
    </w:tbl>
    <w:p w:rsidR="004150D8" w:rsidRDefault="004150D8" w:rsidP="004150D8"/>
    <w:p w:rsidR="004150D8" w:rsidRDefault="004150D8" w:rsidP="004150D8"/>
    <w:p w:rsidR="004150D8" w:rsidRDefault="004150D8" w:rsidP="004150D8">
      <w:pPr>
        <w:ind w:left="900"/>
        <w:rPr>
          <w:rFonts w:ascii="Arial" w:hAnsi="Arial" w:cs="Arial"/>
          <w:b/>
          <w:color w:val="000000"/>
          <w:u w:val="single"/>
        </w:rPr>
      </w:pPr>
    </w:p>
    <w:p w:rsidR="004150D8" w:rsidRDefault="004150D8" w:rsidP="004150D8">
      <w:pPr>
        <w:rPr>
          <w:rFonts w:ascii="Arial" w:hAnsi="Arial" w:cs="Arial"/>
          <w:b/>
          <w:color w:val="000000"/>
          <w:u w:val="single"/>
        </w:rPr>
        <w:sectPr w:rsidR="004150D8">
          <w:pgSz w:w="15840" w:h="12240" w:orient="landscape"/>
          <w:pgMar w:top="1440" w:right="1152" w:bottom="1440" w:left="1152" w:header="720" w:footer="288" w:gutter="0"/>
          <w:cols w:space="720"/>
        </w:sectPr>
      </w:pPr>
    </w:p>
    <w:p w:rsidR="00262E6F" w:rsidRDefault="00262E6F" w:rsidP="00262E6F"/>
    <w:p w:rsidR="00262E6F" w:rsidRDefault="00262E6F"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B34F9E" w:rsidRPr="004C52FC" w:rsidTr="001A2E6B">
        <w:trPr>
          <w:trHeight w:val="274"/>
        </w:trPr>
        <w:tc>
          <w:tcPr>
            <w:tcW w:w="3708" w:type="dxa"/>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412BCB" w:rsidRPr="004C52FC" w:rsidTr="00EF5915">
        <w:trPr>
          <w:trHeight w:val="274"/>
        </w:trPr>
        <w:tc>
          <w:tcPr>
            <w:tcW w:w="3708" w:type="dxa"/>
            <w:shd w:val="clear" w:color="auto" w:fill="FFFFFF"/>
          </w:tcPr>
          <w:p w:rsidR="00412BCB" w:rsidRDefault="00412BCB" w:rsidP="00EF5915">
            <w:pPr>
              <w:rPr>
                <w:rFonts w:ascii="Calibri" w:hAnsi="Calibri" w:cs="Calibri"/>
                <w:color w:val="000000"/>
                <w:sz w:val="22"/>
                <w:szCs w:val="22"/>
              </w:rPr>
            </w:pPr>
            <w:r>
              <w:rPr>
                <w:rFonts w:ascii="Calibri" w:hAnsi="Calibri" w:cs="Calibri"/>
                <w:color w:val="000000"/>
                <w:sz w:val="22"/>
                <w:szCs w:val="22"/>
              </w:rPr>
              <w:t>Communicate effectively in a variety of ways with varied audiences through: writing skills, oral communication skills, listening skills, reading skills, and computer literacy.</w:t>
            </w:r>
          </w:p>
        </w:tc>
        <w:tc>
          <w:tcPr>
            <w:tcW w:w="1742" w:type="dxa"/>
          </w:tcPr>
          <w:p w:rsidR="00412BCB" w:rsidRDefault="00412BCB" w:rsidP="00EF5915">
            <w:pPr>
              <w:rPr>
                <w:rFonts w:ascii="Calibri" w:hAnsi="Calibri" w:cs="Calibri"/>
                <w:color w:val="000000"/>
                <w:sz w:val="22"/>
                <w:szCs w:val="22"/>
              </w:rPr>
            </w:pPr>
            <w:r>
              <w:rPr>
                <w:rFonts w:ascii="Calibri" w:hAnsi="Calibri" w:cs="Calibri"/>
                <w:color w:val="000000"/>
                <w:sz w:val="22"/>
                <w:szCs w:val="22"/>
              </w:rPr>
              <w:t xml:space="preserve">BIO-1171  BIO-1272  COM-2206 COM-2211  COM-2225  ENG-1101  ENG-1201                          </w:t>
            </w:r>
          </w:p>
        </w:tc>
        <w:tc>
          <w:tcPr>
            <w:tcW w:w="1430" w:type="dxa"/>
            <w:shd w:val="clear" w:color="auto" w:fill="auto"/>
          </w:tcPr>
          <w:p w:rsidR="00412BCB" w:rsidRPr="004C52FC" w:rsidRDefault="00EF5915" w:rsidP="004D7C40">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D7C40">
              <w:t>2012-13</w:t>
            </w:r>
            <w:r>
              <w:rPr>
                <w:rFonts w:ascii="Arial" w:hAnsi="Arial" w:cs="Arial"/>
                <w:color w:val="000000" w:themeColor="text1"/>
              </w:rPr>
              <w:fldChar w:fldCharType="end"/>
            </w:r>
          </w:p>
        </w:tc>
        <w:tc>
          <w:tcPr>
            <w:tcW w:w="2250" w:type="dxa"/>
          </w:tcPr>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A4BBB">
              <w:t xml:space="preserve">The biology department offers a wide assortment of assessment methods concerning communication.  These include, but not limited to, group discussions, essay questions, group project presentations, </w:t>
            </w:r>
            <w:r w:rsidR="00DA555B">
              <w:t xml:space="preserve">online discussion forums </w:t>
            </w:r>
            <w:r w:rsidR="00BA4BBB">
              <w:t>and 10 plus page reports and lab notebooks.</w:t>
            </w: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c>
          <w:tcPr>
            <w:tcW w:w="4028" w:type="dxa"/>
          </w:tcPr>
          <w:p w:rsidR="00DA555B" w:rsidRDefault="00412BCB" w:rsidP="001A2E6B">
            <w:pPr>
              <w:pStyle w:val="ListParagraph"/>
              <w:tabs>
                <w:tab w:val="left" w:pos="5040"/>
              </w:tabs>
              <w:ind w:left="0"/>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A555B">
              <w:t>Br</w:t>
            </w:r>
            <w:r w:rsidR="006D1E92">
              <w:t>ie</w:t>
            </w:r>
            <w:r w:rsidR="00DA555B">
              <w:t>f assessment results are not the overall success rates, as students have a trend to do well in this particular assessment but overall success rates are lower than the following data.</w:t>
            </w:r>
          </w:p>
          <w:p w:rsidR="00705985" w:rsidRDefault="00705985" w:rsidP="001A2E6B">
            <w:pPr>
              <w:pStyle w:val="ListParagraph"/>
              <w:tabs>
                <w:tab w:val="left" w:pos="5040"/>
              </w:tabs>
              <w:ind w:left="0"/>
            </w:pPr>
          </w:p>
          <w:p w:rsidR="00705985" w:rsidRDefault="00705985" w:rsidP="001A2E6B">
            <w:pPr>
              <w:pStyle w:val="ListParagraph"/>
              <w:tabs>
                <w:tab w:val="left" w:pos="5040"/>
              </w:tabs>
              <w:ind w:left="0"/>
            </w:pPr>
            <w:r>
              <w:t>For Biology 1171 and 1272, roughly 95% of the students who complete the 10 plus page genetics lab earn a C or higher.</w:t>
            </w:r>
          </w:p>
          <w:p w:rsidR="00705985" w:rsidRDefault="00705985" w:rsidP="001A2E6B">
            <w:pPr>
              <w:pStyle w:val="ListParagraph"/>
              <w:tabs>
                <w:tab w:val="left" w:pos="5040"/>
              </w:tabs>
              <w:ind w:left="0"/>
            </w:pPr>
          </w:p>
          <w:p w:rsidR="00705985" w:rsidRDefault="00705985" w:rsidP="001A2E6B">
            <w:pPr>
              <w:pStyle w:val="ListParagraph"/>
              <w:tabs>
                <w:tab w:val="left" w:pos="5040"/>
              </w:tabs>
              <w:ind w:left="0"/>
            </w:pPr>
            <w:r>
              <w:t>For Biology 1171 and 1272, roughly 95% of the students earn a C or higher on written lab reports.</w:t>
            </w:r>
          </w:p>
          <w:p w:rsidR="00705985" w:rsidRDefault="00705985" w:rsidP="001A2E6B">
            <w:pPr>
              <w:pStyle w:val="ListParagraph"/>
              <w:tabs>
                <w:tab w:val="left" w:pos="5040"/>
              </w:tabs>
              <w:ind w:left="0"/>
            </w:pPr>
          </w:p>
          <w:p w:rsidR="00705985" w:rsidRDefault="00705985" w:rsidP="001A2E6B">
            <w:pPr>
              <w:pStyle w:val="ListParagraph"/>
              <w:tabs>
                <w:tab w:val="left" w:pos="5040"/>
              </w:tabs>
              <w:ind w:left="0"/>
            </w:pPr>
            <w:r>
              <w:t>For our BTN students, assessment in communication is roughly 45% of the overall grade.  Roughly 80% of those who complete the written and oral areas of the class receive a C or better on the assignment (s).</w:t>
            </w:r>
          </w:p>
          <w:p w:rsidR="00705985" w:rsidRDefault="00705985" w:rsidP="001A2E6B">
            <w:pPr>
              <w:pStyle w:val="ListParagraph"/>
              <w:tabs>
                <w:tab w:val="left" w:pos="5040"/>
              </w:tabs>
              <w:ind w:left="0"/>
            </w:pPr>
          </w:p>
          <w:p w:rsidR="00705985" w:rsidRDefault="00705985" w:rsidP="001A2E6B">
            <w:pPr>
              <w:pStyle w:val="ListParagraph"/>
              <w:tabs>
                <w:tab w:val="left" w:pos="5040"/>
              </w:tabs>
              <w:ind w:left="0"/>
            </w:pPr>
            <w:r>
              <w:t>For Microbiology, a portion of the overall grade requires group reports and presentations.  Roughly 97% of those who complete this work receive a C or better on the assignment.</w:t>
            </w:r>
          </w:p>
          <w:p w:rsidR="00705985" w:rsidRDefault="00705985" w:rsidP="001A2E6B">
            <w:pPr>
              <w:pStyle w:val="ListParagraph"/>
              <w:tabs>
                <w:tab w:val="left" w:pos="5040"/>
              </w:tabs>
              <w:ind w:left="0"/>
            </w:pPr>
          </w:p>
          <w:p w:rsidR="00705985" w:rsidRDefault="00705985" w:rsidP="001A2E6B">
            <w:pPr>
              <w:pStyle w:val="ListParagraph"/>
              <w:tabs>
                <w:tab w:val="left" w:pos="5040"/>
              </w:tabs>
              <w:ind w:left="0"/>
            </w:pPr>
            <w:r>
              <w:t>For Physiology, the writing assignment includes a guide "Writing Biomedical Research Papers" and the class average on the assignment was 95 %</w:t>
            </w:r>
          </w:p>
          <w:p w:rsidR="00705985" w:rsidRDefault="00705985" w:rsidP="001A2E6B">
            <w:pPr>
              <w:pStyle w:val="ListParagraph"/>
              <w:tabs>
                <w:tab w:val="left" w:pos="5040"/>
              </w:tabs>
              <w:ind w:left="0"/>
            </w:pPr>
          </w:p>
          <w:p w:rsidR="00705985" w:rsidRDefault="00A20ED1" w:rsidP="001A2E6B">
            <w:pPr>
              <w:pStyle w:val="ListParagraph"/>
              <w:tabs>
                <w:tab w:val="left" w:pos="5040"/>
              </w:tabs>
              <w:ind w:left="0"/>
            </w:pPr>
            <w:r>
              <w:t>For our various A&amp;P classes, discussion forums and group presentations alloted for a small portion of the overall grade, but those who successfully completed such assignments earned a C or better on the assignment.</w:t>
            </w:r>
          </w:p>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r>
      <w:tr w:rsidR="00412BCB" w:rsidRPr="004C52FC" w:rsidTr="00EF5915">
        <w:trPr>
          <w:trHeight w:val="72"/>
        </w:trPr>
        <w:tc>
          <w:tcPr>
            <w:tcW w:w="3708" w:type="dxa"/>
            <w:shd w:val="clear" w:color="auto" w:fill="FFFFFF"/>
          </w:tcPr>
          <w:p w:rsidR="00412BCB" w:rsidRDefault="00412BCB" w:rsidP="00EF5915">
            <w:pPr>
              <w:rPr>
                <w:rFonts w:ascii="Calibri" w:hAnsi="Calibri" w:cs="Calibri"/>
                <w:color w:val="000000"/>
                <w:sz w:val="22"/>
                <w:szCs w:val="22"/>
              </w:rPr>
            </w:pPr>
            <w:r>
              <w:rPr>
                <w:rFonts w:ascii="Calibri" w:hAnsi="Calibri" w:cs="Calibri"/>
                <w:color w:val="000000"/>
                <w:sz w:val="22"/>
                <w:szCs w:val="22"/>
              </w:rPr>
              <w:t>Demonstrate a strong foundation in the natural sciences and the reasoning skills needed for successfully executing laboratory protocols.</w:t>
            </w:r>
          </w:p>
        </w:tc>
        <w:tc>
          <w:tcPr>
            <w:tcW w:w="1742" w:type="dxa"/>
          </w:tcPr>
          <w:p w:rsidR="00412BCB" w:rsidRDefault="00412BCB" w:rsidP="00EF5915">
            <w:pPr>
              <w:rPr>
                <w:rFonts w:ascii="Calibri" w:hAnsi="Calibri" w:cs="Calibri"/>
                <w:color w:val="000000"/>
                <w:sz w:val="22"/>
                <w:szCs w:val="22"/>
              </w:rPr>
            </w:pPr>
            <w:r>
              <w:rPr>
                <w:rFonts w:ascii="Calibri" w:hAnsi="Calibri" w:cs="Calibri"/>
                <w:color w:val="000000"/>
                <w:sz w:val="22"/>
                <w:szCs w:val="22"/>
              </w:rPr>
              <w:t xml:space="preserve">BIO-1171  BIO-1272  CHE-1211 CHE-1221                                </w:t>
            </w:r>
          </w:p>
        </w:tc>
        <w:tc>
          <w:tcPr>
            <w:tcW w:w="1430" w:type="dxa"/>
            <w:shd w:val="clear" w:color="auto" w:fill="auto"/>
          </w:tcPr>
          <w:p w:rsidR="00412BCB" w:rsidRPr="004C52FC" w:rsidRDefault="00EF5915" w:rsidP="004D7C40">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D7C40">
              <w:t>2013-14</w:t>
            </w:r>
            <w:r>
              <w:rPr>
                <w:rFonts w:ascii="Arial" w:hAnsi="Arial" w:cs="Arial"/>
                <w:color w:val="000000" w:themeColor="text1"/>
              </w:rPr>
              <w:fldChar w:fldCharType="end"/>
            </w:r>
          </w:p>
        </w:tc>
        <w:tc>
          <w:tcPr>
            <w:tcW w:w="2250" w:type="dxa"/>
          </w:tcPr>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D3BC9" w:rsidRPr="00AD3BC9">
              <w:t>Assessments are given in the form of exams.  Besides basic knowledge questions, all full time and part time faculty include a variety of questions involving problem solving and critical thinking on such exams</w:t>
            </w: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c>
          <w:tcPr>
            <w:tcW w:w="4028" w:type="dxa"/>
          </w:tcPr>
          <w:p w:rsidR="00412BCB" w:rsidRDefault="006D6237" w:rsidP="001A2E6B">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 xml:space="preserve">Competency in laboratory protocols and skills in </w:t>
            </w:r>
            <w:r w:rsidR="00D0279E">
              <w:rPr>
                <w:rFonts w:asciiTheme="minorHAnsi" w:hAnsiTheme="minorHAnsi" w:cs="Arial"/>
                <w:color w:val="000000" w:themeColor="text1"/>
                <w:sz w:val="22"/>
              </w:rPr>
              <w:t>BIO 2205/2206 M</w:t>
            </w:r>
            <w:r>
              <w:rPr>
                <w:rFonts w:asciiTheme="minorHAnsi" w:hAnsiTheme="minorHAnsi" w:cs="Arial"/>
                <w:color w:val="000000" w:themeColor="text1"/>
                <w:sz w:val="22"/>
              </w:rPr>
              <w:t>icrobiology are assessed by successful completion of weekly quizzes, multiple lab practical</w:t>
            </w:r>
            <w:r w:rsidR="00456B2F">
              <w:rPr>
                <w:rFonts w:asciiTheme="minorHAnsi" w:hAnsiTheme="minorHAnsi" w:cs="Arial"/>
                <w:color w:val="000000" w:themeColor="text1"/>
                <w:sz w:val="22"/>
              </w:rPr>
              <w:t>s</w:t>
            </w:r>
            <w:r>
              <w:rPr>
                <w:rFonts w:asciiTheme="minorHAnsi" w:hAnsiTheme="minorHAnsi" w:cs="Arial"/>
                <w:color w:val="000000" w:themeColor="text1"/>
                <w:sz w:val="22"/>
              </w:rPr>
              <w:t xml:space="preserve"> and identification of three unknown</w:t>
            </w:r>
            <w:r w:rsidR="00873FEE">
              <w:rPr>
                <w:rFonts w:asciiTheme="minorHAnsi" w:hAnsiTheme="minorHAnsi" w:cs="Arial"/>
                <w:color w:val="000000" w:themeColor="text1"/>
                <w:sz w:val="22"/>
              </w:rPr>
              <w:t xml:space="preserve"> microorganisms.  On average, 95</w:t>
            </w:r>
            <w:r>
              <w:rPr>
                <w:rFonts w:asciiTheme="minorHAnsi" w:hAnsiTheme="minorHAnsi" w:cs="Arial"/>
                <w:color w:val="000000" w:themeColor="text1"/>
                <w:sz w:val="22"/>
              </w:rPr>
              <w:t>% of students earn a C or higher in the microbiology lab.</w:t>
            </w:r>
          </w:p>
          <w:p w:rsidR="00456B2F" w:rsidRDefault="00456B2F" w:rsidP="001A2E6B">
            <w:pPr>
              <w:pStyle w:val="ListParagraph"/>
              <w:tabs>
                <w:tab w:val="left" w:pos="5040"/>
              </w:tabs>
              <w:ind w:left="0"/>
              <w:rPr>
                <w:rFonts w:asciiTheme="minorHAnsi" w:hAnsiTheme="minorHAnsi" w:cs="Arial"/>
                <w:color w:val="000000" w:themeColor="text1"/>
                <w:sz w:val="22"/>
              </w:rPr>
            </w:pPr>
          </w:p>
          <w:p w:rsidR="00456B2F" w:rsidRDefault="00456B2F" w:rsidP="001A2E6B">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For BIO 1171 and BIO 1272</w:t>
            </w:r>
            <w:r w:rsidR="00D0279E">
              <w:rPr>
                <w:rFonts w:asciiTheme="minorHAnsi" w:hAnsiTheme="minorHAnsi" w:cs="Arial"/>
                <w:color w:val="000000" w:themeColor="text1"/>
                <w:sz w:val="22"/>
              </w:rPr>
              <w:t xml:space="preserve"> Majors Biology</w:t>
            </w:r>
            <w:r>
              <w:rPr>
                <w:rFonts w:asciiTheme="minorHAnsi" w:hAnsiTheme="minorHAnsi" w:cs="Arial"/>
                <w:color w:val="000000" w:themeColor="text1"/>
                <w:sz w:val="22"/>
              </w:rPr>
              <w:t>, competency in lab protocols are assessed using multiple labora</w:t>
            </w:r>
            <w:r w:rsidR="00A34FA2">
              <w:rPr>
                <w:rFonts w:asciiTheme="minorHAnsi" w:hAnsiTheme="minorHAnsi" w:cs="Arial"/>
                <w:color w:val="000000" w:themeColor="text1"/>
                <w:sz w:val="22"/>
              </w:rPr>
              <w:t>tory practicals.  On average, 59% and 52</w:t>
            </w:r>
            <w:r>
              <w:rPr>
                <w:rFonts w:asciiTheme="minorHAnsi" w:hAnsiTheme="minorHAnsi" w:cs="Arial"/>
                <w:color w:val="000000" w:themeColor="text1"/>
                <w:sz w:val="22"/>
              </w:rPr>
              <w:t>%</w:t>
            </w:r>
            <w:r w:rsidR="002A3FFE">
              <w:rPr>
                <w:rFonts w:asciiTheme="minorHAnsi" w:hAnsiTheme="minorHAnsi" w:cs="Arial"/>
                <w:color w:val="000000" w:themeColor="text1"/>
                <w:sz w:val="22"/>
              </w:rPr>
              <w:t xml:space="preserve"> </w:t>
            </w:r>
            <w:r>
              <w:rPr>
                <w:rFonts w:asciiTheme="minorHAnsi" w:hAnsiTheme="minorHAnsi" w:cs="Arial"/>
                <w:color w:val="000000" w:themeColor="text1"/>
                <w:sz w:val="22"/>
              </w:rPr>
              <w:t xml:space="preserve">of students earn a C or higher on the lab exams in BIO 1171 and BIO 1272 respectively.  </w:t>
            </w:r>
          </w:p>
          <w:p w:rsidR="002A3FFE" w:rsidRDefault="002A3FFE" w:rsidP="001A2E6B">
            <w:pPr>
              <w:pStyle w:val="ListParagraph"/>
              <w:tabs>
                <w:tab w:val="left" w:pos="5040"/>
              </w:tabs>
              <w:ind w:left="0"/>
              <w:rPr>
                <w:rFonts w:asciiTheme="minorHAnsi" w:hAnsiTheme="minorHAnsi" w:cs="Arial"/>
                <w:color w:val="000000" w:themeColor="text1"/>
                <w:sz w:val="22"/>
              </w:rPr>
            </w:pPr>
          </w:p>
          <w:p w:rsidR="00D0279E" w:rsidRDefault="00D0279E" w:rsidP="00D0279E">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 xml:space="preserve">For BIO 1107/1108, competency in lab protocols are assessed using multiple laboratory practicals.  On average, </w:t>
            </w:r>
            <w:r w:rsidR="001148DD">
              <w:rPr>
                <w:rFonts w:asciiTheme="minorHAnsi" w:hAnsiTheme="minorHAnsi" w:cs="Arial"/>
                <w:color w:val="000000" w:themeColor="text1"/>
                <w:sz w:val="22"/>
              </w:rPr>
              <w:t>65</w:t>
            </w:r>
            <w:r>
              <w:rPr>
                <w:rFonts w:asciiTheme="minorHAnsi" w:hAnsiTheme="minorHAnsi" w:cs="Arial"/>
                <w:color w:val="000000" w:themeColor="text1"/>
                <w:sz w:val="22"/>
              </w:rPr>
              <w:t>% of students earn a C or higher on the lab exam</w:t>
            </w:r>
            <w:r w:rsidR="00BA1088">
              <w:rPr>
                <w:rFonts w:asciiTheme="minorHAnsi" w:hAnsiTheme="minorHAnsi" w:cs="Arial"/>
                <w:color w:val="000000" w:themeColor="text1"/>
                <w:sz w:val="22"/>
              </w:rPr>
              <w:t>s.</w:t>
            </w:r>
          </w:p>
          <w:p w:rsidR="009426C0" w:rsidRDefault="009426C0" w:rsidP="00D0279E">
            <w:pPr>
              <w:pStyle w:val="ListParagraph"/>
              <w:tabs>
                <w:tab w:val="left" w:pos="5040"/>
              </w:tabs>
              <w:ind w:left="0"/>
              <w:rPr>
                <w:rFonts w:asciiTheme="minorHAnsi" w:hAnsiTheme="minorHAnsi" w:cs="Arial"/>
                <w:color w:val="000000" w:themeColor="text1"/>
                <w:sz w:val="22"/>
              </w:rPr>
            </w:pPr>
          </w:p>
          <w:p w:rsidR="00C8494A" w:rsidRDefault="00C8494A" w:rsidP="00C8494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For BIO 1141/1147 and BIO 1242/1248</w:t>
            </w:r>
            <w:r w:rsidR="0095417F">
              <w:rPr>
                <w:rFonts w:asciiTheme="minorHAnsi" w:hAnsiTheme="minorHAnsi" w:cs="Arial"/>
                <w:color w:val="000000" w:themeColor="text1"/>
                <w:sz w:val="22"/>
              </w:rPr>
              <w:t xml:space="preserve"> Anatomy and Physiology</w:t>
            </w:r>
            <w:r>
              <w:rPr>
                <w:rFonts w:asciiTheme="minorHAnsi" w:hAnsiTheme="minorHAnsi" w:cs="Arial"/>
                <w:color w:val="000000" w:themeColor="text1"/>
                <w:sz w:val="22"/>
              </w:rPr>
              <w:t xml:space="preserve">, competency in lab protocols are assessed using multiple laboratory practicals.  On average, 46% and 50% of students earn a C or higher on the lab exams in BIO 1141/1147 and BIO 1242/1248, respectively.  </w:t>
            </w:r>
          </w:p>
          <w:p w:rsidR="00C8494A" w:rsidRDefault="00C8494A" w:rsidP="00D3248F">
            <w:pPr>
              <w:pStyle w:val="ListParagraph"/>
              <w:tabs>
                <w:tab w:val="left" w:pos="5040"/>
              </w:tabs>
              <w:ind w:left="0"/>
              <w:rPr>
                <w:rFonts w:asciiTheme="minorHAnsi" w:hAnsiTheme="minorHAnsi" w:cs="Arial"/>
                <w:color w:val="000000" w:themeColor="text1"/>
                <w:sz w:val="22"/>
              </w:rPr>
            </w:pPr>
          </w:p>
          <w:p w:rsidR="00D3248F" w:rsidRDefault="00D3248F" w:rsidP="00D3248F">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For BIO 1111/1117 and BIO 1211/1217 Non-majors Biology, competency in lab protocols are assessed using multiple labora</w:t>
            </w:r>
            <w:r w:rsidR="001148DD">
              <w:rPr>
                <w:rFonts w:asciiTheme="minorHAnsi" w:hAnsiTheme="minorHAnsi" w:cs="Arial"/>
                <w:color w:val="000000" w:themeColor="text1"/>
                <w:sz w:val="22"/>
              </w:rPr>
              <w:t>tory practicals.  On average, 54% and 50</w:t>
            </w:r>
            <w:r>
              <w:rPr>
                <w:rFonts w:asciiTheme="minorHAnsi" w:hAnsiTheme="minorHAnsi" w:cs="Arial"/>
                <w:color w:val="000000" w:themeColor="text1"/>
                <w:sz w:val="22"/>
              </w:rPr>
              <w:t xml:space="preserve">% of students earn a C or higher on the lab exams in BIO 1111/1117 and BIO 1211/1217, respectively.  </w:t>
            </w:r>
          </w:p>
          <w:p w:rsidR="00D3248F" w:rsidRDefault="00D3248F" w:rsidP="00D0279E">
            <w:pPr>
              <w:pStyle w:val="ListParagraph"/>
              <w:tabs>
                <w:tab w:val="left" w:pos="5040"/>
              </w:tabs>
              <w:ind w:left="0"/>
              <w:rPr>
                <w:rFonts w:asciiTheme="minorHAnsi" w:hAnsiTheme="minorHAnsi" w:cs="Arial"/>
                <w:color w:val="000000" w:themeColor="text1"/>
                <w:sz w:val="22"/>
              </w:rPr>
            </w:pPr>
          </w:p>
          <w:p w:rsidR="009426C0" w:rsidRDefault="009426C0" w:rsidP="00D0279E">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On average, 78% of Biotechnology students earn a C or higher on the lab practicals in all Biotechnology lab courses.</w:t>
            </w:r>
          </w:p>
          <w:p w:rsidR="00D3248F" w:rsidRDefault="00D3248F" w:rsidP="00D0279E">
            <w:pPr>
              <w:pStyle w:val="ListParagraph"/>
              <w:tabs>
                <w:tab w:val="left" w:pos="5040"/>
              </w:tabs>
              <w:ind w:left="0"/>
              <w:rPr>
                <w:rFonts w:asciiTheme="minorHAnsi" w:hAnsiTheme="minorHAnsi" w:cs="Arial"/>
                <w:color w:val="000000" w:themeColor="text1"/>
                <w:sz w:val="22"/>
              </w:rPr>
            </w:pPr>
          </w:p>
          <w:p w:rsidR="00D3248F" w:rsidRDefault="00D3248F" w:rsidP="00D0279E">
            <w:pPr>
              <w:pStyle w:val="ListParagraph"/>
              <w:tabs>
                <w:tab w:val="left" w:pos="5040"/>
              </w:tabs>
              <w:ind w:left="0"/>
              <w:rPr>
                <w:rFonts w:asciiTheme="minorHAnsi" w:hAnsiTheme="minorHAnsi" w:cs="Arial"/>
                <w:color w:val="000000" w:themeColor="text1"/>
                <w:sz w:val="22"/>
              </w:rPr>
            </w:pPr>
          </w:p>
          <w:p w:rsidR="002A3FFE" w:rsidRPr="006D6237" w:rsidRDefault="002A3FFE" w:rsidP="001A2E6B">
            <w:pPr>
              <w:pStyle w:val="ListParagraph"/>
              <w:tabs>
                <w:tab w:val="left" w:pos="5040"/>
              </w:tabs>
              <w:ind w:left="0"/>
              <w:rPr>
                <w:rFonts w:asciiTheme="minorHAnsi" w:hAnsiTheme="minorHAnsi" w:cs="Arial"/>
                <w:color w:val="000000" w:themeColor="text1"/>
                <w:sz w:val="22"/>
              </w:rPr>
            </w:pPr>
          </w:p>
          <w:p w:rsidR="00412BCB" w:rsidRPr="004C52FC" w:rsidRDefault="00412BCB" w:rsidP="001A2E6B">
            <w:pPr>
              <w:ind w:left="72"/>
              <w:rPr>
                <w:rFonts w:asciiTheme="minorHAnsi" w:hAnsiTheme="minorHAnsi" w:cs="Arial"/>
                <w:color w:val="000000" w:themeColor="text1"/>
              </w:rPr>
            </w:pPr>
          </w:p>
        </w:tc>
      </w:tr>
      <w:tr w:rsidR="00412BCB" w:rsidRPr="004C52FC" w:rsidTr="00EF5915">
        <w:trPr>
          <w:trHeight w:val="72"/>
        </w:trPr>
        <w:tc>
          <w:tcPr>
            <w:tcW w:w="3708" w:type="dxa"/>
            <w:shd w:val="clear" w:color="auto" w:fill="FFFFFF"/>
          </w:tcPr>
          <w:p w:rsidR="00412BCB" w:rsidRDefault="00412BCB" w:rsidP="00EF5915">
            <w:pPr>
              <w:rPr>
                <w:rFonts w:ascii="Calibri" w:hAnsi="Calibri" w:cs="Calibri"/>
                <w:color w:val="000000"/>
                <w:sz w:val="22"/>
                <w:szCs w:val="22"/>
              </w:rPr>
            </w:pPr>
            <w:r>
              <w:rPr>
                <w:rFonts w:ascii="Calibri" w:hAnsi="Calibri" w:cs="Calibri"/>
                <w:color w:val="000000"/>
                <w:sz w:val="22"/>
                <w:szCs w:val="22"/>
              </w:rPr>
              <w:t>Demonstrate the ability to think logically and demonstrate problem solving using analysis, synthesis and evaluation.</w:t>
            </w:r>
          </w:p>
        </w:tc>
        <w:tc>
          <w:tcPr>
            <w:tcW w:w="1742" w:type="dxa"/>
          </w:tcPr>
          <w:p w:rsidR="00412BCB" w:rsidRDefault="00412BCB" w:rsidP="00EF5915">
            <w:pPr>
              <w:rPr>
                <w:rFonts w:ascii="Calibri" w:hAnsi="Calibri" w:cs="Calibri"/>
                <w:color w:val="000000"/>
                <w:sz w:val="22"/>
                <w:szCs w:val="22"/>
              </w:rPr>
            </w:pPr>
            <w:r>
              <w:rPr>
                <w:rFonts w:ascii="Calibri" w:hAnsi="Calibri" w:cs="Calibri"/>
                <w:color w:val="000000"/>
                <w:sz w:val="22"/>
                <w:szCs w:val="22"/>
              </w:rPr>
              <w:t xml:space="preserve">BIO-1171  BIO-1272  CHE-1211 CHE-1221  CHE-2111  CHE-2121  MAT-2270  MET-1131                        </w:t>
            </w:r>
          </w:p>
        </w:tc>
        <w:tc>
          <w:tcPr>
            <w:tcW w:w="1430" w:type="dxa"/>
            <w:shd w:val="clear" w:color="auto" w:fill="auto"/>
          </w:tcPr>
          <w:p w:rsidR="00412BCB" w:rsidRPr="004C52FC" w:rsidRDefault="00EF5915" w:rsidP="004D7C40">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D7C40">
              <w:t>2014-15</w:t>
            </w:r>
            <w:r>
              <w:rPr>
                <w:rFonts w:ascii="Arial" w:hAnsi="Arial" w:cs="Arial"/>
                <w:color w:val="000000" w:themeColor="text1"/>
              </w:rPr>
              <w:fldChar w:fldCharType="end"/>
            </w:r>
          </w:p>
        </w:tc>
        <w:tc>
          <w:tcPr>
            <w:tcW w:w="2250" w:type="dxa"/>
          </w:tcPr>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793F78" w:rsidRPr="00793F78">
              <w:t>Assessments are given in the form of exams.  Besides basic knowledge questions, all full time and part time faculty include a variety of questions involving problem solving and critical thinking on such exams</w:t>
            </w: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c>
          <w:tcPr>
            <w:tcW w:w="4028" w:type="dxa"/>
          </w:tcPr>
          <w:p w:rsidR="00412BCB" w:rsidRDefault="007A709F" w:rsidP="001A2E6B">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On average, 66% of students enrolled in BIO 2205 Microbiology earn a C or higher on lecture exams.</w:t>
            </w:r>
          </w:p>
          <w:p w:rsidR="00F455B5" w:rsidRDefault="00F455B5" w:rsidP="001A2E6B">
            <w:pPr>
              <w:pStyle w:val="ListParagraph"/>
              <w:tabs>
                <w:tab w:val="left" w:pos="5040"/>
              </w:tabs>
              <w:ind w:left="0"/>
              <w:rPr>
                <w:rFonts w:asciiTheme="minorHAnsi" w:hAnsiTheme="minorHAnsi" w:cs="Arial"/>
                <w:color w:val="000000" w:themeColor="text1"/>
                <w:sz w:val="22"/>
              </w:rPr>
            </w:pPr>
          </w:p>
          <w:p w:rsidR="00F455B5" w:rsidRDefault="00B55D99" w:rsidP="001A2E6B">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For BIO 1111/1117 and BIO 1211/1217 Non-majors Biology, 69% of students earn a C or higher on the comprehensive exams.</w:t>
            </w:r>
          </w:p>
          <w:p w:rsidR="00A029AA" w:rsidRDefault="00A029AA" w:rsidP="001A2E6B">
            <w:pPr>
              <w:pStyle w:val="ListParagraph"/>
              <w:tabs>
                <w:tab w:val="left" w:pos="5040"/>
              </w:tabs>
              <w:ind w:left="0"/>
              <w:rPr>
                <w:rFonts w:asciiTheme="minorHAnsi" w:hAnsiTheme="minorHAnsi" w:cs="Arial"/>
                <w:color w:val="000000" w:themeColor="text1"/>
                <w:sz w:val="22"/>
              </w:rPr>
            </w:pPr>
          </w:p>
          <w:p w:rsidR="007E77E0" w:rsidRDefault="007E77E0" w:rsidP="001A2E6B">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For BIO 1121 and BIO 1222 Human Anatomy and Physiology, 56% and 63% of students earn a C or higher on the comprehensive exams, respectively.</w:t>
            </w:r>
          </w:p>
          <w:p w:rsidR="007E77E0" w:rsidRDefault="007E77E0" w:rsidP="001A2E6B">
            <w:pPr>
              <w:pStyle w:val="ListParagraph"/>
              <w:tabs>
                <w:tab w:val="left" w:pos="5040"/>
              </w:tabs>
              <w:ind w:left="0"/>
              <w:rPr>
                <w:rFonts w:asciiTheme="minorHAnsi" w:hAnsiTheme="minorHAnsi" w:cs="Arial"/>
                <w:color w:val="000000" w:themeColor="text1"/>
                <w:sz w:val="22"/>
              </w:rPr>
            </w:pPr>
          </w:p>
          <w:p w:rsidR="0025077A" w:rsidRDefault="0025077A" w:rsidP="0025077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On average, 55% and 54% of students enrolled in BIO 1141 and BIO 1242 A&amp;P, respectively, earned a C or higher on lecture exams.</w:t>
            </w:r>
          </w:p>
          <w:p w:rsidR="0025077A" w:rsidRDefault="0025077A" w:rsidP="001A2E6B">
            <w:pPr>
              <w:pStyle w:val="ListParagraph"/>
              <w:tabs>
                <w:tab w:val="left" w:pos="5040"/>
              </w:tabs>
              <w:ind w:left="0"/>
              <w:rPr>
                <w:rFonts w:asciiTheme="minorHAnsi" w:hAnsiTheme="minorHAnsi" w:cs="Arial"/>
                <w:color w:val="000000" w:themeColor="text1"/>
                <w:sz w:val="22"/>
              </w:rPr>
            </w:pPr>
          </w:p>
          <w:p w:rsidR="007B6B19" w:rsidRDefault="007B6B19" w:rsidP="007B6B19">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For BIO 1171 and BIO 1272 Majors Biology, 61% and 67% of students earn a C or higher on the lecture exams, respectively.</w:t>
            </w:r>
          </w:p>
          <w:p w:rsidR="007B6B19" w:rsidRDefault="007B6B19" w:rsidP="001A2E6B">
            <w:pPr>
              <w:pStyle w:val="ListParagraph"/>
              <w:tabs>
                <w:tab w:val="left" w:pos="5040"/>
              </w:tabs>
              <w:ind w:left="0"/>
              <w:rPr>
                <w:rFonts w:asciiTheme="minorHAnsi" w:hAnsiTheme="minorHAnsi" w:cs="Arial"/>
                <w:color w:val="000000" w:themeColor="text1"/>
                <w:sz w:val="22"/>
              </w:rPr>
            </w:pPr>
          </w:p>
          <w:p w:rsidR="00A029AA" w:rsidRPr="00B55D99" w:rsidRDefault="00A029AA" w:rsidP="001A2E6B">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On average, 64% of Biotechnology students earn a C or higher on the comprehensive exams in Biotechnology courses.</w:t>
            </w:r>
          </w:p>
          <w:p w:rsidR="00412BCB" w:rsidRPr="004C52FC" w:rsidRDefault="00412BCB" w:rsidP="001A2E6B">
            <w:pPr>
              <w:ind w:left="72"/>
              <w:rPr>
                <w:rFonts w:asciiTheme="minorHAnsi" w:hAnsiTheme="minorHAnsi" w:cs="Arial"/>
                <w:color w:val="000000" w:themeColor="text1"/>
              </w:rPr>
            </w:pPr>
          </w:p>
        </w:tc>
      </w:tr>
      <w:tr w:rsidR="00412BCB" w:rsidRPr="004C52FC" w:rsidTr="00EF5915">
        <w:tblPrEx>
          <w:shd w:val="clear" w:color="auto" w:fill="auto"/>
          <w:tblLook w:val="04A0" w:firstRow="1" w:lastRow="0" w:firstColumn="1" w:lastColumn="0" w:noHBand="0" w:noVBand="1"/>
        </w:tblPrEx>
        <w:trPr>
          <w:trHeight w:val="72"/>
        </w:trPr>
        <w:tc>
          <w:tcPr>
            <w:tcW w:w="3708" w:type="dxa"/>
          </w:tcPr>
          <w:p w:rsidR="00412BCB" w:rsidRDefault="00412BCB" w:rsidP="00EF5915">
            <w:pPr>
              <w:rPr>
                <w:rFonts w:ascii="Calibri" w:hAnsi="Calibri" w:cs="Calibri"/>
                <w:color w:val="000000"/>
                <w:sz w:val="22"/>
                <w:szCs w:val="22"/>
              </w:rPr>
            </w:pPr>
            <w:r>
              <w:rPr>
                <w:rFonts w:ascii="Calibri" w:hAnsi="Calibri" w:cs="Calibri"/>
                <w:color w:val="000000"/>
                <w:sz w:val="22"/>
                <w:szCs w:val="22"/>
              </w:rPr>
              <w:t>Demonstrate knowledge of various experimental systems, including bacterial cultures, mammalian cell cultures and recombinant DNA technology.</w:t>
            </w:r>
          </w:p>
        </w:tc>
        <w:tc>
          <w:tcPr>
            <w:tcW w:w="1742" w:type="dxa"/>
          </w:tcPr>
          <w:p w:rsidR="00412BCB" w:rsidRDefault="00412BCB" w:rsidP="00EF5915">
            <w:pPr>
              <w:rPr>
                <w:rFonts w:ascii="Calibri" w:hAnsi="Calibri" w:cs="Calibri"/>
                <w:color w:val="000000"/>
                <w:sz w:val="22"/>
                <w:szCs w:val="22"/>
              </w:rPr>
            </w:pPr>
            <w:r>
              <w:rPr>
                <w:rFonts w:ascii="Calibri" w:hAnsi="Calibri" w:cs="Calibri"/>
                <w:color w:val="000000"/>
                <w:sz w:val="22"/>
                <w:szCs w:val="22"/>
              </w:rPr>
              <w:t xml:space="preserve">BTN-1130  BTN-1140  BTN-1201                                 </w:t>
            </w:r>
          </w:p>
        </w:tc>
        <w:tc>
          <w:tcPr>
            <w:tcW w:w="1430" w:type="dxa"/>
          </w:tcPr>
          <w:p w:rsidR="00412BCB" w:rsidRPr="004C52FC" w:rsidRDefault="00EF5915" w:rsidP="004D7C40">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D7C40">
              <w:t>2015-16</w:t>
            </w:r>
            <w:r>
              <w:rPr>
                <w:rFonts w:ascii="Arial" w:hAnsi="Arial" w:cs="Arial"/>
                <w:color w:val="000000" w:themeColor="text1"/>
              </w:rPr>
              <w:fldChar w:fldCharType="end"/>
            </w:r>
          </w:p>
        </w:tc>
        <w:tc>
          <w:tcPr>
            <w:tcW w:w="2250" w:type="dxa"/>
          </w:tcPr>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03E66" w:rsidRPr="00D03E66">
              <w:t xml:space="preserve">This outcome is specifically addressed in our biotechnology, microbiology and majors biology courses.  Students are assigned and “unknown” bacteria.  They are then required to culture the cells and design a series of experiments to determine the strain of bacteria.  In all three courses (biotechnology, microbiology and biology majors), students perform a pGLO experiment in which recombinant DNA technology is used to transfer a bioluminescence gene of a jellyfish into a bacterial culture.  Students are then required to develop a formal laboratory report detailing the steps and conclusions of the experiment.  </w:t>
            </w: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c>
          <w:tcPr>
            <w:tcW w:w="4028" w:type="dxa"/>
          </w:tcPr>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r>
      <w:tr w:rsidR="00412BCB" w:rsidRPr="004C52FC" w:rsidTr="00EF5915">
        <w:tblPrEx>
          <w:shd w:val="clear" w:color="auto" w:fill="auto"/>
          <w:tblLook w:val="04A0" w:firstRow="1" w:lastRow="0" w:firstColumn="1" w:lastColumn="0" w:noHBand="0" w:noVBand="1"/>
        </w:tblPrEx>
        <w:trPr>
          <w:trHeight w:val="72"/>
        </w:trPr>
        <w:tc>
          <w:tcPr>
            <w:tcW w:w="3708" w:type="dxa"/>
          </w:tcPr>
          <w:p w:rsidR="00412BCB" w:rsidRDefault="00412BCB" w:rsidP="00EF5915">
            <w:pPr>
              <w:rPr>
                <w:rFonts w:ascii="Calibri" w:hAnsi="Calibri" w:cs="Calibri"/>
                <w:color w:val="000000"/>
                <w:sz w:val="22"/>
                <w:szCs w:val="22"/>
              </w:rPr>
            </w:pPr>
            <w:r>
              <w:rPr>
                <w:rFonts w:ascii="Calibri" w:hAnsi="Calibri" w:cs="Calibri"/>
                <w:color w:val="000000"/>
                <w:sz w:val="22"/>
                <w:szCs w:val="22"/>
              </w:rPr>
              <w:t>Recognize and articulate an understanding of the increasing interdependence of world cultures and their consequences.</w:t>
            </w:r>
          </w:p>
        </w:tc>
        <w:tc>
          <w:tcPr>
            <w:tcW w:w="1742" w:type="dxa"/>
          </w:tcPr>
          <w:p w:rsidR="00412BCB" w:rsidRDefault="00412BCB" w:rsidP="00EF5915">
            <w:pPr>
              <w:rPr>
                <w:rFonts w:ascii="Calibri" w:hAnsi="Calibri" w:cs="Calibri"/>
                <w:color w:val="000000"/>
                <w:sz w:val="22"/>
                <w:szCs w:val="22"/>
              </w:rPr>
            </w:pPr>
            <w:r>
              <w:rPr>
                <w:rFonts w:ascii="Calibri" w:hAnsi="Calibri" w:cs="Calibri"/>
                <w:color w:val="000000"/>
                <w:sz w:val="22"/>
                <w:szCs w:val="22"/>
              </w:rPr>
              <w:t xml:space="preserve">                                     </w:t>
            </w:r>
          </w:p>
        </w:tc>
        <w:tc>
          <w:tcPr>
            <w:tcW w:w="1430" w:type="dxa"/>
          </w:tcPr>
          <w:p w:rsidR="00412BCB" w:rsidRPr="004C52FC" w:rsidRDefault="00EF5915" w:rsidP="00EB011C">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EB011C">
              <w:t>2016-17</w:t>
            </w:r>
            <w:r>
              <w:rPr>
                <w:rFonts w:ascii="Arial" w:hAnsi="Arial" w:cs="Arial"/>
                <w:color w:val="000000" w:themeColor="text1"/>
              </w:rPr>
              <w:fldChar w:fldCharType="end"/>
            </w:r>
          </w:p>
        </w:tc>
        <w:tc>
          <w:tcPr>
            <w:tcW w:w="2250" w:type="dxa"/>
          </w:tcPr>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03E66" w:rsidRPr="00D03E66">
              <w:t xml:space="preserve">This program outcome is addressed in our general biology and majors biology courses under the broad spectrum of evolution and population genetics.  Students are taught how gene flow and increasing technology and mass transit have led to the gradual homogenization of once distinct human subpopulations.  This concept can then be applied to the overarching theme of interdependence of world cultures in respect to genetics.  Students in majors biology are required to complete a population genetics experiment as part of their normal course grade.  </w:t>
            </w: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c>
          <w:tcPr>
            <w:tcW w:w="4028" w:type="dxa"/>
          </w:tcPr>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r>
      <w:tr w:rsidR="00E75D21" w:rsidRPr="004C52FC" w:rsidTr="00E75D21">
        <w:tblPrEx>
          <w:shd w:val="clear" w:color="auto" w:fill="auto"/>
          <w:tblLook w:val="04A0" w:firstRow="1" w:lastRow="0" w:firstColumn="1" w:lastColumn="0" w:noHBand="0" w:noVBand="1"/>
        </w:tblPrEx>
        <w:trPr>
          <w:trHeight w:val="72"/>
        </w:trPr>
        <w:tc>
          <w:tcPr>
            <w:tcW w:w="3708" w:type="dxa"/>
            <w:shd w:val="clear" w:color="auto" w:fill="F2DBDB" w:themeFill="accent2" w:themeFillTint="33"/>
          </w:tcPr>
          <w:p w:rsidR="00E75D21" w:rsidRPr="00E75D21" w:rsidRDefault="00E75D21" w:rsidP="00E75D21">
            <w:pPr>
              <w:tabs>
                <w:tab w:val="left" w:pos="5040"/>
              </w:tabs>
              <w:rPr>
                <w:rFonts w:ascii="Arial" w:hAnsi="Arial" w:cs="Arial"/>
                <w:b/>
                <w:color w:val="000000" w:themeColor="text1"/>
              </w:rPr>
            </w:pPr>
            <w:r w:rsidRPr="00E75D21">
              <w:rPr>
                <w:rFonts w:ascii="Arial" w:hAnsi="Arial" w:cs="Arial"/>
                <w:b/>
                <w:color w:val="000000" w:themeColor="text1"/>
              </w:rPr>
              <w:t xml:space="preserve">Are changes planned as a result of the assessment of program outcomes?  If so, what are those changes? </w:t>
            </w:r>
          </w:p>
          <w:p w:rsidR="00E75D21" w:rsidRDefault="00E75D21" w:rsidP="00EF5915">
            <w:pPr>
              <w:rPr>
                <w:rFonts w:ascii="Calibri" w:hAnsi="Calibri" w:cs="Calibri"/>
                <w:color w:val="000000"/>
                <w:sz w:val="22"/>
                <w:szCs w:val="22"/>
              </w:rPr>
            </w:pPr>
          </w:p>
        </w:tc>
        <w:tc>
          <w:tcPr>
            <w:tcW w:w="9450" w:type="dxa"/>
            <w:gridSpan w:val="4"/>
            <w:shd w:val="clear" w:color="auto" w:fill="F2DBDB" w:themeFill="accent2" w:themeFillTint="33"/>
          </w:tcPr>
          <w:p w:rsidR="00E75D21" w:rsidRDefault="00F455B5" w:rsidP="001A2E6B">
            <w:pPr>
              <w:pStyle w:val="ListParagraph"/>
              <w:tabs>
                <w:tab w:val="left" w:pos="5040"/>
              </w:tabs>
              <w:ind w:left="0"/>
              <w:rPr>
                <w:rFonts w:ascii="Arial" w:hAnsi="Arial" w:cs="Arial"/>
                <w:color w:val="000000" w:themeColor="text1"/>
                <w:sz w:val="22"/>
              </w:rPr>
            </w:pPr>
            <w:r>
              <w:rPr>
                <w:rFonts w:ascii="Arial" w:hAnsi="Arial" w:cs="Arial"/>
                <w:color w:val="000000" w:themeColor="text1"/>
                <w:sz w:val="22"/>
              </w:rPr>
              <w:t>Students enrolled in our anatomy and physiology courses often find the lab practicals very challenging as indicated by the success rates on these exams in which</w:t>
            </w:r>
            <w:r w:rsidR="0087440A">
              <w:rPr>
                <w:rFonts w:ascii="Arial" w:hAnsi="Arial" w:cs="Arial"/>
                <w:color w:val="000000" w:themeColor="text1"/>
                <w:sz w:val="22"/>
              </w:rPr>
              <w:t>,</w:t>
            </w:r>
            <w:r>
              <w:rPr>
                <w:rFonts w:ascii="Arial" w:hAnsi="Arial" w:cs="Arial"/>
                <w:color w:val="000000" w:themeColor="text1"/>
                <w:sz w:val="22"/>
              </w:rPr>
              <w:t xml:space="preserve"> on average</w:t>
            </w:r>
            <w:r w:rsidR="0087440A">
              <w:rPr>
                <w:rFonts w:ascii="Arial" w:hAnsi="Arial" w:cs="Arial"/>
                <w:color w:val="000000" w:themeColor="text1"/>
                <w:sz w:val="22"/>
              </w:rPr>
              <w:t>,</w:t>
            </w:r>
            <w:r>
              <w:rPr>
                <w:rFonts w:ascii="Arial" w:hAnsi="Arial" w:cs="Arial"/>
                <w:color w:val="000000" w:themeColor="text1"/>
                <w:sz w:val="22"/>
              </w:rPr>
              <w:t xml:space="preserve"> only about 50% of students earn a C or higher in the lab s</w:t>
            </w:r>
            <w:r w:rsidR="000F1E9E">
              <w:rPr>
                <w:rFonts w:ascii="Arial" w:hAnsi="Arial" w:cs="Arial"/>
                <w:color w:val="000000" w:themeColor="text1"/>
                <w:sz w:val="22"/>
              </w:rPr>
              <w:t>ection.  In response to these findings, the Biology Department developed Division Initiatives that included the implementation of weekly lab quizzes starting Spring Semester 2015.  The lab quizzes were added to the lab curriculum and assesses students comprehension of lab material learned in the previous week of lab.</w:t>
            </w:r>
          </w:p>
          <w:p w:rsidR="00723FFA" w:rsidRDefault="00723FFA" w:rsidP="001A2E6B">
            <w:pPr>
              <w:pStyle w:val="ListParagraph"/>
              <w:tabs>
                <w:tab w:val="left" w:pos="5040"/>
              </w:tabs>
              <w:ind w:left="0"/>
              <w:rPr>
                <w:rFonts w:ascii="Arial" w:hAnsi="Arial" w:cs="Arial"/>
                <w:color w:val="000000" w:themeColor="text1"/>
                <w:sz w:val="22"/>
              </w:rPr>
            </w:pPr>
          </w:p>
          <w:p w:rsidR="00723FFA" w:rsidRPr="00F455B5" w:rsidRDefault="00723FFA" w:rsidP="001A2E6B">
            <w:pPr>
              <w:pStyle w:val="ListParagraph"/>
              <w:tabs>
                <w:tab w:val="left" w:pos="5040"/>
              </w:tabs>
              <w:ind w:left="0"/>
              <w:rPr>
                <w:rFonts w:ascii="Arial" w:hAnsi="Arial" w:cs="Arial"/>
                <w:color w:val="000000" w:themeColor="text1"/>
                <w:sz w:val="22"/>
              </w:rPr>
            </w:pPr>
            <w:r>
              <w:rPr>
                <w:rFonts w:ascii="Arial" w:hAnsi="Arial" w:cs="Arial"/>
                <w:color w:val="000000" w:themeColor="text1"/>
                <w:sz w:val="22"/>
              </w:rPr>
              <w:t>Lab quizzes are being administered on a weekly basis except for the days of a lab exam or the week following a lab exam.  We are hoping that these weekly quizzes will better prepare students for the more encompassing lab exams, which covers aggregate material from several lab topics.</w:t>
            </w:r>
          </w:p>
        </w:tc>
      </w:tr>
      <w:tr w:rsidR="00E75D21" w:rsidRPr="004C52FC" w:rsidTr="00E75D21">
        <w:tblPrEx>
          <w:shd w:val="clear" w:color="auto" w:fill="auto"/>
          <w:tblLook w:val="04A0" w:firstRow="1" w:lastRow="0" w:firstColumn="1" w:lastColumn="0" w:noHBand="0" w:noVBand="1"/>
        </w:tblPrEx>
        <w:trPr>
          <w:trHeight w:val="72"/>
        </w:trPr>
        <w:tc>
          <w:tcPr>
            <w:tcW w:w="3708" w:type="dxa"/>
            <w:shd w:val="clear" w:color="auto" w:fill="F2DBDB" w:themeFill="accent2" w:themeFillTint="33"/>
          </w:tcPr>
          <w:p w:rsidR="00E75D21" w:rsidRPr="00E75D21" w:rsidRDefault="00E75D21" w:rsidP="00E75D21">
            <w:pPr>
              <w:tabs>
                <w:tab w:val="left" w:pos="5040"/>
              </w:tabs>
              <w:rPr>
                <w:rFonts w:ascii="Arial" w:hAnsi="Arial" w:cs="Arial"/>
                <w:b/>
                <w:color w:val="000000" w:themeColor="text1"/>
              </w:rPr>
            </w:pPr>
            <w:r w:rsidRPr="00E75D21">
              <w:rPr>
                <w:rFonts w:ascii="Arial" w:hAnsi="Arial" w:cs="Arial"/>
                <w:b/>
                <w:color w:val="000000" w:themeColor="text1"/>
              </w:rPr>
              <w:t xml:space="preserve">How will you determine whether those changes had an impact? </w:t>
            </w:r>
          </w:p>
          <w:p w:rsidR="00E75D21" w:rsidRDefault="00E75D21" w:rsidP="00EF5915">
            <w:pPr>
              <w:rPr>
                <w:rFonts w:ascii="Calibri" w:hAnsi="Calibri" w:cs="Calibri"/>
                <w:color w:val="000000"/>
                <w:sz w:val="22"/>
                <w:szCs w:val="22"/>
              </w:rPr>
            </w:pPr>
          </w:p>
        </w:tc>
        <w:tc>
          <w:tcPr>
            <w:tcW w:w="9450" w:type="dxa"/>
            <w:gridSpan w:val="4"/>
            <w:shd w:val="clear" w:color="auto" w:fill="F2DBDB" w:themeFill="accent2" w:themeFillTint="33"/>
          </w:tcPr>
          <w:p w:rsidR="00E75D21" w:rsidRDefault="00672525" w:rsidP="00DD4CE9">
            <w:pPr>
              <w:pStyle w:val="ListParagraph"/>
              <w:tabs>
                <w:tab w:val="left" w:pos="5040"/>
              </w:tabs>
              <w:ind w:left="0"/>
              <w:rPr>
                <w:rFonts w:ascii="Arial" w:hAnsi="Arial" w:cs="Arial"/>
                <w:color w:val="000000" w:themeColor="text1"/>
              </w:rPr>
            </w:pPr>
            <w:r w:rsidRPr="00672525">
              <w:rPr>
                <w:rFonts w:ascii="Arial" w:hAnsi="Arial" w:cs="Arial"/>
                <w:color w:val="000000" w:themeColor="text1"/>
                <w:sz w:val="22"/>
              </w:rPr>
              <w:t>Anatomy and physiology faculty will continue to give quizzes, monitor the exam grades and discuss ways to modify the quizzes such as: adding multiple choice questions, increasing the number of questions on each quiz, or using different modes of question delivery to enhance lab exam grades.</w:t>
            </w:r>
            <w:r w:rsidR="00DD4CE9">
              <w:rPr>
                <w:rFonts w:ascii="Arial" w:hAnsi="Arial" w:cs="Arial"/>
                <w:color w:val="000000" w:themeColor="text1"/>
                <w:sz w:val="22"/>
              </w:rPr>
              <w:t xml:space="preserve">  Lab quiz and lab exam scores will be collected from each section.  Eventually, we will compare the overall success rate on the lab exams post lab quiz implementation with the success rate of lab exams prior to the use of weekly lab quizzes to determine if the lab quizzes are improving student comprehension.</w:t>
            </w:r>
          </w:p>
        </w:tc>
      </w:tr>
    </w:tbl>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4D531F" w:rsidRDefault="004D531F" w:rsidP="00B61D81">
      <w:pPr>
        <w:rPr>
          <w:rFonts w:ascii="Arial" w:hAnsi="Arial" w:cs="Arial"/>
          <w:b/>
          <w:color w:val="000000" w:themeColor="text1"/>
        </w:rPr>
      </w:pPr>
    </w:p>
    <w:tbl>
      <w:tblPr>
        <w:tblW w:w="13060" w:type="dxa"/>
        <w:tblInd w:w="108" w:type="dxa"/>
        <w:tblLook w:val="04A0" w:firstRow="1" w:lastRow="0" w:firstColumn="1" w:lastColumn="0" w:noHBand="0" w:noVBand="1"/>
      </w:tblPr>
      <w:tblGrid>
        <w:gridCol w:w="960"/>
        <w:gridCol w:w="1307"/>
        <w:gridCol w:w="3220"/>
        <w:gridCol w:w="2320"/>
        <w:gridCol w:w="760"/>
        <w:gridCol w:w="760"/>
        <w:gridCol w:w="760"/>
        <w:gridCol w:w="760"/>
        <w:gridCol w:w="760"/>
        <w:gridCol w:w="760"/>
        <w:gridCol w:w="760"/>
      </w:tblGrid>
      <w:tr w:rsidR="00E77016" w:rsidRPr="00E77016" w:rsidTr="00E77016">
        <w:trPr>
          <w:trHeight w:val="600"/>
        </w:trPr>
        <w:tc>
          <w:tcPr>
            <w:tcW w:w="960" w:type="dxa"/>
            <w:tcBorders>
              <w:top w:val="nil"/>
              <w:left w:val="nil"/>
              <w:bottom w:val="nil"/>
              <w:right w:val="nil"/>
            </w:tcBorders>
            <w:shd w:val="clear" w:color="auto" w:fill="auto"/>
            <w:noWrap/>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Program</w:t>
            </w:r>
          </w:p>
        </w:tc>
        <w:tc>
          <w:tcPr>
            <w:tcW w:w="760" w:type="dxa"/>
            <w:tcBorders>
              <w:top w:val="nil"/>
              <w:left w:val="nil"/>
              <w:bottom w:val="nil"/>
              <w:right w:val="nil"/>
            </w:tcBorders>
            <w:shd w:val="clear" w:color="auto" w:fill="auto"/>
            <w:hideMark/>
          </w:tcPr>
          <w:p w:rsidR="00E77016" w:rsidRPr="00E77016" w:rsidRDefault="00E77016" w:rsidP="00E77016">
            <w:pPr>
              <w:jc w:val="center"/>
              <w:rPr>
                <w:rFonts w:ascii="Calibri" w:hAnsi="Calibri"/>
                <w:color w:val="000000"/>
                <w:sz w:val="22"/>
                <w:szCs w:val="22"/>
              </w:rPr>
            </w:pPr>
            <w:r w:rsidRPr="00E77016">
              <w:rPr>
                <w:rFonts w:ascii="Calibri" w:hAnsi="Calibri"/>
                <w:color w:val="000000"/>
                <w:sz w:val="22"/>
                <w:szCs w:val="22"/>
              </w:rPr>
              <w:t>FY 07-08</w:t>
            </w:r>
          </w:p>
        </w:tc>
        <w:tc>
          <w:tcPr>
            <w:tcW w:w="760" w:type="dxa"/>
            <w:tcBorders>
              <w:top w:val="nil"/>
              <w:left w:val="nil"/>
              <w:bottom w:val="nil"/>
              <w:right w:val="nil"/>
            </w:tcBorders>
            <w:shd w:val="clear" w:color="auto" w:fill="auto"/>
            <w:hideMark/>
          </w:tcPr>
          <w:p w:rsidR="00E77016" w:rsidRPr="00E77016" w:rsidRDefault="00E77016" w:rsidP="00E77016">
            <w:pPr>
              <w:jc w:val="center"/>
              <w:rPr>
                <w:rFonts w:ascii="Calibri" w:hAnsi="Calibri"/>
                <w:color w:val="000000"/>
                <w:sz w:val="22"/>
                <w:szCs w:val="22"/>
              </w:rPr>
            </w:pPr>
            <w:r w:rsidRPr="00E77016">
              <w:rPr>
                <w:rFonts w:ascii="Calibri" w:hAnsi="Calibri"/>
                <w:color w:val="000000"/>
                <w:sz w:val="22"/>
                <w:szCs w:val="22"/>
              </w:rPr>
              <w:t>FY 08-09</w:t>
            </w:r>
          </w:p>
        </w:tc>
        <w:tc>
          <w:tcPr>
            <w:tcW w:w="760" w:type="dxa"/>
            <w:tcBorders>
              <w:top w:val="nil"/>
              <w:left w:val="nil"/>
              <w:bottom w:val="nil"/>
              <w:right w:val="nil"/>
            </w:tcBorders>
            <w:shd w:val="clear" w:color="auto" w:fill="auto"/>
            <w:hideMark/>
          </w:tcPr>
          <w:p w:rsidR="00E77016" w:rsidRPr="00E77016" w:rsidRDefault="00E77016" w:rsidP="00E77016">
            <w:pPr>
              <w:jc w:val="center"/>
              <w:rPr>
                <w:rFonts w:ascii="Calibri" w:hAnsi="Calibri"/>
                <w:color w:val="000000"/>
                <w:sz w:val="22"/>
                <w:szCs w:val="22"/>
              </w:rPr>
            </w:pPr>
            <w:r w:rsidRPr="00E77016">
              <w:rPr>
                <w:rFonts w:ascii="Calibri" w:hAnsi="Calibri"/>
                <w:color w:val="000000"/>
                <w:sz w:val="22"/>
                <w:szCs w:val="22"/>
              </w:rPr>
              <w:t>FY 09-10</w:t>
            </w:r>
          </w:p>
        </w:tc>
        <w:tc>
          <w:tcPr>
            <w:tcW w:w="760" w:type="dxa"/>
            <w:tcBorders>
              <w:top w:val="nil"/>
              <w:left w:val="nil"/>
              <w:bottom w:val="nil"/>
              <w:right w:val="nil"/>
            </w:tcBorders>
            <w:shd w:val="clear" w:color="auto" w:fill="auto"/>
            <w:hideMark/>
          </w:tcPr>
          <w:p w:rsidR="00E77016" w:rsidRPr="00E77016" w:rsidRDefault="00E77016" w:rsidP="00E77016">
            <w:pPr>
              <w:jc w:val="center"/>
              <w:rPr>
                <w:rFonts w:ascii="Calibri" w:hAnsi="Calibri"/>
                <w:color w:val="000000"/>
                <w:sz w:val="22"/>
                <w:szCs w:val="22"/>
              </w:rPr>
            </w:pPr>
            <w:r w:rsidRPr="00E77016">
              <w:rPr>
                <w:rFonts w:ascii="Calibri" w:hAnsi="Calibri"/>
                <w:color w:val="000000"/>
                <w:sz w:val="22"/>
                <w:szCs w:val="22"/>
              </w:rPr>
              <w:t>FY 10-11</w:t>
            </w:r>
          </w:p>
        </w:tc>
        <w:tc>
          <w:tcPr>
            <w:tcW w:w="760" w:type="dxa"/>
            <w:tcBorders>
              <w:top w:val="nil"/>
              <w:left w:val="nil"/>
              <w:bottom w:val="nil"/>
              <w:right w:val="nil"/>
            </w:tcBorders>
            <w:shd w:val="clear" w:color="auto" w:fill="auto"/>
            <w:hideMark/>
          </w:tcPr>
          <w:p w:rsidR="00E77016" w:rsidRPr="00E77016" w:rsidRDefault="00E77016" w:rsidP="00E77016">
            <w:pPr>
              <w:jc w:val="center"/>
              <w:rPr>
                <w:rFonts w:ascii="Calibri" w:hAnsi="Calibri"/>
                <w:color w:val="000000"/>
                <w:sz w:val="22"/>
                <w:szCs w:val="22"/>
              </w:rPr>
            </w:pPr>
            <w:r w:rsidRPr="00E77016">
              <w:rPr>
                <w:rFonts w:ascii="Calibri" w:hAnsi="Calibri"/>
                <w:color w:val="000000"/>
                <w:sz w:val="22"/>
                <w:szCs w:val="22"/>
              </w:rPr>
              <w:t>FY 11-12</w:t>
            </w:r>
          </w:p>
        </w:tc>
        <w:tc>
          <w:tcPr>
            <w:tcW w:w="760" w:type="dxa"/>
            <w:tcBorders>
              <w:top w:val="nil"/>
              <w:left w:val="nil"/>
              <w:bottom w:val="nil"/>
              <w:right w:val="nil"/>
            </w:tcBorders>
            <w:shd w:val="clear" w:color="auto" w:fill="auto"/>
            <w:hideMark/>
          </w:tcPr>
          <w:p w:rsidR="00E77016" w:rsidRPr="00E77016" w:rsidRDefault="00E77016" w:rsidP="00E77016">
            <w:pPr>
              <w:jc w:val="center"/>
              <w:rPr>
                <w:rFonts w:ascii="Calibri" w:hAnsi="Calibri"/>
                <w:color w:val="000000"/>
                <w:sz w:val="22"/>
                <w:szCs w:val="22"/>
              </w:rPr>
            </w:pPr>
            <w:r w:rsidRPr="00E77016">
              <w:rPr>
                <w:rFonts w:ascii="Calibri" w:hAnsi="Calibri"/>
                <w:color w:val="000000"/>
                <w:sz w:val="22"/>
                <w:szCs w:val="22"/>
              </w:rPr>
              <w:t>FY 12-13</w:t>
            </w:r>
          </w:p>
        </w:tc>
        <w:tc>
          <w:tcPr>
            <w:tcW w:w="760" w:type="dxa"/>
            <w:tcBorders>
              <w:top w:val="nil"/>
              <w:left w:val="nil"/>
              <w:bottom w:val="nil"/>
              <w:right w:val="nil"/>
            </w:tcBorders>
            <w:shd w:val="clear" w:color="auto" w:fill="auto"/>
            <w:hideMark/>
          </w:tcPr>
          <w:p w:rsidR="00E77016" w:rsidRPr="00E77016" w:rsidRDefault="00E77016" w:rsidP="00E77016">
            <w:pPr>
              <w:jc w:val="center"/>
              <w:rPr>
                <w:rFonts w:ascii="Calibri" w:hAnsi="Calibri"/>
                <w:color w:val="000000"/>
                <w:sz w:val="22"/>
                <w:szCs w:val="22"/>
              </w:rPr>
            </w:pPr>
            <w:r w:rsidRPr="00E77016">
              <w:rPr>
                <w:rFonts w:ascii="Calibri" w:hAnsi="Calibri"/>
                <w:color w:val="000000"/>
                <w:sz w:val="22"/>
                <w:szCs w:val="22"/>
              </w:rPr>
              <w:t>FY 13-14</w:t>
            </w:r>
          </w:p>
        </w:tc>
      </w:tr>
      <w:tr w:rsidR="00E77016" w:rsidRPr="00E77016" w:rsidTr="00E77016">
        <w:trPr>
          <w:trHeight w:val="300"/>
        </w:trPr>
        <w:tc>
          <w:tcPr>
            <w:tcW w:w="960" w:type="dxa"/>
            <w:tcBorders>
              <w:top w:val="nil"/>
              <w:left w:val="nil"/>
              <w:bottom w:val="nil"/>
              <w:right w:val="nil"/>
            </w:tcBorders>
            <w:shd w:val="clear" w:color="auto" w:fill="auto"/>
            <w:noWrap/>
            <w:vAlign w:val="bottom"/>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Biology</w:t>
            </w:r>
          </w:p>
        </w:tc>
        <w:tc>
          <w:tcPr>
            <w:tcW w:w="2320" w:type="dxa"/>
            <w:tcBorders>
              <w:top w:val="nil"/>
              <w:left w:val="nil"/>
              <w:bottom w:val="nil"/>
              <w:right w:val="nil"/>
            </w:tcBorders>
            <w:shd w:val="clear" w:color="auto" w:fill="auto"/>
            <w:noWrap/>
            <w:vAlign w:val="bottom"/>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BIOE.AS</w:t>
            </w:r>
          </w:p>
        </w:tc>
        <w:tc>
          <w:tcPr>
            <w:tcW w:w="760" w:type="dxa"/>
            <w:tcBorders>
              <w:top w:val="nil"/>
              <w:left w:val="nil"/>
              <w:bottom w:val="nil"/>
              <w:right w:val="nil"/>
            </w:tcBorders>
            <w:shd w:val="clear" w:color="auto" w:fill="auto"/>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w:t>
            </w:r>
          </w:p>
        </w:tc>
      </w:tr>
      <w:tr w:rsidR="00E77016" w:rsidRPr="00E77016" w:rsidTr="00E77016">
        <w:trPr>
          <w:trHeight w:val="300"/>
        </w:trPr>
        <w:tc>
          <w:tcPr>
            <w:tcW w:w="960" w:type="dxa"/>
            <w:tcBorders>
              <w:top w:val="nil"/>
              <w:left w:val="nil"/>
              <w:bottom w:val="nil"/>
              <w:right w:val="nil"/>
            </w:tcBorders>
            <w:shd w:val="clear" w:color="000000" w:fill="D9D9D9"/>
            <w:noWrap/>
            <w:vAlign w:val="bottom"/>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Biology</w:t>
            </w:r>
          </w:p>
        </w:tc>
        <w:tc>
          <w:tcPr>
            <w:tcW w:w="2320" w:type="dxa"/>
            <w:tcBorders>
              <w:top w:val="nil"/>
              <w:left w:val="nil"/>
              <w:bottom w:val="nil"/>
              <w:right w:val="nil"/>
            </w:tcBorders>
            <w:shd w:val="clear" w:color="000000" w:fill="D9D9D9"/>
            <w:noWrap/>
            <w:vAlign w:val="bottom"/>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BIOE.S.AS</w:t>
            </w:r>
          </w:p>
        </w:tc>
        <w:tc>
          <w:tcPr>
            <w:tcW w:w="760" w:type="dxa"/>
            <w:tcBorders>
              <w:top w:val="nil"/>
              <w:left w:val="nil"/>
              <w:bottom w:val="nil"/>
              <w:right w:val="nil"/>
            </w:tcBorders>
            <w:shd w:val="clear" w:color="000000" w:fill="D9D9D9"/>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4</w:t>
            </w:r>
          </w:p>
        </w:tc>
      </w:tr>
      <w:tr w:rsidR="00E77016" w:rsidRPr="00E77016" w:rsidTr="00E77016">
        <w:trPr>
          <w:trHeight w:val="300"/>
        </w:trPr>
        <w:tc>
          <w:tcPr>
            <w:tcW w:w="960" w:type="dxa"/>
            <w:tcBorders>
              <w:top w:val="nil"/>
              <w:left w:val="nil"/>
              <w:bottom w:val="nil"/>
              <w:right w:val="nil"/>
            </w:tcBorders>
            <w:shd w:val="clear" w:color="auto" w:fill="auto"/>
            <w:noWrap/>
            <w:vAlign w:val="bottom"/>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Biology</w:t>
            </w:r>
          </w:p>
        </w:tc>
        <w:tc>
          <w:tcPr>
            <w:tcW w:w="2320" w:type="dxa"/>
            <w:tcBorders>
              <w:top w:val="nil"/>
              <w:left w:val="nil"/>
              <w:bottom w:val="nil"/>
              <w:right w:val="nil"/>
            </w:tcBorders>
            <w:shd w:val="clear" w:color="auto" w:fill="auto"/>
            <w:noWrap/>
            <w:vAlign w:val="bottom"/>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BTN.AAS</w:t>
            </w:r>
          </w:p>
        </w:tc>
        <w:tc>
          <w:tcPr>
            <w:tcW w:w="760" w:type="dxa"/>
            <w:tcBorders>
              <w:top w:val="nil"/>
              <w:left w:val="nil"/>
              <w:bottom w:val="nil"/>
              <w:right w:val="nil"/>
            </w:tcBorders>
            <w:shd w:val="clear" w:color="auto" w:fill="auto"/>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9</w:t>
            </w:r>
          </w:p>
        </w:tc>
        <w:tc>
          <w:tcPr>
            <w:tcW w:w="760" w:type="dxa"/>
            <w:tcBorders>
              <w:top w:val="nil"/>
              <w:left w:val="nil"/>
              <w:bottom w:val="nil"/>
              <w:right w:val="nil"/>
            </w:tcBorders>
            <w:shd w:val="clear" w:color="auto" w:fill="auto"/>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13</w:t>
            </w:r>
          </w:p>
        </w:tc>
        <w:tc>
          <w:tcPr>
            <w:tcW w:w="760" w:type="dxa"/>
            <w:tcBorders>
              <w:top w:val="nil"/>
              <w:left w:val="nil"/>
              <w:bottom w:val="nil"/>
              <w:right w:val="nil"/>
            </w:tcBorders>
            <w:shd w:val="clear" w:color="auto" w:fill="auto"/>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13</w:t>
            </w:r>
          </w:p>
        </w:tc>
        <w:tc>
          <w:tcPr>
            <w:tcW w:w="760" w:type="dxa"/>
            <w:tcBorders>
              <w:top w:val="nil"/>
              <w:left w:val="nil"/>
              <w:bottom w:val="nil"/>
              <w:right w:val="nil"/>
            </w:tcBorders>
            <w:shd w:val="clear" w:color="auto" w:fill="auto"/>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11</w:t>
            </w:r>
          </w:p>
        </w:tc>
        <w:tc>
          <w:tcPr>
            <w:tcW w:w="760" w:type="dxa"/>
            <w:tcBorders>
              <w:top w:val="nil"/>
              <w:left w:val="nil"/>
              <w:bottom w:val="nil"/>
              <w:right w:val="nil"/>
            </w:tcBorders>
            <w:shd w:val="clear" w:color="auto" w:fill="auto"/>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13</w:t>
            </w:r>
          </w:p>
        </w:tc>
        <w:tc>
          <w:tcPr>
            <w:tcW w:w="760" w:type="dxa"/>
            <w:tcBorders>
              <w:top w:val="nil"/>
              <w:left w:val="nil"/>
              <w:bottom w:val="nil"/>
              <w:right w:val="nil"/>
            </w:tcBorders>
            <w:shd w:val="clear" w:color="auto" w:fill="auto"/>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w:t>
            </w:r>
          </w:p>
        </w:tc>
      </w:tr>
      <w:tr w:rsidR="00E77016" w:rsidRPr="00E77016" w:rsidTr="00E77016">
        <w:trPr>
          <w:trHeight w:val="300"/>
        </w:trPr>
        <w:tc>
          <w:tcPr>
            <w:tcW w:w="960" w:type="dxa"/>
            <w:tcBorders>
              <w:top w:val="nil"/>
              <w:left w:val="nil"/>
              <w:bottom w:val="nil"/>
              <w:right w:val="nil"/>
            </w:tcBorders>
            <w:shd w:val="clear" w:color="000000" w:fill="D9D9D9"/>
            <w:noWrap/>
            <w:vAlign w:val="bottom"/>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Biology</w:t>
            </w:r>
          </w:p>
        </w:tc>
        <w:tc>
          <w:tcPr>
            <w:tcW w:w="2320" w:type="dxa"/>
            <w:tcBorders>
              <w:top w:val="nil"/>
              <w:left w:val="nil"/>
              <w:bottom w:val="nil"/>
              <w:right w:val="nil"/>
            </w:tcBorders>
            <w:shd w:val="clear" w:color="000000" w:fill="D9D9D9"/>
            <w:noWrap/>
            <w:vAlign w:val="bottom"/>
            <w:hideMark/>
          </w:tcPr>
          <w:p w:rsidR="00E77016" w:rsidRPr="00E77016" w:rsidRDefault="00E77016" w:rsidP="00E77016">
            <w:pPr>
              <w:rPr>
                <w:rFonts w:ascii="Calibri" w:hAnsi="Calibri"/>
                <w:color w:val="000000"/>
                <w:sz w:val="22"/>
                <w:szCs w:val="22"/>
              </w:rPr>
            </w:pPr>
            <w:r w:rsidRPr="00E77016">
              <w:rPr>
                <w:rFonts w:ascii="Calibri" w:hAnsi="Calibri"/>
                <w:color w:val="000000"/>
                <w:sz w:val="22"/>
                <w:szCs w:val="22"/>
              </w:rPr>
              <w:t>BTN.S.AAS</w:t>
            </w:r>
          </w:p>
        </w:tc>
        <w:tc>
          <w:tcPr>
            <w:tcW w:w="760" w:type="dxa"/>
            <w:tcBorders>
              <w:top w:val="nil"/>
              <w:left w:val="nil"/>
              <w:bottom w:val="nil"/>
              <w:right w:val="nil"/>
            </w:tcBorders>
            <w:shd w:val="clear" w:color="000000" w:fill="D9D9D9"/>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4</w:t>
            </w:r>
          </w:p>
        </w:tc>
        <w:tc>
          <w:tcPr>
            <w:tcW w:w="760" w:type="dxa"/>
            <w:tcBorders>
              <w:top w:val="nil"/>
              <w:left w:val="nil"/>
              <w:bottom w:val="nil"/>
              <w:right w:val="nil"/>
            </w:tcBorders>
            <w:shd w:val="clear" w:color="000000" w:fill="D9D9D9"/>
            <w:noWrap/>
            <w:vAlign w:val="bottom"/>
            <w:hideMark/>
          </w:tcPr>
          <w:p w:rsidR="00E77016" w:rsidRPr="00E77016" w:rsidRDefault="00E77016" w:rsidP="00E77016">
            <w:pPr>
              <w:jc w:val="right"/>
              <w:rPr>
                <w:rFonts w:ascii="Calibri" w:hAnsi="Calibri"/>
                <w:color w:val="000000"/>
                <w:sz w:val="22"/>
                <w:szCs w:val="22"/>
              </w:rPr>
            </w:pPr>
            <w:r w:rsidRPr="00E77016">
              <w:rPr>
                <w:rFonts w:ascii="Calibri" w:hAnsi="Calibri"/>
                <w:color w:val="000000"/>
                <w:sz w:val="22"/>
                <w:szCs w:val="22"/>
              </w:rPr>
              <w:t>12</w:t>
            </w:r>
          </w:p>
        </w:tc>
      </w:tr>
    </w:tbl>
    <w:p w:rsidR="00E77016" w:rsidRDefault="00E77016" w:rsidP="00225B53">
      <w:pPr>
        <w:spacing w:after="200" w:line="276" w:lineRule="auto"/>
        <w:rPr>
          <w:rFonts w:ascii="Arial" w:hAnsi="Arial" w:cs="Arial"/>
          <w:b/>
          <w:color w:val="000000" w:themeColor="text1"/>
        </w:rPr>
      </w:pPr>
    </w:p>
    <w:p w:rsidR="00E77016" w:rsidRDefault="00E77016" w:rsidP="00225B53">
      <w:pPr>
        <w:spacing w:after="200" w:line="276" w:lineRule="auto"/>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2920" w:type="dxa"/>
        <w:tblInd w:w="108" w:type="dxa"/>
        <w:tblLook w:val="04A0" w:firstRow="1" w:lastRow="0" w:firstColumn="1" w:lastColumn="0" w:noHBand="0" w:noVBand="1"/>
      </w:tblPr>
      <w:tblGrid>
        <w:gridCol w:w="1420"/>
        <w:gridCol w:w="3220"/>
        <w:gridCol w:w="1760"/>
        <w:gridCol w:w="266"/>
        <w:gridCol w:w="875"/>
        <w:gridCol w:w="875"/>
        <w:gridCol w:w="875"/>
        <w:gridCol w:w="875"/>
        <w:gridCol w:w="1000"/>
        <w:gridCol w:w="960"/>
        <w:gridCol w:w="960"/>
      </w:tblGrid>
      <w:tr w:rsidR="003C70E8" w:rsidRPr="003C70E8" w:rsidTr="003C70E8">
        <w:trPr>
          <w:trHeight w:val="600"/>
        </w:trPr>
        <w:tc>
          <w:tcPr>
            <w:tcW w:w="1420" w:type="dxa"/>
            <w:tcBorders>
              <w:top w:val="nil"/>
              <w:left w:val="nil"/>
              <w:bottom w:val="nil"/>
              <w:right w:val="nil"/>
            </w:tcBorders>
            <w:shd w:val="clear" w:color="auto" w:fill="auto"/>
            <w:hideMark/>
          </w:tcPr>
          <w:p w:rsidR="003C70E8" w:rsidRPr="003C70E8" w:rsidRDefault="003C70E8" w:rsidP="003C70E8">
            <w:pPr>
              <w:rPr>
                <w:rFonts w:ascii="Calibri" w:hAnsi="Calibri"/>
                <w:b/>
                <w:bCs/>
                <w:color w:val="000000"/>
                <w:sz w:val="22"/>
                <w:szCs w:val="22"/>
              </w:rPr>
            </w:pPr>
            <w:r w:rsidRPr="003C70E8">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3C70E8" w:rsidRPr="003C70E8" w:rsidRDefault="003C70E8" w:rsidP="003C70E8">
            <w:pPr>
              <w:rPr>
                <w:rFonts w:ascii="Calibri" w:hAnsi="Calibri"/>
                <w:b/>
                <w:bCs/>
                <w:color w:val="000000"/>
                <w:sz w:val="22"/>
                <w:szCs w:val="22"/>
              </w:rPr>
            </w:pPr>
            <w:r w:rsidRPr="003C70E8">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3C70E8" w:rsidRPr="003C70E8" w:rsidRDefault="003C70E8" w:rsidP="003C70E8">
            <w:pPr>
              <w:rPr>
                <w:rFonts w:ascii="Calibri" w:hAnsi="Calibri"/>
                <w:b/>
                <w:bCs/>
                <w:color w:val="000000"/>
                <w:sz w:val="22"/>
                <w:szCs w:val="22"/>
              </w:rPr>
            </w:pPr>
            <w:r w:rsidRPr="003C70E8">
              <w:rPr>
                <w:rFonts w:ascii="Calibri" w:hAnsi="Calibri"/>
                <w:b/>
                <w:bCs/>
                <w:color w:val="000000"/>
                <w:sz w:val="22"/>
                <w:szCs w:val="22"/>
              </w:rPr>
              <w:t>Course</w:t>
            </w:r>
          </w:p>
        </w:tc>
        <w:tc>
          <w:tcPr>
            <w:tcW w:w="160" w:type="dxa"/>
            <w:tcBorders>
              <w:top w:val="nil"/>
              <w:left w:val="nil"/>
              <w:bottom w:val="nil"/>
              <w:right w:val="nil"/>
            </w:tcBorders>
            <w:shd w:val="clear" w:color="auto" w:fill="auto"/>
            <w:hideMark/>
          </w:tcPr>
          <w:p w:rsidR="003C70E8" w:rsidRPr="003C70E8" w:rsidRDefault="003C70E8" w:rsidP="003C70E8">
            <w:pPr>
              <w:rPr>
                <w:rFonts w:ascii="Calibri" w:hAnsi="Calibri"/>
                <w:b/>
                <w:bCs/>
                <w:color w:val="000000"/>
                <w:sz w:val="22"/>
                <w:szCs w:val="22"/>
              </w:rPr>
            </w:pPr>
          </w:p>
        </w:tc>
        <w:tc>
          <w:tcPr>
            <w:tcW w:w="860" w:type="dxa"/>
            <w:tcBorders>
              <w:top w:val="nil"/>
              <w:left w:val="nil"/>
              <w:bottom w:val="nil"/>
              <w:right w:val="nil"/>
            </w:tcBorders>
            <w:shd w:val="clear" w:color="auto" w:fill="auto"/>
            <w:hideMark/>
          </w:tcPr>
          <w:p w:rsidR="003C70E8" w:rsidRPr="003C70E8" w:rsidRDefault="003C70E8" w:rsidP="003C70E8">
            <w:pPr>
              <w:jc w:val="right"/>
              <w:rPr>
                <w:rFonts w:ascii="Calibri" w:hAnsi="Calibri"/>
                <w:b/>
                <w:bCs/>
                <w:color w:val="000000"/>
                <w:sz w:val="22"/>
                <w:szCs w:val="22"/>
              </w:rPr>
            </w:pPr>
            <w:r w:rsidRPr="003C70E8">
              <w:rPr>
                <w:rFonts w:ascii="Calibri" w:hAnsi="Calibri"/>
                <w:b/>
                <w:bCs/>
                <w:color w:val="000000"/>
                <w:sz w:val="22"/>
                <w:szCs w:val="22"/>
              </w:rPr>
              <w:t>FY 07-08</w:t>
            </w:r>
          </w:p>
        </w:tc>
        <w:tc>
          <w:tcPr>
            <w:tcW w:w="860" w:type="dxa"/>
            <w:tcBorders>
              <w:top w:val="nil"/>
              <w:left w:val="nil"/>
              <w:bottom w:val="nil"/>
              <w:right w:val="nil"/>
            </w:tcBorders>
            <w:shd w:val="clear" w:color="auto" w:fill="auto"/>
            <w:hideMark/>
          </w:tcPr>
          <w:p w:rsidR="003C70E8" w:rsidRPr="003C70E8" w:rsidRDefault="003C70E8" w:rsidP="003C70E8">
            <w:pPr>
              <w:jc w:val="right"/>
              <w:rPr>
                <w:rFonts w:ascii="Calibri" w:hAnsi="Calibri"/>
                <w:b/>
                <w:bCs/>
                <w:color w:val="000000"/>
                <w:sz w:val="22"/>
                <w:szCs w:val="22"/>
              </w:rPr>
            </w:pPr>
            <w:r w:rsidRPr="003C70E8">
              <w:rPr>
                <w:rFonts w:ascii="Calibri" w:hAnsi="Calibri"/>
                <w:b/>
                <w:bCs/>
                <w:color w:val="000000"/>
                <w:sz w:val="22"/>
                <w:szCs w:val="22"/>
              </w:rPr>
              <w:t>FY 08-09</w:t>
            </w:r>
          </w:p>
        </w:tc>
        <w:tc>
          <w:tcPr>
            <w:tcW w:w="860" w:type="dxa"/>
            <w:tcBorders>
              <w:top w:val="nil"/>
              <w:left w:val="nil"/>
              <w:bottom w:val="nil"/>
              <w:right w:val="nil"/>
            </w:tcBorders>
            <w:shd w:val="clear" w:color="auto" w:fill="auto"/>
            <w:hideMark/>
          </w:tcPr>
          <w:p w:rsidR="003C70E8" w:rsidRPr="003C70E8" w:rsidRDefault="003C70E8" w:rsidP="003C70E8">
            <w:pPr>
              <w:jc w:val="right"/>
              <w:rPr>
                <w:rFonts w:ascii="Calibri" w:hAnsi="Calibri"/>
                <w:b/>
                <w:bCs/>
                <w:color w:val="000000"/>
                <w:sz w:val="22"/>
                <w:szCs w:val="22"/>
              </w:rPr>
            </w:pPr>
            <w:r w:rsidRPr="003C70E8">
              <w:rPr>
                <w:rFonts w:ascii="Calibri" w:hAnsi="Calibri"/>
                <w:b/>
                <w:bCs/>
                <w:color w:val="000000"/>
                <w:sz w:val="22"/>
                <w:szCs w:val="22"/>
              </w:rPr>
              <w:t>FY 09-10</w:t>
            </w:r>
          </w:p>
        </w:tc>
        <w:tc>
          <w:tcPr>
            <w:tcW w:w="860" w:type="dxa"/>
            <w:tcBorders>
              <w:top w:val="nil"/>
              <w:left w:val="nil"/>
              <w:bottom w:val="nil"/>
              <w:right w:val="nil"/>
            </w:tcBorders>
            <w:shd w:val="clear" w:color="auto" w:fill="auto"/>
            <w:hideMark/>
          </w:tcPr>
          <w:p w:rsidR="003C70E8" w:rsidRPr="003C70E8" w:rsidRDefault="003C70E8" w:rsidP="003C70E8">
            <w:pPr>
              <w:jc w:val="right"/>
              <w:rPr>
                <w:rFonts w:ascii="Calibri" w:hAnsi="Calibri"/>
                <w:b/>
                <w:bCs/>
                <w:color w:val="000000"/>
                <w:sz w:val="22"/>
                <w:szCs w:val="22"/>
              </w:rPr>
            </w:pPr>
            <w:r w:rsidRPr="003C70E8">
              <w:rPr>
                <w:rFonts w:ascii="Calibri" w:hAnsi="Calibri"/>
                <w:b/>
                <w:bCs/>
                <w:color w:val="000000"/>
                <w:sz w:val="22"/>
                <w:szCs w:val="22"/>
              </w:rPr>
              <w:t>FY 10-11</w:t>
            </w:r>
          </w:p>
        </w:tc>
        <w:tc>
          <w:tcPr>
            <w:tcW w:w="1000" w:type="dxa"/>
            <w:tcBorders>
              <w:top w:val="nil"/>
              <w:left w:val="nil"/>
              <w:bottom w:val="nil"/>
              <w:right w:val="nil"/>
            </w:tcBorders>
            <w:shd w:val="clear" w:color="auto" w:fill="auto"/>
            <w:hideMark/>
          </w:tcPr>
          <w:p w:rsidR="003C70E8" w:rsidRPr="003C70E8" w:rsidRDefault="003C70E8" w:rsidP="003C70E8">
            <w:pPr>
              <w:jc w:val="right"/>
              <w:rPr>
                <w:rFonts w:ascii="Calibri" w:hAnsi="Calibri"/>
                <w:b/>
                <w:bCs/>
                <w:color w:val="000000"/>
                <w:sz w:val="22"/>
                <w:szCs w:val="22"/>
              </w:rPr>
            </w:pPr>
            <w:r w:rsidRPr="003C70E8">
              <w:rPr>
                <w:rFonts w:ascii="Calibri" w:hAnsi="Calibri"/>
                <w:b/>
                <w:bCs/>
                <w:color w:val="000000"/>
                <w:sz w:val="22"/>
                <w:szCs w:val="22"/>
              </w:rPr>
              <w:t>FY 11-12</w:t>
            </w:r>
          </w:p>
        </w:tc>
        <w:tc>
          <w:tcPr>
            <w:tcW w:w="960" w:type="dxa"/>
            <w:tcBorders>
              <w:top w:val="nil"/>
              <w:left w:val="nil"/>
              <w:bottom w:val="nil"/>
              <w:right w:val="nil"/>
            </w:tcBorders>
            <w:shd w:val="clear" w:color="auto" w:fill="auto"/>
            <w:hideMark/>
          </w:tcPr>
          <w:p w:rsidR="003C70E8" w:rsidRPr="003C70E8" w:rsidRDefault="003C70E8" w:rsidP="003C70E8">
            <w:pPr>
              <w:jc w:val="right"/>
              <w:rPr>
                <w:rFonts w:ascii="Calibri" w:hAnsi="Calibri"/>
                <w:b/>
                <w:bCs/>
                <w:color w:val="000000"/>
                <w:sz w:val="22"/>
                <w:szCs w:val="22"/>
              </w:rPr>
            </w:pPr>
            <w:r w:rsidRPr="003C70E8">
              <w:rPr>
                <w:rFonts w:ascii="Calibri" w:hAnsi="Calibri"/>
                <w:b/>
                <w:bCs/>
                <w:color w:val="000000"/>
                <w:sz w:val="22"/>
                <w:szCs w:val="22"/>
              </w:rPr>
              <w:t>FY 12-13</w:t>
            </w:r>
          </w:p>
        </w:tc>
        <w:tc>
          <w:tcPr>
            <w:tcW w:w="960" w:type="dxa"/>
            <w:tcBorders>
              <w:top w:val="nil"/>
              <w:left w:val="nil"/>
              <w:bottom w:val="nil"/>
              <w:right w:val="nil"/>
            </w:tcBorders>
            <w:shd w:val="clear" w:color="auto" w:fill="auto"/>
            <w:hideMark/>
          </w:tcPr>
          <w:p w:rsidR="003C70E8" w:rsidRPr="003C70E8" w:rsidRDefault="003C70E8" w:rsidP="003C70E8">
            <w:pPr>
              <w:jc w:val="right"/>
              <w:rPr>
                <w:rFonts w:ascii="Calibri" w:hAnsi="Calibri"/>
                <w:b/>
                <w:bCs/>
                <w:color w:val="000000"/>
                <w:sz w:val="22"/>
                <w:szCs w:val="22"/>
              </w:rPr>
            </w:pPr>
            <w:r w:rsidRPr="003C70E8">
              <w:rPr>
                <w:rFonts w:ascii="Calibri" w:hAnsi="Calibri"/>
                <w:b/>
                <w:bCs/>
                <w:color w:val="000000"/>
                <w:sz w:val="22"/>
                <w:szCs w:val="22"/>
              </w:rPr>
              <w:t>FY 13-14</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BIO-101</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53.4%</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59.6%</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42.2%</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56.2%</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64.1%</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75.0%</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BIO-104</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70.7%</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69.5%</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67.0%</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61.9%</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72.4%</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57.1%</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BIO-107</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58.8%</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58.7%</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59.0%</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58.7%</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61.8%</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78.8%</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BIO-108</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BIO-1101</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53.4%</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60.2%</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BIO-1104</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50.8%</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48.8%</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BIO-1107</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60.3%</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60.3%</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BIO-1108</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BIO-111</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54.2%</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59.4%</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58.9%</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51.8%</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63.3%</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BIO-1111</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63.5%</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64.9%</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BIO-1117</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BIO-112</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64.8%</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82.3%</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78.1%</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73.4%</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82.9%</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BIO-1121</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45.3%</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46.5%</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BIO-113</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75.1%</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76.8%</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81.3%</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85.0%</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85.3%</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75.0%</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BIO-1141</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48.3%</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50.7%</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BIO-1147</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BIO-117</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BIO-1171</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56.7%</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49.6%</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BIO-118</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BIO-119</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BIO-121</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52.4%</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58.2%</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48.2%</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52.8%</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47.2%</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57.0%</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BIO-1211</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77.5%</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85.3%</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BIO-1217</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BIO-122</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65.9%</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71.5%</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75.5%</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69.7%</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69.5%</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83.1%</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BIO-1222</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74.0%</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76.3%</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BIO-1242</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76.7%</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68.0%</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BIO-1248</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BIO-125</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63.3%</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80.4%</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71.4%</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78.0%</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72.5%</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BIO-127</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BIO-1272</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76.7%</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69.8%</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BIO-128</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BIO-132</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48.7%</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BIO-138</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BIO-141</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50.9%</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58.0%</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62.9%</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62.7%</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67.9%</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BIO-142</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66.2%</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65.7%</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68.4%</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69.1%</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74.6%</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BIO-143</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77.4%</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80.9%</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80.6%</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77.3%</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76.4%</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84.1%</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BIO-147</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BIO-148</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BIO-149</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BIO-162</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76.9%</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BIO-167</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BIO-171</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61.6%</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56.0%</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60.7%</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73.6%</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60.9%</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BIO-172</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83.3%</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96.1%</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78.7%</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90.0%</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91.7%</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BIO-173</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79.5%</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84.6%</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63.0%</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89.3%</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79.6%</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BIO-177</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BIO-178</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BIO-179</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BIO-205</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87.2%</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88.2%</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87.8%</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82.4%</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82.5%</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80.4%</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BIO-206</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BIO-211</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75.0%</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70.0%</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64.1%</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65.1%</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75.2%</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75.0%</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BIO-212</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BIO-2205</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78.1%</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82.3%</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BIO-2206</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BIO-2211</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49.2%</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69.7%</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BIO-2212</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BIO-222</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93.3%</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91.7%</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85.7%</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69.2%</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73.7%</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BIO-2222</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73.3%</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BIO-2225</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88.9%</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64.0%</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BIO-2235</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70.8%</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BIO-2236</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BIO-225</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75.0%</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55.6%</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71.4%</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83.3%</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BIO-226</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BIO-235</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BIO-297</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BTN-110</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63.6%</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66.7%</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87.0%</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76.9%</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80.0%</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BTN-1110</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71.4%</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50.0%</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BTN-1120</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79.2%</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70.6%</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BTN-1130</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81.8%</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83.3%</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BTN-1131</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BTN-1140</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81.3%</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BTN-115</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81.8%</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BTN-120</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78.6%</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87.5%</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86.4%</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85.7%</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82.4%</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BTN-1201</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84.0%</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BTN-130</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38.5%</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71.4%</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59.3%</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88.0%</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78.3%</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BTN-131</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BTN-140</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71.4%</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60.0%</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79.2%</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80.0%</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83.3%</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BTN-201</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90.9%</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89.5%</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92.9%</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BTN-210</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86.7%</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87.5%</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88.2%</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BTN-220</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88.9%</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90.9%</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91.7%</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BTN-2210</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64.7%</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87.5%</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BTN-2211</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BTN-2220</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BTN-2230</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71.4%</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86.7%</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BTN-230</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86.7%</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88.9%</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57.1%</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92.3%</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77.8%</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BTN-231</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BTN-235</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57.1%</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88.2%</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BTN-240</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92.3%</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BTN-270</w:t>
            </w:r>
          </w:p>
        </w:tc>
        <w:tc>
          <w:tcPr>
            <w:tcW w:w="160" w:type="dxa"/>
            <w:tcBorders>
              <w:top w:val="nil"/>
              <w:left w:val="nil"/>
              <w:bottom w:val="nil"/>
              <w:right w:val="nil"/>
            </w:tcBorders>
            <w:shd w:val="clear" w:color="000000" w:fill="D9D9D9"/>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r w:rsidR="003C70E8" w:rsidRPr="003C70E8" w:rsidTr="003C70E8">
        <w:trPr>
          <w:trHeight w:val="300"/>
        </w:trPr>
        <w:tc>
          <w:tcPr>
            <w:tcW w:w="14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0322</w:t>
            </w:r>
          </w:p>
        </w:tc>
        <w:tc>
          <w:tcPr>
            <w:tcW w:w="322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Biology</w:t>
            </w:r>
          </w:p>
        </w:tc>
        <w:tc>
          <w:tcPr>
            <w:tcW w:w="17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r w:rsidRPr="003C70E8">
              <w:rPr>
                <w:rFonts w:ascii="Calibri" w:hAnsi="Calibri"/>
                <w:color w:val="000000"/>
                <w:sz w:val="22"/>
                <w:szCs w:val="22"/>
              </w:rPr>
              <w:t>BTN-295</w:t>
            </w:r>
          </w:p>
        </w:tc>
        <w:tc>
          <w:tcPr>
            <w:tcW w:w="160" w:type="dxa"/>
            <w:tcBorders>
              <w:top w:val="nil"/>
              <w:left w:val="nil"/>
              <w:bottom w:val="nil"/>
              <w:right w:val="nil"/>
            </w:tcBorders>
            <w:shd w:val="clear" w:color="auto" w:fill="auto"/>
            <w:noWrap/>
            <w:vAlign w:val="bottom"/>
            <w:hideMark/>
          </w:tcPr>
          <w:p w:rsidR="003C70E8" w:rsidRPr="003C70E8" w:rsidRDefault="003C70E8" w:rsidP="003C70E8">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93.8%</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3C70E8" w:rsidRPr="003C70E8" w:rsidRDefault="003C70E8" w:rsidP="003C70E8">
            <w:pPr>
              <w:jc w:val="right"/>
              <w:rPr>
                <w:rFonts w:ascii="Calibri" w:hAnsi="Calibri"/>
                <w:color w:val="000000"/>
                <w:sz w:val="22"/>
                <w:szCs w:val="22"/>
              </w:rPr>
            </w:pPr>
            <w:r w:rsidRPr="003C70E8">
              <w:rPr>
                <w:rFonts w:ascii="Calibri" w:hAnsi="Calibri"/>
                <w:color w:val="000000"/>
                <w:sz w:val="22"/>
                <w:szCs w:val="22"/>
              </w:rPr>
              <w:t>.</w:t>
            </w:r>
          </w:p>
        </w:tc>
      </w:tr>
    </w:tbl>
    <w:p w:rsidR="003C70E8" w:rsidRDefault="003C70E8" w:rsidP="00225B53">
      <w:pPr>
        <w:spacing w:after="200" w:line="276" w:lineRule="auto"/>
        <w:rPr>
          <w:rFonts w:ascii="Arial" w:hAnsi="Arial" w:cs="Arial"/>
          <w:b/>
          <w:color w:val="000000" w:themeColor="text1"/>
        </w:rPr>
      </w:pPr>
    </w:p>
    <w:sectPr w:rsidR="003C70E8" w:rsidSect="004D531F">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240" w:rsidRDefault="006F3240" w:rsidP="0094204C">
      <w:r>
        <w:separator/>
      </w:r>
    </w:p>
  </w:endnote>
  <w:endnote w:type="continuationSeparator" w:id="0">
    <w:p w:rsidR="006F3240" w:rsidRDefault="006F3240"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EndPr/>
    <w:sdtContent>
      <w:p w:rsidR="00321007" w:rsidRDefault="00321007">
        <w:pPr>
          <w:pStyle w:val="Footer"/>
          <w:jc w:val="right"/>
        </w:pPr>
        <w:r>
          <w:fldChar w:fldCharType="begin"/>
        </w:r>
        <w:r>
          <w:instrText xml:space="preserve"> PAGE   \* MERGEFORMAT </w:instrText>
        </w:r>
        <w:r>
          <w:fldChar w:fldCharType="separate"/>
        </w:r>
        <w:r w:rsidR="00A83DDE">
          <w:rPr>
            <w:noProof/>
          </w:rPr>
          <w:t>26</w:t>
        </w:r>
        <w:r>
          <w:rPr>
            <w:noProof/>
          </w:rPr>
          <w:fldChar w:fldCharType="end"/>
        </w:r>
      </w:p>
    </w:sdtContent>
  </w:sdt>
  <w:p w:rsidR="00321007" w:rsidRDefault="00321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240" w:rsidRDefault="006F3240" w:rsidP="0094204C">
      <w:r>
        <w:separator/>
      </w:r>
    </w:p>
  </w:footnote>
  <w:footnote w:type="continuationSeparator" w:id="0">
    <w:p w:rsidR="006F3240" w:rsidRDefault="006F3240"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43ECF"/>
    <w:multiLevelType w:val="hybridMultilevel"/>
    <w:tmpl w:val="BA7818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16311"/>
    <w:multiLevelType w:val="hybridMultilevel"/>
    <w:tmpl w:val="7A9041C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5">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727A76"/>
    <w:multiLevelType w:val="hybridMultilevel"/>
    <w:tmpl w:val="E48A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12"/>
  </w:num>
  <w:num w:numId="5">
    <w:abstractNumId w:val="3"/>
  </w:num>
  <w:num w:numId="6">
    <w:abstractNumId w:val="9"/>
  </w:num>
  <w:num w:numId="7">
    <w:abstractNumId w:val="16"/>
  </w:num>
  <w:num w:numId="8">
    <w:abstractNumId w:val="14"/>
  </w:num>
  <w:num w:numId="9">
    <w:abstractNumId w:val="1"/>
  </w:num>
  <w:num w:numId="10">
    <w:abstractNumId w:val="17"/>
  </w:num>
  <w:num w:numId="11">
    <w:abstractNumId w:val="0"/>
  </w:num>
  <w:num w:numId="12">
    <w:abstractNumId w:val="15"/>
  </w:num>
  <w:num w:numId="13">
    <w:abstractNumId w:val="11"/>
  </w:num>
  <w:num w:numId="14">
    <w:abstractNumId w:val="4"/>
  </w:num>
  <w:num w:numId="15">
    <w:abstractNumId w:val="7"/>
  </w:num>
  <w:num w:numId="16">
    <w:abstractNumId w:val="13"/>
  </w:num>
  <w:num w:numId="17">
    <w:abstractNumId w:val="5"/>
  </w:num>
  <w:num w:numId="18">
    <w:abstractNumId w:val="5"/>
  </w:num>
  <w:num w:numId="19">
    <w:abstractNumId w:val="2"/>
  </w:num>
  <w:num w:numId="2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14C2B"/>
    <w:rsid w:val="0002108F"/>
    <w:rsid w:val="00023071"/>
    <w:rsid w:val="000279EB"/>
    <w:rsid w:val="000337E6"/>
    <w:rsid w:val="00034CE6"/>
    <w:rsid w:val="00036DF9"/>
    <w:rsid w:val="00037073"/>
    <w:rsid w:val="00047F22"/>
    <w:rsid w:val="00054BFD"/>
    <w:rsid w:val="00056964"/>
    <w:rsid w:val="000616F3"/>
    <w:rsid w:val="00063778"/>
    <w:rsid w:val="00065129"/>
    <w:rsid w:val="000738FE"/>
    <w:rsid w:val="00074BD5"/>
    <w:rsid w:val="00075EFA"/>
    <w:rsid w:val="00080933"/>
    <w:rsid w:val="000829DB"/>
    <w:rsid w:val="00097843"/>
    <w:rsid w:val="000A089D"/>
    <w:rsid w:val="000A2A44"/>
    <w:rsid w:val="000A2C70"/>
    <w:rsid w:val="000A4EE0"/>
    <w:rsid w:val="000B0D23"/>
    <w:rsid w:val="000B261C"/>
    <w:rsid w:val="000B2E43"/>
    <w:rsid w:val="000B33B5"/>
    <w:rsid w:val="000C4913"/>
    <w:rsid w:val="000C700F"/>
    <w:rsid w:val="000D1111"/>
    <w:rsid w:val="000D3A39"/>
    <w:rsid w:val="000D645E"/>
    <w:rsid w:val="000D722B"/>
    <w:rsid w:val="000D7A55"/>
    <w:rsid w:val="000E4EFE"/>
    <w:rsid w:val="000F0AF3"/>
    <w:rsid w:val="000F154F"/>
    <w:rsid w:val="000F1823"/>
    <w:rsid w:val="000F1E9E"/>
    <w:rsid w:val="000F21F2"/>
    <w:rsid w:val="000F2F76"/>
    <w:rsid w:val="000F4249"/>
    <w:rsid w:val="000F4830"/>
    <w:rsid w:val="00101B1D"/>
    <w:rsid w:val="0010227C"/>
    <w:rsid w:val="001026AA"/>
    <w:rsid w:val="00106CC8"/>
    <w:rsid w:val="001148DD"/>
    <w:rsid w:val="00115E77"/>
    <w:rsid w:val="001201D5"/>
    <w:rsid w:val="00120277"/>
    <w:rsid w:val="00120E81"/>
    <w:rsid w:val="001240D0"/>
    <w:rsid w:val="001324D2"/>
    <w:rsid w:val="00133ED6"/>
    <w:rsid w:val="00137A16"/>
    <w:rsid w:val="00142776"/>
    <w:rsid w:val="00143DD8"/>
    <w:rsid w:val="0014633F"/>
    <w:rsid w:val="00146BA2"/>
    <w:rsid w:val="001532B7"/>
    <w:rsid w:val="001560EA"/>
    <w:rsid w:val="001628B1"/>
    <w:rsid w:val="00174C4B"/>
    <w:rsid w:val="001768ED"/>
    <w:rsid w:val="00177C1C"/>
    <w:rsid w:val="001803A0"/>
    <w:rsid w:val="00181457"/>
    <w:rsid w:val="00183806"/>
    <w:rsid w:val="00183A7F"/>
    <w:rsid w:val="00184AE5"/>
    <w:rsid w:val="0018751E"/>
    <w:rsid w:val="0018798A"/>
    <w:rsid w:val="00190F5C"/>
    <w:rsid w:val="0019135D"/>
    <w:rsid w:val="00195B7B"/>
    <w:rsid w:val="001A1B67"/>
    <w:rsid w:val="001A2E6B"/>
    <w:rsid w:val="001A5065"/>
    <w:rsid w:val="001A7AF7"/>
    <w:rsid w:val="001B0309"/>
    <w:rsid w:val="001B2147"/>
    <w:rsid w:val="001B45D5"/>
    <w:rsid w:val="001B571A"/>
    <w:rsid w:val="001B6007"/>
    <w:rsid w:val="001B61EA"/>
    <w:rsid w:val="001C202C"/>
    <w:rsid w:val="001C42D0"/>
    <w:rsid w:val="001C5DC3"/>
    <w:rsid w:val="001D3E1D"/>
    <w:rsid w:val="001D5757"/>
    <w:rsid w:val="001D7080"/>
    <w:rsid w:val="001D736E"/>
    <w:rsid w:val="001E0764"/>
    <w:rsid w:val="001E6B5A"/>
    <w:rsid w:val="001E7137"/>
    <w:rsid w:val="001F4B9E"/>
    <w:rsid w:val="002105E7"/>
    <w:rsid w:val="00210FF3"/>
    <w:rsid w:val="002110EE"/>
    <w:rsid w:val="002245AB"/>
    <w:rsid w:val="00225B53"/>
    <w:rsid w:val="0022692B"/>
    <w:rsid w:val="002315EE"/>
    <w:rsid w:val="0023421E"/>
    <w:rsid w:val="0025077A"/>
    <w:rsid w:val="0025548D"/>
    <w:rsid w:val="00255C18"/>
    <w:rsid w:val="00255F7D"/>
    <w:rsid w:val="00256114"/>
    <w:rsid w:val="0025618C"/>
    <w:rsid w:val="00262914"/>
    <w:rsid w:val="00262E6F"/>
    <w:rsid w:val="00262EFB"/>
    <w:rsid w:val="002641D9"/>
    <w:rsid w:val="00265A99"/>
    <w:rsid w:val="00266F2F"/>
    <w:rsid w:val="0026791C"/>
    <w:rsid w:val="00276B75"/>
    <w:rsid w:val="00280C60"/>
    <w:rsid w:val="00281C63"/>
    <w:rsid w:val="0028603C"/>
    <w:rsid w:val="002922CE"/>
    <w:rsid w:val="00293D8D"/>
    <w:rsid w:val="002A1D8C"/>
    <w:rsid w:val="002A3FFE"/>
    <w:rsid w:val="002B54FB"/>
    <w:rsid w:val="002C1797"/>
    <w:rsid w:val="002C1B1C"/>
    <w:rsid w:val="002C39BF"/>
    <w:rsid w:val="002C40C9"/>
    <w:rsid w:val="002C45ED"/>
    <w:rsid w:val="002C56AC"/>
    <w:rsid w:val="002C5C14"/>
    <w:rsid w:val="002D1DFE"/>
    <w:rsid w:val="002D2748"/>
    <w:rsid w:val="002D3CAD"/>
    <w:rsid w:val="002D428E"/>
    <w:rsid w:val="002D748B"/>
    <w:rsid w:val="002E175B"/>
    <w:rsid w:val="002E28B0"/>
    <w:rsid w:val="002E3132"/>
    <w:rsid w:val="002E3762"/>
    <w:rsid w:val="002E548B"/>
    <w:rsid w:val="002E5D65"/>
    <w:rsid w:val="002E6B01"/>
    <w:rsid w:val="002F0552"/>
    <w:rsid w:val="002F63A2"/>
    <w:rsid w:val="002F6ED8"/>
    <w:rsid w:val="00303041"/>
    <w:rsid w:val="003041DD"/>
    <w:rsid w:val="00305AE1"/>
    <w:rsid w:val="0030733F"/>
    <w:rsid w:val="00307A43"/>
    <w:rsid w:val="00315649"/>
    <w:rsid w:val="00315CE8"/>
    <w:rsid w:val="0031626A"/>
    <w:rsid w:val="00320CDE"/>
    <w:rsid w:val="00320DF3"/>
    <w:rsid w:val="00321007"/>
    <w:rsid w:val="003233E7"/>
    <w:rsid w:val="003254BC"/>
    <w:rsid w:val="00330692"/>
    <w:rsid w:val="00337A3A"/>
    <w:rsid w:val="0034268A"/>
    <w:rsid w:val="003436B9"/>
    <w:rsid w:val="003454F6"/>
    <w:rsid w:val="00350D53"/>
    <w:rsid w:val="003641BA"/>
    <w:rsid w:val="00370370"/>
    <w:rsid w:val="00372B02"/>
    <w:rsid w:val="003775F1"/>
    <w:rsid w:val="00377628"/>
    <w:rsid w:val="0037786D"/>
    <w:rsid w:val="00377D40"/>
    <w:rsid w:val="003878BD"/>
    <w:rsid w:val="003A298D"/>
    <w:rsid w:val="003A32A5"/>
    <w:rsid w:val="003A5689"/>
    <w:rsid w:val="003B0924"/>
    <w:rsid w:val="003B0F97"/>
    <w:rsid w:val="003B2034"/>
    <w:rsid w:val="003B5176"/>
    <w:rsid w:val="003B5F45"/>
    <w:rsid w:val="003B6EA6"/>
    <w:rsid w:val="003C17F6"/>
    <w:rsid w:val="003C1C8E"/>
    <w:rsid w:val="003C4725"/>
    <w:rsid w:val="003C70E8"/>
    <w:rsid w:val="003D2587"/>
    <w:rsid w:val="003D6946"/>
    <w:rsid w:val="003D6D6E"/>
    <w:rsid w:val="003E2597"/>
    <w:rsid w:val="003E791C"/>
    <w:rsid w:val="00404810"/>
    <w:rsid w:val="004118FA"/>
    <w:rsid w:val="00412BCB"/>
    <w:rsid w:val="00413866"/>
    <w:rsid w:val="00414645"/>
    <w:rsid w:val="00414694"/>
    <w:rsid w:val="004150D8"/>
    <w:rsid w:val="00423FAC"/>
    <w:rsid w:val="00424E5D"/>
    <w:rsid w:val="00425F46"/>
    <w:rsid w:val="00434F56"/>
    <w:rsid w:val="004359FC"/>
    <w:rsid w:val="004467C4"/>
    <w:rsid w:val="004500C1"/>
    <w:rsid w:val="004537FA"/>
    <w:rsid w:val="00455833"/>
    <w:rsid w:val="00456B2F"/>
    <w:rsid w:val="004604FB"/>
    <w:rsid w:val="00461386"/>
    <w:rsid w:val="00462D00"/>
    <w:rsid w:val="00470243"/>
    <w:rsid w:val="00470DD8"/>
    <w:rsid w:val="004710A6"/>
    <w:rsid w:val="004712EB"/>
    <w:rsid w:val="00476425"/>
    <w:rsid w:val="0048088F"/>
    <w:rsid w:val="00480BB2"/>
    <w:rsid w:val="004818E1"/>
    <w:rsid w:val="00481A7E"/>
    <w:rsid w:val="0048427F"/>
    <w:rsid w:val="00495C9D"/>
    <w:rsid w:val="00497536"/>
    <w:rsid w:val="004A692C"/>
    <w:rsid w:val="004B7492"/>
    <w:rsid w:val="004C2B30"/>
    <w:rsid w:val="004C52FC"/>
    <w:rsid w:val="004C7DB2"/>
    <w:rsid w:val="004D32E6"/>
    <w:rsid w:val="004D3BE1"/>
    <w:rsid w:val="004D3C8C"/>
    <w:rsid w:val="004D531F"/>
    <w:rsid w:val="004D7C40"/>
    <w:rsid w:val="004E47AA"/>
    <w:rsid w:val="004E4BD6"/>
    <w:rsid w:val="004F41D5"/>
    <w:rsid w:val="004F438D"/>
    <w:rsid w:val="004F556C"/>
    <w:rsid w:val="005029F4"/>
    <w:rsid w:val="0051294F"/>
    <w:rsid w:val="00516463"/>
    <w:rsid w:val="00520FBE"/>
    <w:rsid w:val="0052152C"/>
    <w:rsid w:val="005253F5"/>
    <w:rsid w:val="00525661"/>
    <w:rsid w:val="00532A78"/>
    <w:rsid w:val="005425EF"/>
    <w:rsid w:val="0054350A"/>
    <w:rsid w:val="005531E8"/>
    <w:rsid w:val="00553BF1"/>
    <w:rsid w:val="00562F28"/>
    <w:rsid w:val="005674F9"/>
    <w:rsid w:val="00573ECD"/>
    <w:rsid w:val="00575D06"/>
    <w:rsid w:val="0058465D"/>
    <w:rsid w:val="00585766"/>
    <w:rsid w:val="005863ED"/>
    <w:rsid w:val="005864A4"/>
    <w:rsid w:val="005918B2"/>
    <w:rsid w:val="00592DD4"/>
    <w:rsid w:val="00596530"/>
    <w:rsid w:val="00597F85"/>
    <w:rsid w:val="005B1304"/>
    <w:rsid w:val="005B2484"/>
    <w:rsid w:val="005D19D9"/>
    <w:rsid w:val="005F5F7E"/>
    <w:rsid w:val="005F6B5B"/>
    <w:rsid w:val="005F7377"/>
    <w:rsid w:val="0061454F"/>
    <w:rsid w:val="0061712A"/>
    <w:rsid w:val="00624906"/>
    <w:rsid w:val="00632FE3"/>
    <w:rsid w:val="006368CC"/>
    <w:rsid w:val="00637591"/>
    <w:rsid w:val="00640611"/>
    <w:rsid w:val="00643904"/>
    <w:rsid w:val="00651CF2"/>
    <w:rsid w:val="006532D6"/>
    <w:rsid w:val="0065453B"/>
    <w:rsid w:val="00654C15"/>
    <w:rsid w:val="006551C4"/>
    <w:rsid w:val="00660080"/>
    <w:rsid w:val="0066285F"/>
    <w:rsid w:val="0066607A"/>
    <w:rsid w:val="006673A2"/>
    <w:rsid w:val="00672525"/>
    <w:rsid w:val="00672ECF"/>
    <w:rsid w:val="00673CDD"/>
    <w:rsid w:val="00677703"/>
    <w:rsid w:val="006835C1"/>
    <w:rsid w:val="00686CAF"/>
    <w:rsid w:val="00690A3D"/>
    <w:rsid w:val="0069284B"/>
    <w:rsid w:val="006A2AA3"/>
    <w:rsid w:val="006A3FB5"/>
    <w:rsid w:val="006B5D02"/>
    <w:rsid w:val="006B6194"/>
    <w:rsid w:val="006C142B"/>
    <w:rsid w:val="006C28B1"/>
    <w:rsid w:val="006C3259"/>
    <w:rsid w:val="006C3B41"/>
    <w:rsid w:val="006C4C0B"/>
    <w:rsid w:val="006C4F5E"/>
    <w:rsid w:val="006D155B"/>
    <w:rsid w:val="006D1E92"/>
    <w:rsid w:val="006D6237"/>
    <w:rsid w:val="006D67EB"/>
    <w:rsid w:val="006E1338"/>
    <w:rsid w:val="006E3686"/>
    <w:rsid w:val="006F0183"/>
    <w:rsid w:val="006F0C7E"/>
    <w:rsid w:val="006F3240"/>
    <w:rsid w:val="00705985"/>
    <w:rsid w:val="007145A3"/>
    <w:rsid w:val="00716A26"/>
    <w:rsid w:val="00716CFC"/>
    <w:rsid w:val="00723FFA"/>
    <w:rsid w:val="00730C95"/>
    <w:rsid w:val="00740D35"/>
    <w:rsid w:val="00746675"/>
    <w:rsid w:val="00751FC5"/>
    <w:rsid w:val="00773ACD"/>
    <w:rsid w:val="00781DA4"/>
    <w:rsid w:val="007825CC"/>
    <w:rsid w:val="007856A2"/>
    <w:rsid w:val="0078669D"/>
    <w:rsid w:val="00786F00"/>
    <w:rsid w:val="00791FF2"/>
    <w:rsid w:val="0079281D"/>
    <w:rsid w:val="00793F78"/>
    <w:rsid w:val="00794EA2"/>
    <w:rsid w:val="007A43CE"/>
    <w:rsid w:val="007A709F"/>
    <w:rsid w:val="007B6B19"/>
    <w:rsid w:val="007C1FEF"/>
    <w:rsid w:val="007C3A6B"/>
    <w:rsid w:val="007C3F9E"/>
    <w:rsid w:val="007C46D3"/>
    <w:rsid w:val="007C74F5"/>
    <w:rsid w:val="007E21DF"/>
    <w:rsid w:val="007E36F4"/>
    <w:rsid w:val="007E77E0"/>
    <w:rsid w:val="007F3D9F"/>
    <w:rsid w:val="007F45E6"/>
    <w:rsid w:val="007F66F9"/>
    <w:rsid w:val="0080292B"/>
    <w:rsid w:val="008034BE"/>
    <w:rsid w:val="008056C5"/>
    <w:rsid w:val="00805C23"/>
    <w:rsid w:val="00807113"/>
    <w:rsid w:val="00817DDA"/>
    <w:rsid w:val="00821011"/>
    <w:rsid w:val="008258DA"/>
    <w:rsid w:val="00827AE5"/>
    <w:rsid w:val="0084534A"/>
    <w:rsid w:val="00847243"/>
    <w:rsid w:val="008642E1"/>
    <w:rsid w:val="00866AD4"/>
    <w:rsid w:val="00873FEE"/>
    <w:rsid w:val="0087440A"/>
    <w:rsid w:val="00875A7C"/>
    <w:rsid w:val="0087612F"/>
    <w:rsid w:val="00877383"/>
    <w:rsid w:val="00880686"/>
    <w:rsid w:val="008836F4"/>
    <w:rsid w:val="008860C1"/>
    <w:rsid w:val="008909D4"/>
    <w:rsid w:val="008942FA"/>
    <w:rsid w:val="00896521"/>
    <w:rsid w:val="00897A68"/>
    <w:rsid w:val="008B25A5"/>
    <w:rsid w:val="008B4546"/>
    <w:rsid w:val="008B52A0"/>
    <w:rsid w:val="008D4D55"/>
    <w:rsid w:val="008E063A"/>
    <w:rsid w:val="008F140E"/>
    <w:rsid w:val="008F3D47"/>
    <w:rsid w:val="008F41A6"/>
    <w:rsid w:val="008F67F3"/>
    <w:rsid w:val="008F7A40"/>
    <w:rsid w:val="009108ED"/>
    <w:rsid w:val="00915CDA"/>
    <w:rsid w:val="00916E6B"/>
    <w:rsid w:val="00916E8D"/>
    <w:rsid w:val="00925394"/>
    <w:rsid w:val="0092540D"/>
    <w:rsid w:val="009268A3"/>
    <w:rsid w:val="0094204C"/>
    <w:rsid w:val="009426C0"/>
    <w:rsid w:val="0094287E"/>
    <w:rsid w:val="00952FA6"/>
    <w:rsid w:val="0095417F"/>
    <w:rsid w:val="00954382"/>
    <w:rsid w:val="00963DD8"/>
    <w:rsid w:val="00966427"/>
    <w:rsid w:val="0097327F"/>
    <w:rsid w:val="009778D1"/>
    <w:rsid w:val="0098064B"/>
    <w:rsid w:val="00981D62"/>
    <w:rsid w:val="009A087F"/>
    <w:rsid w:val="009A2F4E"/>
    <w:rsid w:val="009A616E"/>
    <w:rsid w:val="009A69F0"/>
    <w:rsid w:val="009C1092"/>
    <w:rsid w:val="009C3126"/>
    <w:rsid w:val="009D4417"/>
    <w:rsid w:val="009D4970"/>
    <w:rsid w:val="009D7E16"/>
    <w:rsid w:val="009E19B3"/>
    <w:rsid w:val="009E2519"/>
    <w:rsid w:val="009E2D06"/>
    <w:rsid w:val="009F2769"/>
    <w:rsid w:val="009F44E5"/>
    <w:rsid w:val="009F71F8"/>
    <w:rsid w:val="00A029AA"/>
    <w:rsid w:val="00A03C1A"/>
    <w:rsid w:val="00A11155"/>
    <w:rsid w:val="00A14B89"/>
    <w:rsid w:val="00A201E2"/>
    <w:rsid w:val="00A20ED1"/>
    <w:rsid w:val="00A21E6E"/>
    <w:rsid w:val="00A25900"/>
    <w:rsid w:val="00A279B7"/>
    <w:rsid w:val="00A316A8"/>
    <w:rsid w:val="00A34037"/>
    <w:rsid w:val="00A341DF"/>
    <w:rsid w:val="00A34FA2"/>
    <w:rsid w:val="00A36DEE"/>
    <w:rsid w:val="00A51345"/>
    <w:rsid w:val="00A52122"/>
    <w:rsid w:val="00A525BF"/>
    <w:rsid w:val="00A54831"/>
    <w:rsid w:val="00A579B4"/>
    <w:rsid w:val="00A6078F"/>
    <w:rsid w:val="00A62968"/>
    <w:rsid w:val="00A63ACE"/>
    <w:rsid w:val="00A67476"/>
    <w:rsid w:val="00A708E8"/>
    <w:rsid w:val="00A82954"/>
    <w:rsid w:val="00A83DDE"/>
    <w:rsid w:val="00A8476F"/>
    <w:rsid w:val="00A927FB"/>
    <w:rsid w:val="00AA65C1"/>
    <w:rsid w:val="00AB6272"/>
    <w:rsid w:val="00AC0386"/>
    <w:rsid w:val="00AC62F8"/>
    <w:rsid w:val="00AD1FE2"/>
    <w:rsid w:val="00AD3BC9"/>
    <w:rsid w:val="00AD4FA7"/>
    <w:rsid w:val="00AE4AD2"/>
    <w:rsid w:val="00AE50CC"/>
    <w:rsid w:val="00AE5F43"/>
    <w:rsid w:val="00AF1271"/>
    <w:rsid w:val="00AF6A23"/>
    <w:rsid w:val="00B11F28"/>
    <w:rsid w:val="00B23418"/>
    <w:rsid w:val="00B27095"/>
    <w:rsid w:val="00B31728"/>
    <w:rsid w:val="00B34F9E"/>
    <w:rsid w:val="00B42C55"/>
    <w:rsid w:val="00B44B23"/>
    <w:rsid w:val="00B44CEE"/>
    <w:rsid w:val="00B4625A"/>
    <w:rsid w:val="00B50893"/>
    <w:rsid w:val="00B55D99"/>
    <w:rsid w:val="00B57DF5"/>
    <w:rsid w:val="00B608D5"/>
    <w:rsid w:val="00B61D81"/>
    <w:rsid w:val="00B6642B"/>
    <w:rsid w:val="00B700A5"/>
    <w:rsid w:val="00B71307"/>
    <w:rsid w:val="00B73591"/>
    <w:rsid w:val="00B749EE"/>
    <w:rsid w:val="00B75DD0"/>
    <w:rsid w:val="00B764F8"/>
    <w:rsid w:val="00B80EA9"/>
    <w:rsid w:val="00B81607"/>
    <w:rsid w:val="00B8227E"/>
    <w:rsid w:val="00B90F20"/>
    <w:rsid w:val="00B91F1E"/>
    <w:rsid w:val="00BA1088"/>
    <w:rsid w:val="00BA3246"/>
    <w:rsid w:val="00BA411F"/>
    <w:rsid w:val="00BA4BBB"/>
    <w:rsid w:val="00BA51C6"/>
    <w:rsid w:val="00BA527A"/>
    <w:rsid w:val="00BA56FF"/>
    <w:rsid w:val="00BB272C"/>
    <w:rsid w:val="00BB28CF"/>
    <w:rsid w:val="00BB4ABC"/>
    <w:rsid w:val="00BB4C9F"/>
    <w:rsid w:val="00BB5574"/>
    <w:rsid w:val="00BB785A"/>
    <w:rsid w:val="00BC12BF"/>
    <w:rsid w:val="00BC5FF1"/>
    <w:rsid w:val="00BC6C11"/>
    <w:rsid w:val="00BD24C0"/>
    <w:rsid w:val="00BD2C4F"/>
    <w:rsid w:val="00BD3EF3"/>
    <w:rsid w:val="00BE51FF"/>
    <w:rsid w:val="00BF3561"/>
    <w:rsid w:val="00BF3D2C"/>
    <w:rsid w:val="00BF556C"/>
    <w:rsid w:val="00BF788F"/>
    <w:rsid w:val="00BF7E3E"/>
    <w:rsid w:val="00C01CD8"/>
    <w:rsid w:val="00C05015"/>
    <w:rsid w:val="00C05EFD"/>
    <w:rsid w:val="00C10E68"/>
    <w:rsid w:val="00C15103"/>
    <w:rsid w:val="00C15F5E"/>
    <w:rsid w:val="00C22083"/>
    <w:rsid w:val="00C23C6D"/>
    <w:rsid w:val="00C32DEA"/>
    <w:rsid w:val="00C45053"/>
    <w:rsid w:val="00C50A91"/>
    <w:rsid w:val="00C52D74"/>
    <w:rsid w:val="00C5365F"/>
    <w:rsid w:val="00C56C48"/>
    <w:rsid w:val="00C616FD"/>
    <w:rsid w:val="00C63B58"/>
    <w:rsid w:val="00C64B34"/>
    <w:rsid w:val="00C7001F"/>
    <w:rsid w:val="00C71F16"/>
    <w:rsid w:val="00C77723"/>
    <w:rsid w:val="00C800A9"/>
    <w:rsid w:val="00C80222"/>
    <w:rsid w:val="00C8494A"/>
    <w:rsid w:val="00C86826"/>
    <w:rsid w:val="00C86D2C"/>
    <w:rsid w:val="00C90C76"/>
    <w:rsid w:val="00C9326D"/>
    <w:rsid w:val="00CA10D7"/>
    <w:rsid w:val="00CA571D"/>
    <w:rsid w:val="00CB09E0"/>
    <w:rsid w:val="00CB0CA1"/>
    <w:rsid w:val="00CC0679"/>
    <w:rsid w:val="00CC582B"/>
    <w:rsid w:val="00CC66AD"/>
    <w:rsid w:val="00CC69E8"/>
    <w:rsid w:val="00CC6AF3"/>
    <w:rsid w:val="00CC7151"/>
    <w:rsid w:val="00CD0A81"/>
    <w:rsid w:val="00CD2613"/>
    <w:rsid w:val="00CE06A2"/>
    <w:rsid w:val="00CE118B"/>
    <w:rsid w:val="00CF0112"/>
    <w:rsid w:val="00CF34BC"/>
    <w:rsid w:val="00D0057F"/>
    <w:rsid w:val="00D0279E"/>
    <w:rsid w:val="00D03E66"/>
    <w:rsid w:val="00D07030"/>
    <w:rsid w:val="00D15F96"/>
    <w:rsid w:val="00D1797B"/>
    <w:rsid w:val="00D23E74"/>
    <w:rsid w:val="00D31DDA"/>
    <w:rsid w:val="00D3248F"/>
    <w:rsid w:val="00D367E2"/>
    <w:rsid w:val="00D403C6"/>
    <w:rsid w:val="00D44D7D"/>
    <w:rsid w:val="00D5185C"/>
    <w:rsid w:val="00D52978"/>
    <w:rsid w:val="00D57E53"/>
    <w:rsid w:val="00D609C0"/>
    <w:rsid w:val="00D60F74"/>
    <w:rsid w:val="00D632DC"/>
    <w:rsid w:val="00D708C3"/>
    <w:rsid w:val="00D72CCC"/>
    <w:rsid w:val="00D73E22"/>
    <w:rsid w:val="00D850D0"/>
    <w:rsid w:val="00D85AB8"/>
    <w:rsid w:val="00D9642E"/>
    <w:rsid w:val="00DA03C5"/>
    <w:rsid w:val="00DA555B"/>
    <w:rsid w:val="00DA5E37"/>
    <w:rsid w:val="00DA7FA2"/>
    <w:rsid w:val="00DB041B"/>
    <w:rsid w:val="00DB0A37"/>
    <w:rsid w:val="00DB17B2"/>
    <w:rsid w:val="00DC0672"/>
    <w:rsid w:val="00DC38CE"/>
    <w:rsid w:val="00DC5CEE"/>
    <w:rsid w:val="00DC7E3C"/>
    <w:rsid w:val="00DD0726"/>
    <w:rsid w:val="00DD37CA"/>
    <w:rsid w:val="00DD42DB"/>
    <w:rsid w:val="00DD4CE9"/>
    <w:rsid w:val="00DE276D"/>
    <w:rsid w:val="00DF05AD"/>
    <w:rsid w:val="00DF5973"/>
    <w:rsid w:val="00DF738A"/>
    <w:rsid w:val="00DF7501"/>
    <w:rsid w:val="00E05A2A"/>
    <w:rsid w:val="00E12A67"/>
    <w:rsid w:val="00E12E4F"/>
    <w:rsid w:val="00E13C55"/>
    <w:rsid w:val="00E149A6"/>
    <w:rsid w:val="00E14C90"/>
    <w:rsid w:val="00E16205"/>
    <w:rsid w:val="00E20B3F"/>
    <w:rsid w:val="00E254D9"/>
    <w:rsid w:val="00E25ACC"/>
    <w:rsid w:val="00E3280B"/>
    <w:rsid w:val="00E36B58"/>
    <w:rsid w:val="00E4425B"/>
    <w:rsid w:val="00E47A53"/>
    <w:rsid w:val="00E501C6"/>
    <w:rsid w:val="00E55AD1"/>
    <w:rsid w:val="00E642B3"/>
    <w:rsid w:val="00E66EBA"/>
    <w:rsid w:val="00E7049B"/>
    <w:rsid w:val="00E727BB"/>
    <w:rsid w:val="00E727F2"/>
    <w:rsid w:val="00E73A43"/>
    <w:rsid w:val="00E749F1"/>
    <w:rsid w:val="00E75D21"/>
    <w:rsid w:val="00E77016"/>
    <w:rsid w:val="00E83C75"/>
    <w:rsid w:val="00E87116"/>
    <w:rsid w:val="00E90F22"/>
    <w:rsid w:val="00E91CFF"/>
    <w:rsid w:val="00E955C1"/>
    <w:rsid w:val="00E96021"/>
    <w:rsid w:val="00E96988"/>
    <w:rsid w:val="00E97968"/>
    <w:rsid w:val="00EA5A5B"/>
    <w:rsid w:val="00EA7AFE"/>
    <w:rsid w:val="00EB011C"/>
    <w:rsid w:val="00EB3C20"/>
    <w:rsid w:val="00EC0B9E"/>
    <w:rsid w:val="00EC1EB5"/>
    <w:rsid w:val="00EC6B80"/>
    <w:rsid w:val="00EC7BF3"/>
    <w:rsid w:val="00ED0C45"/>
    <w:rsid w:val="00ED1645"/>
    <w:rsid w:val="00ED3777"/>
    <w:rsid w:val="00ED4142"/>
    <w:rsid w:val="00EE3152"/>
    <w:rsid w:val="00EF15CD"/>
    <w:rsid w:val="00EF5915"/>
    <w:rsid w:val="00EF6E21"/>
    <w:rsid w:val="00F0239E"/>
    <w:rsid w:val="00F07EFD"/>
    <w:rsid w:val="00F1164D"/>
    <w:rsid w:val="00F1200D"/>
    <w:rsid w:val="00F154DF"/>
    <w:rsid w:val="00F17C08"/>
    <w:rsid w:val="00F230AC"/>
    <w:rsid w:val="00F24881"/>
    <w:rsid w:val="00F260DC"/>
    <w:rsid w:val="00F27D5C"/>
    <w:rsid w:val="00F340B8"/>
    <w:rsid w:val="00F36E8E"/>
    <w:rsid w:val="00F37373"/>
    <w:rsid w:val="00F43F29"/>
    <w:rsid w:val="00F455B5"/>
    <w:rsid w:val="00F509AE"/>
    <w:rsid w:val="00F60941"/>
    <w:rsid w:val="00F60C52"/>
    <w:rsid w:val="00F60FAC"/>
    <w:rsid w:val="00F7110B"/>
    <w:rsid w:val="00F81080"/>
    <w:rsid w:val="00F8191D"/>
    <w:rsid w:val="00F83971"/>
    <w:rsid w:val="00F85242"/>
    <w:rsid w:val="00F85CDD"/>
    <w:rsid w:val="00F86156"/>
    <w:rsid w:val="00F920EB"/>
    <w:rsid w:val="00F930A9"/>
    <w:rsid w:val="00F938A3"/>
    <w:rsid w:val="00F94D4D"/>
    <w:rsid w:val="00F95896"/>
    <w:rsid w:val="00FA24D1"/>
    <w:rsid w:val="00FA76D9"/>
    <w:rsid w:val="00FA7DDB"/>
    <w:rsid w:val="00FB0E89"/>
    <w:rsid w:val="00FB153A"/>
    <w:rsid w:val="00FB231A"/>
    <w:rsid w:val="00FB4AA9"/>
    <w:rsid w:val="00FC11BC"/>
    <w:rsid w:val="00FC1435"/>
    <w:rsid w:val="00FC45CA"/>
    <w:rsid w:val="00FC49AB"/>
    <w:rsid w:val="00FC7F0C"/>
    <w:rsid w:val="00FD4866"/>
    <w:rsid w:val="00FE084D"/>
    <w:rsid w:val="00FF01A3"/>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DD2827-0CBD-4626-9F4C-17F4F978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 w:type="paragraph" w:customStyle="1" w:styleId="xl65">
    <w:name w:val="xl65"/>
    <w:basedOn w:val="Normal"/>
    <w:rsid w:val="003C70E8"/>
    <w:pPr>
      <w:spacing w:before="100" w:beforeAutospacing="1" w:after="100" w:afterAutospacing="1"/>
      <w:jc w:val="right"/>
    </w:pPr>
  </w:style>
  <w:style w:type="paragraph" w:customStyle="1" w:styleId="xl68">
    <w:name w:val="xl68"/>
    <w:basedOn w:val="Normal"/>
    <w:rsid w:val="003C70E8"/>
    <w:pPr>
      <w:shd w:val="clear" w:color="000000" w:fill="D9D9D9"/>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573734858">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67971291">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70996872">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19758280">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045762830">
      <w:bodyDiv w:val="1"/>
      <w:marLeft w:val="0"/>
      <w:marRight w:val="0"/>
      <w:marTop w:val="0"/>
      <w:marBottom w:val="0"/>
      <w:divBdr>
        <w:top w:val="none" w:sz="0" w:space="0" w:color="auto"/>
        <w:left w:val="none" w:sz="0" w:space="0" w:color="auto"/>
        <w:bottom w:val="none" w:sz="0" w:space="0" w:color="auto"/>
        <w:right w:val="none" w:sz="0" w:space="0" w:color="auto"/>
      </w:divBdr>
    </w:div>
    <w:div w:id="1047335289">
      <w:bodyDiv w:val="1"/>
      <w:marLeft w:val="0"/>
      <w:marRight w:val="0"/>
      <w:marTop w:val="0"/>
      <w:marBottom w:val="0"/>
      <w:divBdr>
        <w:top w:val="none" w:sz="0" w:space="0" w:color="auto"/>
        <w:left w:val="none" w:sz="0" w:space="0" w:color="auto"/>
        <w:bottom w:val="none" w:sz="0" w:space="0" w:color="auto"/>
        <w:right w:val="none" w:sz="0" w:space="0" w:color="auto"/>
      </w:divBdr>
      <w:divsChild>
        <w:div w:id="148257291">
          <w:marLeft w:val="0"/>
          <w:marRight w:val="0"/>
          <w:marTop w:val="0"/>
          <w:marBottom w:val="0"/>
          <w:divBdr>
            <w:top w:val="none" w:sz="0" w:space="0" w:color="auto"/>
            <w:left w:val="none" w:sz="0" w:space="0" w:color="auto"/>
            <w:bottom w:val="none" w:sz="0" w:space="0" w:color="auto"/>
            <w:right w:val="none" w:sz="0" w:space="0" w:color="auto"/>
          </w:divBdr>
        </w:div>
      </w:divsChild>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028423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93178343">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0524662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0774812">
      <w:bodyDiv w:val="1"/>
      <w:marLeft w:val="0"/>
      <w:marRight w:val="0"/>
      <w:marTop w:val="0"/>
      <w:marBottom w:val="0"/>
      <w:divBdr>
        <w:top w:val="none" w:sz="0" w:space="0" w:color="auto"/>
        <w:left w:val="none" w:sz="0" w:space="0" w:color="auto"/>
        <w:bottom w:val="none" w:sz="0" w:space="0" w:color="auto"/>
        <w:right w:val="none" w:sz="0" w:space="0" w:color="auto"/>
      </w:divBdr>
    </w:div>
    <w:div w:id="1589193945">
      <w:bodyDiv w:val="1"/>
      <w:marLeft w:val="0"/>
      <w:marRight w:val="0"/>
      <w:marTop w:val="0"/>
      <w:marBottom w:val="0"/>
      <w:divBdr>
        <w:top w:val="none" w:sz="0" w:space="0" w:color="auto"/>
        <w:left w:val="none" w:sz="0" w:space="0" w:color="auto"/>
        <w:bottom w:val="none" w:sz="0" w:space="0" w:color="auto"/>
        <w:right w:val="none" w:sz="0" w:space="0" w:color="auto"/>
      </w:divBdr>
    </w:div>
    <w:div w:id="1636763689">
      <w:bodyDiv w:val="1"/>
      <w:marLeft w:val="0"/>
      <w:marRight w:val="0"/>
      <w:marTop w:val="0"/>
      <w:marBottom w:val="0"/>
      <w:divBdr>
        <w:top w:val="none" w:sz="0" w:space="0" w:color="auto"/>
        <w:left w:val="none" w:sz="0" w:space="0" w:color="auto"/>
        <w:bottom w:val="none" w:sz="0" w:space="0" w:color="auto"/>
        <w:right w:val="none" w:sz="0" w:space="0" w:color="auto"/>
      </w:divBdr>
    </w:div>
    <w:div w:id="1728724344">
      <w:bodyDiv w:val="1"/>
      <w:marLeft w:val="0"/>
      <w:marRight w:val="0"/>
      <w:marTop w:val="0"/>
      <w:marBottom w:val="0"/>
      <w:divBdr>
        <w:top w:val="none" w:sz="0" w:space="0" w:color="auto"/>
        <w:left w:val="none" w:sz="0" w:space="0" w:color="auto"/>
        <w:bottom w:val="none" w:sz="0" w:space="0" w:color="auto"/>
        <w:right w:val="none" w:sz="0" w:space="0" w:color="auto"/>
      </w:divBdr>
    </w:div>
    <w:div w:id="176241075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17925836">
      <w:bodyDiv w:val="1"/>
      <w:marLeft w:val="0"/>
      <w:marRight w:val="0"/>
      <w:marTop w:val="0"/>
      <w:marBottom w:val="0"/>
      <w:divBdr>
        <w:top w:val="none" w:sz="0" w:space="0" w:color="auto"/>
        <w:left w:val="none" w:sz="0" w:space="0" w:color="auto"/>
        <w:bottom w:val="none" w:sz="0" w:space="0" w:color="auto"/>
        <w:right w:val="none" w:sz="0" w:space="0" w:color="auto"/>
      </w:divBdr>
      <w:divsChild>
        <w:div w:id="10452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RATES'!$K$6</c:f>
              <c:strCache>
                <c:ptCount val="1"/>
                <c:pt idx="0">
                  <c:v>0322 - Biology</c:v>
                </c:pt>
              </c:strCache>
            </c:strRef>
          </c:tx>
          <c:invertIfNegative val="0"/>
          <c:dLbls>
            <c:dLbl>
              <c:idx val="0"/>
              <c:layout>
                <c:manualLayout>
                  <c:x val="1.8993352326685661E-3"/>
                  <c:y val="9.2592592592592587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986704653371322E-3"/>
                  <c:y val="-9.2592592592592587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6980056980056983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8993352326685661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7986704653371322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7986704653371322E-3"/>
                  <c:y val="4.629265091863517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RATES'!$D$6:$J$6</c:f>
              <c:numCache>
                <c:formatCode>0.0%</c:formatCode>
                <c:ptCount val="7"/>
                <c:pt idx="0">
                  <c:v>0.56299999999999994</c:v>
                </c:pt>
                <c:pt idx="1">
                  <c:v>0.58599999999999997</c:v>
                </c:pt>
                <c:pt idx="2">
                  <c:v>0.58099999999999996</c:v>
                </c:pt>
                <c:pt idx="3">
                  <c:v>0.56599999999999995</c:v>
                </c:pt>
                <c:pt idx="4">
                  <c:v>0.60099999999999998</c:v>
                </c:pt>
                <c:pt idx="5">
                  <c:v>0.54500000000000004</c:v>
                </c:pt>
                <c:pt idx="6">
                  <c:v>0.55600000000000005</c:v>
                </c:pt>
              </c:numCache>
            </c:numRef>
          </c:val>
        </c:ser>
        <c:ser>
          <c:idx val="1"/>
          <c:order val="1"/>
          <c:tx>
            <c:strRef>
              <c:f>'CHART FOR SUCCESS RATES'!$C$8</c:f>
              <c:strCache>
                <c:ptCount val="1"/>
                <c:pt idx="0">
                  <c:v>SME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RATES'!$D$8:$J$8</c:f>
              <c:numCache>
                <c:formatCode>0.0%</c:formatCode>
                <c:ptCount val="7"/>
                <c:pt idx="0">
                  <c:v>0.68400000000000005</c:v>
                </c:pt>
                <c:pt idx="1">
                  <c:v>0.67800000000000005</c:v>
                </c:pt>
                <c:pt idx="2">
                  <c:v>0.66500000000000004</c:v>
                </c:pt>
                <c:pt idx="3">
                  <c:v>0.65600000000000003</c:v>
                </c:pt>
                <c:pt idx="4">
                  <c:v>0.67</c:v>
                </c:pt>
                <c:pt idx="5" formatCode="0.00%">
                  <c:v>0.64800000000000002</c:v>
                </c:pt>
                <c:pt idx="6" formatCode="0.00%">
                  <c:v>0.65600000000000003</c:v>
                </c:pt>
              </c:numCache>
            </c:numRef>
          </c:val>
        </c:ser>
        <c:ser>
          <c:idx val="2"/>
          <c:order val="2"/>
          <c:tx>
            <c:strRef>
              <c:f>'CHART FOR SUCCESS RATES'!$C$9</c:f>
              <c:strCache>
                <c:ptCount val="1"/>
                <c:pt idx="0">
                  <c:v>COLLEGEWIDE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RATES'!$D$9:$J$9</c:f>
              <c:numCache>
                <c:formatCode>0.0%</c:formatCode>
                <c:ptCount val="7"/>
                <c:pt idx="0">
                  <c:v>0.71699999999999997</c:v>
                </c:pt>
                <c:pt idx="1">
                  <c:v>0.71</c:v>
                </c:pt>
                <c:pt idx="2">
                  <c:v>0.70199999999999996</c:v>
                </c:pt>
                <c:pt idx="3">
                  <c:v>0.69</c:v>
                </c:pt>
                <c:pt idx="4">
                  <c:v>0.70599999999999996</c:v>
                </c:pt>
                <c:pt idx="5">
                  <c:v>0.67800000000000005</c:v>
                </c:pt>
                <c:pt idx="6">
                  <c:v>0.69199999999999995</c:v>
                </c:pt>
              </c:numCache>
            </c:numRef>
          </c:val>
        </c:ser>
        <c:dLbls>
          <c:showLegendKey val="0"/>
          <c:showVal val="0"/>
          <c:showCatName val="0"/>
          <c:showSerName val="0"/>
          <c:showPercent val="0"/>
          <c:showBubbleSize val="0"/>
        </c:dLbls>
        <c:gapWidth val="150"/>
        <c:axId val="348624624"/>
        <c:axId val="348625408"/>
      </c:barChart>
      <c:catAx>
        <c:axId val="348624624"/>
        <c:scaling>
          <c:orientation val="minMax"/>
        </c:scaling>
        <c:delete val="0"/>
        <c:axPos val="b"/>
        <c:numFmt formatCode="General" sourceLinked="1"/>
        <c:majorTickMark val="none"/>
        <c:minorTickMark val="none"/>
        <c:tickLblPos val="nextTo"/>
        <c:crossAx val="348625408"/>
        <c:crosses val="autoZero"/>
        <c:auto val="1"/>
        <c:lblAlgn val="ctr"/>
        <c:lblOffset val="100"/>
        <c:noMultiLvlLbl val="0"/>
      </c:catAx>
      <c:valAx>
        <c:axId val="348625408"/>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348624624"/>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0322 - Biology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0.56299999999999994</c:v>
                </c:pt>
                <c:pt idx="1">
                  <c:v>0.58599999999999997</c:v>
                </c:pt>
                <c:pt idx="2">
                  <c:v>0.58099999999999996</c:v>
                </c:pt>
                <c:pt idx="3">
                  <c:v>0.56599999999999995</c:v>
                </c:pt>
                <c:pt idx="4">
                  <c:v>0.60099999999999998</c:v>
                </c:pt>
                <c:pt idx="5">
                  <c:v>0.54500000000000004</c:v>
                </c:pt>
              </c:numCache>
            </c:numRef>
          </c:val>
        </c:ser>
        <c:ser>
          <c:idx val="1"/>
          <c:order val="1"/>
          <c:tx>
            <c:strRef>
              <c:f>'CHART FOR SUCCESS RATES'!$C$7</c:f>
              <c:strCache>
                <c:ptCount val="1"/>
                <c:pt idx="0">
                  <c:v>SME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0.68400000000000005</c:v>
                </c:pt>
                <c:pt idx="1">
                  <c:v>0.67800000000000005</c:v>
                </c:pt>
                <c:pt idx="2">
                  <c:v>0.66500000000000004</c:v>
                </c:pt>
                <c:pt idx="3">
                  <c:v>0.65600000000000003</c:v>
                </c:pt>
                <c:pt idx="4">
                  <c:v>0.67</c:v>
                </c:pt>
                <c:pt idx="5">
                  <c:v>0.64800000000000002</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356213288"/>
        <c:axId val="356210936"/>
      </c:barChart>
      <c:catAx>
        <c:axId val="356213288"/>
        <c:scaling>
          <c:orientation val="minMax"/>
        </c:scaling>
        <c:delete val="0"/>
        <c:axPos val="b"/>
        <c:numFmt formatCode="General" sourceLinked="1"/>
        <c:majorTickMark val="none"/>
        <c:minorTickMark val="none"/>
        <c:tickLblPos val="nextTo"/>
        <c:crossAx val="356210936"/>
        <c:crosses val="autoZero"/>
        <c:auto val="1"/>
        <c:lblAlgn val="ctr"/>
        <c:lblOffset val="100"/>
        <c:noMultiLvlLbl val="0"/>
      </c:catAx>
      <c:valAx>
        <c:axId val="356210936"/>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356213288"/>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B144-16B9-410D-BC6A-53B337F1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5084</Words>
  <Characters>28983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Currier, Angela</cp:lastModifiedBy>
  <cp:revision>2</cp:revision>
  <cp:lastPrinted>2015-02-24T17:25:00Z</cp:lastPrinted>
  <dcterms:created xsi:type="dcterms:W3CDTF">2015-03-12T19:05:00Z</dcterms:created>
  <dcterms:modified xsi:type="dcterms:W3CDTF">2015-03-12T19:05:00Z</dcterms:modified>
</cp:coreProperties>
</file>