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8405FF">
        <w:rPr>
          <w:rFonts w:ascii="Arial" w:hAnsi="Arial" w:cs="Arial"/>
          <w:noProof/>
          <w:u w:val="single"/>
        </w:rPr>
        <w:t>AAS in Biotechnology (BIOLOGY)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9D4970" w:rsidRDefault="005B1A1C" w:rsidP="009D4970">
      <w:pPr>
        <w:pStyle w:val="ListParagraph"/>
        <w:rPr>
          <w:b/>
        </w:rPr>
      </w:pPr>
      <w:r>
        <w:rPr>
          <w:b/>
        </w:rPr>
        <w:t>Enrollment</w:t>
      </w:r>
      <w:r w:rsidR="00537059">
        <w:rPr>
          <w:b/>
        </w:rPr>
        <w:t xml:space="preserve"> in our BTN class trends indicate a continued upwards trend.  The department indicates three main components for such an increase; Community partnerships like the Tech Prep pathway, National grant work in the Bioscience DOL grant, and general trends seen nationally with enrollment trends at the community college level.</w:t>
      </w:r>
    </w:p>
    <w:p w:rsidR="005B1A1C" w:rsidRDefault="005B1A1C" w:rsidP="009D4970">
      <w:pPr>
        <w:pStyle w:val="ListParagraph"/>
        <w:rPr>
          <w:b/>
        </w:rPr>
      </w:pPr>
      <w:r>
        <w:rPr>
          <w:b/>
        </w:rPr>
        <w:t xml:space="preserve">Degree completion is at a five year high, with 18 students receiving a degree in biotechnology 2011 compared to 5 in 2007.  </w:t>
      </w:r>
    </w:p>
    <w:p w:rsidR="00F13E52" w:rsidRDefault="005B1A1C" w:rsidP="009D4970">
      <w:pPr>
        <w:pStyle w:val="ListParagraph"/>
        <w:rPr>
          <w:b/>
        </w:rPr>
      </w:pPr>
      <w:r>
        <w:rPr>
          <w:b/>
        </w:rPr>
        <w:t>Work within the department has focused on our “gatekeeper” course, BTN 130/131, which is our reagents prep course.  This course is heavily involved in math related subject matter.  In order to increase student success in this course the department has done the following; Developed a math retention program, increased work with tech prep program students, developed a biology/btn face book page, and developed a biotechnology student organized club.  The data indicates that the retention plan has worked for those students indentified as high risk (D student) who are willing to participate in the retention plan</w:t>
      </w:r>
      <w:r w:rsidR="0003340F">
        <w:rPr>
          <w:b/>
        </w:rPr>
        <w:t xml:space="preserve">.  Of the students who were deemed at risk, 5 chose not to participate, 3 of which left the program and the other 2 continued to receive D level grades in the second year coursework.  </w:t>
      </w:r>
    </w:p>
    <w:p w:rsidR="00F13E52" w:rsidRDefault="00F13E52" w:rsidP="009D4970">
      <w:pPr>
        <w:pStyle w:val="ListParagraph"/>
        <w:rPr>
          <w:b/>
        </w:rPr>
      </w:pPr>
      <w:r w:rsidRPr="00F13E52">
        <w:rPr>
          <w:b/>
          <w:noProof/>
        </w:rPr>
        <w:drawing>
          <wp:inline distT="0" distB="0" distL="0" distR="0">
            <wp:extent cx="4821174" cy="2913888"/>
            <wp:effectExtent l="19050" t="0" r="17526" b="762"/>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3E52" w:rsidRDefault="0003340F" w:rsidP="009D4970">
      <w:pPr>
        <w:pStyle w:val="ListParagraph"/>
        <w:rPr>
          <w:b/>
        </w:rPr>
      </w:pPr>
      <w:r>
        <w:rPr>
          <w:b/>
        </w:rPr>
        <w:t xml:space="preserve">Of the at risk students who did participate in such a program, all 6 increased their grades from D level to C level. </w:t>
      </w:r>
    </w:p>
    <w:p w:rsidR="00F13E52" w:rsidRDefault="00F13E52" w:rsidP="009D4970">
      <w:pPr>
        <w:pStyle w:val="ListParagraph"/>
        <w:rPr>
          <w:b/>
        </w:rPr>
      </w:pPr>
      <w:r w:rsidRPr="00F13E52">
        <w:rPr>
          <w:b/>
          <w:noProof/>
        </w:rPr>
        <w:drawing>
          <wp:inline distT="0" distB="0" distL="0" distR="0">
            <wp:extent cx="5486400" cy="32004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1A1C" w:rsidRDefault="0003340F" w:rsidP="009D4970">
      <w:pPr>
        <w:pStyle w:val="ListParagraph"/>
        <w:rPr>
          <w:b/>
        </w:rPr>
      </w:pPr>
      <w:r>
        <w:rPr>
          <w:b/>
        </w:rPr>
        <w:t xml:space="preserve"> We will continue this work for a three year period for proper analysis.</w:t>
      </w:r>
    </w:p>
    <w:p w:rsidR="0003340F" w:rsidRDefault="0003340F" w:rsidP="009D4970">
      <w:pPr>
        <w:pStyle w:val="ListParagraph"/>
        <w:rPr>
          <w:b/>
        </w:rPr>
      </w:pPr>
      <w:r>
        <w:rPr>
          <w:b/>
        </w:rPr>
        <w:t>.</w:t>
      </w:r>
    </w:p>
    <w:p w:rsidR="00F13E52" w:rsidRDefault="00F13E52" w:rsidP="009D4970">
      <w:pPr>
        <w:pStyle w:val="ListParagraph"/>
        <w:rPr>
          <w:b/>
        </w:rPr>
      </w:pPr>
    </w:p>
    <w:p w:rsidR="00F13E52" w:rsidRPr="00F13E52" w:rsidRDefault="00F13E52" w:rsidP="00F13E52">
      <w:pPr>
        <w:rPr>
          <w:b/>
        </w:rPr>
      </w:pPr>
      <w:r w:rsidRPr="00F13E52">
        <w:rPr>
          <w:b/>
        </w:rPr>
        <w:t xml:space="preserve">     Sinclair is on the advisory board for several of the local tech-prep schools as well as holding trainings for all the schools in the area on campus (Wendell Meyers is the contact for those trainings). The students who participate in the tech-prep biotechnology programs receive credit from Sinclair for the BTN 110: Intro to Biotechnology and BTN 120: Lab Safety. They enter the program winter quarter in BTN 130. In both 2010 and 2011 we received 10 students through this pathway. </w:t>
      </w:r>
    </w:p>
    <w:p w:rsidR="00F13E52" w:rsidRDefault="00F13E52" w:rsidP="00F13E52"/>
    <w:tbl>
      <w:tblPr>
        <w:tblStyle w:val="TableGrid"/>
        <w:tblW w:w="0" w:type="auto"/>
        <w:tblLook w:val="04A0"/>
      </w:tblPr>
      <w:tblGrid>
        <w:gridCol w:w="3192"/>
        <w:gridCol w:w="6384"/>
      </w:tblGrid>
      <w:tr w:rsidR="00F13E52" w:rsidTr="002C23B5">
        <w:tc>
          <w:tcPr>
            <w:tcW w:w="9576" w:type="dxa"/>
            <w:gridSpan w:val="2"/>
          </w:tcPr>
          <w:p w:rsidR="00F13E52" w:rsidRPr="006E11E2" w:rsidRDefault="00F13E52" w:rsidP="002C23B5">
            <w:pPr>
              <w:jc w:val="center"/>
              <w:rPr>
                <w:b/>
              </w:rPr>
            </w:pPr>
            <w:r w:rsidRPr="006E11E2">
              <w:rPr>
                <w:b/>
                <w:sz w:val="24"/>
              </w:rPr>
              <w:t>2010 Tech Prep Students</w:t>
            </w:r>
            <w:r>
              <w:rPr>
                <w:b/>
                <w:sz w:val="24"/>
              </w:rPr>
              <w:t xml:space="preserve"> in Biotech Program</w:t>
            </w:r>
          </w:p>
        </w:tc>
      </w:tr>
      <w:tr w:rsidR="00F13E52" w:rsidTr="002C23B5">
        <w:tc>
          <w:tcPr>
            <w:tcW w:w="3192" w:type="dxa"/>
          </w:tcPr>
          <w:p w:rsidR="00F13E52" w:rsidRDefault="00F13E52" w:rsidP="002C23B5">
            <w:r>
              <w:t>Student A</w:t>
            </w:r>
          </w:p>
        </w:tc>
        <w:tc>
          <w:tcPr>
            <w:tcW w:w="6384" w:type="dxa"/>
          </w:tcPr>
          <w:p w:rsidR="00F13E52" w:rsidRDefault="00F13E52" w:rsidP="002C23B5">
            <w:r>
              <w:t>Finished program</w:t>
            </w:r>
          </w:p>
        </w:tc>
      </w:tr>
      <w:tr w:rsidR="00F13E52" w:rsidTr="002C23B5">
        <w:tc>
          <w:tcPr>
            <w:tcW w:w="3192" w:type="dxa"/>
          </w:tcPr>
          <w:p w:rsidR="00F13E52" w:rsidRDefault="00F13E52" w:rsidP="002C23B5">
            <w:r>
              <w:t>Student B</w:t>
            </w:r>
          </w:p>
        </w:tc>
        <w:tc>
          <w:tcPr>
            <w:tcW w:w="6384" w:type="dxa"/>
          </w:tcPr>
          <w:p w:rsidR="00F13E52" w:rsidRDefault="00F13E52" w:rsidP="002C23B5">
            <w:r>
              <w:t>Failed BTN 130</w:t>
            </w:r>
          </w:p>
        </w:tc>
      </w:tr>
      <w:tr w:rsidR="00F13E52" w:rsidTr="002C23B5">
        <w:tc>
          <w:tcPr>
            <w:tcW w:w="3192" w:type="dxa"/>
          </w:tcPr>
          <w:p w:rsidR="00F13E52" w:rsidRDefault="00F13E52" w:rsidP="002C23B5">
            <w:r>
              <w:t>Student C</w:t>
            </w:r>
          </w:p>
        </w:tc>
        <w:tc>
          <w:tcPr>
            <w:tcW w:w="6384" w:type="dxa"/>
          </w:tcPr>
          <w:p w:rsidR="00F13E52" w:rsidRDefault="00F13E52" w:rsidP="002C23B5">
            <w:r>
              <w:t>Identified as ‘high risk’, left program after first year</w:t>
            </w:r>
          </w:p>
        </w:tc>
      </w:tr>
      <w:tr w:rsidR="00F13E52" w:rsidTr="002C23B5">
        <w:tc>
          <w:tcPr>
            <w:tcW w:w="3192" w:type="dxa"/>
          </w:tcPr>
          <w:p w:rsidR="00F13E52" w:rsidRDefault="00F13E52" w:rsidP="002C23B5">
            <w:r>
              <w:t>Student D</w:t>
            </w:r>
          </w:p>
        </w:tc>
        <w:tc>
          <w:tcPr>
            <w:tcW w:w="6384" w:type="dxa"/>
          </w:tcPr>
          <w:p w:rsidR="00F13E52" w:rsidRDefault="00F13E52" w:rsidP="002C23B5">
            <w:r>
              <w:t>Identified as ‘high risk’, failed BTN 140</w:t>
            </w:r>
          </w:p>
        </w:tc>
      </w:tr>
      <w:tr w:rsidR="00F13E52" w:rsidTr="002C23B5">
        <w:tc>
          <w:tcPr>
            <w:tcW w:w="3192" w:type="dxa"/>
          </w:tcPr>
          <w:p w:rsidR="00F13E52" w:rsidRDefault="00F13E52" w:rsidP="002C23B5">
            <w:r>
              <w:t>Student E</w:t>
            </w:r>
          </w:p>
        </w:tc>
        <w:tc>
          <w:tcPr>
            <w:tcW w:w="6384" w:type="dxa"/>
          </w:tcPr>
          <w:p w:rsidR="00F13E52" w:rsidRDefault="00F13E52" w:rsidP="002C23B5">
            <w:r>
              <w:t>Finished program, several safety issues in lab</w:t>
            </w:r>
          </w:p>
        </w:tc>
      </w:tr>
      <w:tr w:rsidR="00F13E52" w:rsidTr="002C23B5">
        <w:tc>
          <w:tcPr>
            <w:tcW w:w="3192" w:type="dxa"/>
          </w:tcPr>
          <w:p w:rsidR="00F13E52" w:rsidRDefault="00F13E52" w:rsidP="002C23B5">
            <w:r>
              <w:t>Student F</w:t>
            </w:r>
          </w:p>
        </w:tc>
        <w:tc>
          <w:tcPr>
            <w:tcW w:w="6384" w:type="dxa"/>
          </w:tcPr>
          <w:p w:rsidR="00F13E52" w:rsidRDefault="00F13E52" w:rsidP="002C23B5">
            <w:r>
              <w:t>Failed BTN 130</w:t>
            </w:r>
          </w:p>
        </w:tc>
      </w:tr>
      <w:tr w:rsidR="00F13E52" w:rsidTr="002C23B5">
        <w:tc>
          <w:tcPr>
            <w:tcW w:w="3192" w:type="dxa"/>
          </w:tcPr>
          <w:p w:rsidR="00F13E52" w:rsidRDefault="00F13E52" w:rsidP="002C23B5">
            <w:r>
              <w:t>Student G</w:t>
            </w:r>
          </w:p>
        </w:tc>
        <w:tc>
          <w:tcPr>
            <w:tcW w:w="6384" w:type="dxa"/>
          </w:tcPr>
          <w:p w:rsidR="00F13E52" w:rsidRDefault="00F13E52" w:rsidP="002C23B5">
            <w:r>
              <w:t xml:space="preserve">Failed BTN 130, re-enrolled the next year </w:t>
            </w:r>
          </w:p>
        </w:tc>
      </w:tr>
      <w:tr w:rsidR="00F13E52" w:rsidTr="002C23B5">
        <w:tc>
          <w:tcPr>
            <w:tcW w:w="3192" w:type="dxa"/>
          </w:tcPr>
          <w:p w:rsidR="00F13E52" w:rsidRDefault="00F13E52" w:rsidP="002C23B5">
            <w:r>
              <w:t>Student H</w:t>
            </w:r>
          </w:p>
        </w:tc>
        <w:tc>
          <w:tcPr>
            <w:tcW w:w="6384" w:type="dxa"/>
          </w:tcPr>
          <w:p w:rsidR="00F13E52" w:rsidRDefault="00F13E52" w:rsidP="002C23B5">
            <w:r>
              <w:t>Identified as ‘high risk’, failed BTN 140</w:t>
            </w:r>
          </w:p>
        </w:tc>
      </w:tr>
      <w:tr w:rsidR="00F13E52" w:rsidTr="002C23B5">
        <w:tc>
          <w:tcPr>
            <w:tcW w:w="3192" w:type="dxa"/>
          </w:tcPr>
          <w:p w:rsidR="00F13E52" w:rsidRDefault="00F13E52" w:rsidP="002C23B5">
            <w:r>
              <w:t>Student I</w:t>
            </w:r>
          </w:p>
        </w:tc>
        <w:tc>
          <w:tcPr>
            <w:tcW w:w="6384" w:type="dxa"/>
          </w:tcPr>
          <w:p w:rsidR="00F13E52" w:rsidRDefault="00F13E52" w:rsidP="002C23B5">
            <w:r>
              <w:t>Finished program</w:t>
            </w:r>
          </w:p>
        </w:tc>
      </w:tr>
      <w:tr w:rsidR="00F13E52" w:rsidTr="002C23B5">
        <w:trPr>
          <w:trHeight w:val="125"/>
        </w:trPr>
        <w:tc>
          <w:tcPr>
            <w:tcW w:w="3192" w:type="dxa"/>
          </w:tcPr>
          <w:p w:rsidR="00F13E52" w:rsidRDefault="00F13E52" w:rsidP="002C23B5">
            <w:r>
              <w:t>Student J</w:t>
            </w:r>
          </w:p>
        </w:tc>
        <w:tc>
          <w:tcPr>
            <w:tcW w:w="6384" w:type="dxa"/>
          </w:tcPr>
          <w:p w:rsidR="00F13E52" w:rsidRDefault="00F13E52" w:rsidP="002C23B5">
            <w:r>
              <w:t>Finished program</w:t>
            </w:r>
          </w:p>
        </w:tc>
      </w:tr>
    </w:tbl>
    <w:p w:rsidR="00F13E52" w:rsidRDefault="00F13E52" w:rsidP="00F13E52"/>
    <w:p w:rsidR="00F13E52" w:rsidRDefault="00F13E52" w:rsidP="00F13E52"/>
    <w:tbl>
      <w:tblPr>
        <w:tblStyle w:val="TableGrid"/>
        <w:tblW w:w="0" w:type="auto"/>
        <w:tblLook w:val="04A0"/>
      </w:tblPr>
      <w:tblGrid>
        <w:gridCol w:w="3192"/>
        <w:gridCol w:w="6384"/>
      </w:tblGrid>
      <w:tr w:rsidR="00F13E52" w:rsidTr="002C23B5">
        <w:tc>
          <w:tcPr>
            <w:tcW w:w="9576" w:type="dxa"/>
            <w:gridSpan w:val="2"/>
          </w:tcPr>
          <w:p w:rsidR="00F13E52" w:rsidRPr="006E11E2" w:rsidRDefault="00F13E52" w:rsidP="002C23B5">
            <w:pPr>
              <w:jc w:val="center"/>
              <w:rPr>
                <w:b/>
              </w:rPr>
            </w:pPr>
            <w:r>
              <w:rPr>
                <w:b/>
                <w:sz w:val="24"/>
              </w:rPr>
              <w:t>2011</w:t>
            </w:r>
            <w:r w:rsidRPr="006E11E2">
              <w:rPr>
                <w:b/>
                <w:sz w:val="24"/>
              </w:rPr>
              <w:t xml:space="preserve"> Tech Prep Students</w:t>
            </w:r>
            <w:r>
              <w:rPr>
                <w:b/>
                <w:sz w:val="24"/>
              </w:rPr>
              <w:t xml:space="preserve"> in Biotech Program</w:t>
            </w:r>
          </w:p>
        </w:tc>
      </w:tr>
      <w:tr w:rsidR="00F13E52" w:rsidTr="002C23B5">
        <w:tc>
          <w:tcPr>
            <w:tcW w:w="3192" w:type="dxa"/>
          </w:tcPr>
          <w:p w:rsidR="00F13E52" w:rsidRDefault="00F13E52" w:rsidP="002C23B5">
            <w:r>
              <w:t>Student K</w:t>
            </w:r>
          </w:p>
        </w:tc>
        <w:tc>
          <w:tcPr>
            <w:tcW w:w="6384" w:type="dxa"/>
          </w:tcPr>
          <w:p w:rsidR="00F13E52" w:rsidRDefault="00F13E52" w:rsidP="002C23B5">
            <w:r>
              <w:t>Still enrolled</w:t>
            </w:r>
          </w:p>
        </w:tc>
      </w:tr>
      <w:tr w:rsidR="00F13E52" w:rsidTr="002C23B5">
        <w:tc>
          <w:tcPr>
            <w:tcW w:w="3192" w:type="dxa"/>
          </w:tcPr>
          <w:p w:rsidR="00F13E52" w:rsidRDefault="00F13E52" w:rsidP="002C23B5">
            <w:r>
              <w:t>Student L</w:t>
            </w:r>
          </w:p>
        </w:tc>
        <w:tc>
          <w:tcPr>
            <w:tcW w:w="6384" w:type="dxa"/>
          </w:tcPr>
          <w:p w:rsidR="00F13E52" w:rsidRDefault="00F13E52" w:rsidP="002C23B5">
            <w:r>
              <w:t>Still enrolled</w:t>
            </w:r>
          </w:p>
        </w:tc>
      </w:tr>
      <w:tr w:rsidR="00F13E52" w:rsidTr="002C23B5">
        <w:tc>
          <w:tcPr>
            <w:tcW w:w="3192" w:type="dxa"/>
          </w:tcPr>
          <w:p w:rsidR="00F13E52" w:rsidRDefault="00F13E52" w:rsidP="002C23B5">
            <w:r>
              <w:t>Student M</w:t>
            </w:r>
          </w:p>
        </w:tc>
        <w:tc>
          <w:tcPr>
            <w:tcW w:w="6384" w:type="dxa"/>
          </w:tcPr>
          <w:p w:rsidR="00F13E52" w:rsidRDefault="00F13E52" w:rsidP="002C23B5">
            <w:r>
              <w:t>Still enrolled</w:t>
            </w:r>
          </w:p>
        </w:tc>
      </w:tr>
      <w:tr w:rsidR="00F13E52" w:rsidTr="002C23B5">
        <w:tc>
          <w:tcPr>
            <w:tcW w:w="3192" w:type="dxa"/>
          </w:tcPr>
          <w:p w:rsidR="00F13E52" w:rsidRDefault="00F13E52" w:rsidP="002C23B5">
            <w:r>
              <w:t>Student N</w:t>
            </w:r>
          </w:p>
        </w:tc>
        <w:tc>
          <w:tcPr>
            <w:tcW w:w="6384" w:type="dxa"/>
          </w:tcPr>
          <w:p w:rsidR="00F13E52" w:rsidRDefault="00F13E52" w:rsidP="002C23B5">
            <w:r>
              <w:t>Failed BTN 130</w:t>
            </w:r>
          </w:p>
        </w:tc>
      </w:tr>
      <w:tr w:rsidR="00F13E52" w:rsidTr="002C23B5">
        <w:tc>
          <w:tcPr>
            <w:tcW w:w="3192" w:type="dxa"/>
          </w:tcPr>
          <w:p w:rsidR="00F13E52" w:rsidRDefault="00F13E52" w:rsidP="002C23B5">
            <w:r>
              <w:t>Student O</w:t>
            </w:r>
          </w:p>
        </w:tc>
        <w:tc>
          <w:tcPr>
            <w:tcW w:w="6384" w:type="dxa"/>
          </w:tcPr>
          <w:p w:rsidR="00F13E52" w:rsidRDefault="00F13E52" w:rsidP="002C23B5">
            <w:r>
              <w:t>Identified as ‘high risk’ , still enrolled</w:t>
            </w:r>
          </w:p>
        </w:tc>
      </w:tr>
      <w:tr w:rsidR="00F13E52" w:rsidTr="002C23B5">
        <w:tc>
          <w:tcPr>
            <w:tcW w:w="3192" w:type="dxa"/>
          </w:tcPr>
          <w:p w:rsidR="00F13E52" w:rsidRDefault="00F13E52" w:rsidP="002C23B5">
            <w:r>
              <w:t>Student P</w:t>
            </w:r>
          </w:p>
        </w:tc>
        <w:tc>
          <w:tcPr>
            <w:tcW w:w="6384" w:type="dxa"/>
          </w:tcPr>
          <w:p w:rsidR="00F13E52" w:rsidRDefault="00F13E52" w:rsidP="002C23B5">
            <w:r>
              <w:t>Identified as ‘high risk’, failed BTN 140</w:t>
            </w:r>
          </w:p>
        </w:tc>
      </w:tr>
      <w:tr w:rsidR="00F13E52" w:rsidTr="002C23B5">
        <w:tc>
          <w:tcPr>
            <w:tcW w:w="3192" w:type="dxa"/>
          </w:tcPr>
          <w:p w:rsidR="00F13E52" w:rsidRDefault="00F13E52" w:rsidP="002C23B5">
            <w:r>
              <w:t>Student Q</w:t>
            </w:r>
          </w:p>
        </w:tc>
        <w:tc>
          <w:tcPr>
            <w:tcW w:w="6384" w:type="dxa"/>
          </w:tcPr>
          <w:p w:rsidR="00F13E52" w:rsidRDefault="00F13E52" w:rsidP="002C23B5">
            <w:r>
              <w:t xml:space="preserve">Re-enrolled from previous year, still enrolled </w:t>
            </w:r>
          </w:p>
        </w:tc>
      </w:tr>
      <w:tr w:rsidR="00F13E52" w:rsidTr="002C23B5">
        <w:tc>
          <w:tcPr>
            <w:tcW w:w="3192" w:type="dxa"/>
          </w:tcPr>
          <w:p w:rsidR="00F13E52" w:rsidRDefault="00F13E52" w:rsidP="002C23B5">
            <w:r>
              <w:t>Student R</w:t>
            </w:r>
          </w:p>
        </w:tc>
        <w:tc>
          <w:tcPr>
            <w:tcW w:w="6384" w:type="dxa"/>
          </w:tcPr>
          <w:p w:rsidR="00F13E52" w:rsidRDefault="00F13E52" w:rsidP="002C23B5">
            <w:r>
              <w:t>Identified as ‘high risk’, failed BTN 140</w:t>
            </w:r>
          </w:p>
        </w:tc>
      </w:tr>
      <w:tr w:rsidR="00F13E52" w:rsidTr="002C23B5">
        <w:tc>
          <w:tcPr>
            <w:tcW w:w="3192" w:type="dxa"/>
          </w:tcPr>
          <w:p w:rsidR="00F13E52" w:rsidRDefault="00F13E52" w:rsidP="002C23B5">
            <w:r>
              <w:t>Student S</w:t>
            </w:r>
          </w:p>
        </w:tc>
        <w:tc>
          <w:tcPr>
            <w:tcW w:w="6384" w:type="dxa"/>
          </w:tcPr>
          <w:p w:rsidR="00F13E52" w:rsidRDefault="00F13E52" w:rsidP="002C23B5">
            <w:r>
              <w:t>Left program</w:t>
            </w:r>
          </w:p>
        </w:tc>
      </w:tr>
      <w:tr w:rsidR="00F13E52" w:rsidTr="002C23B5">
        <w:trPr>
          <w:trHeight w:val="125"/>
        </w:trPr>
        <w:tc>
          <w:tcPr>
            <w:tcW w:w="3192" w:type="dxa"/>
          </w:tcPr>
          <w:p w:rsidR="00F13E52" w:rsidRDefault="00F13E52" w:rsidP="002C23B5">
            <w:r>
              <w:t>Student T</w:t>
            </w:r>
          </w:p>
        </w:tc>
        <w:tc>
          <w:tcPr>
            <w:tcW w:w="6384" w:type="dxa"/>
          </w:tcPr>
          <w:p w:rsidR="00F13E52" w:rsidRDefault="00F13E52" w:rsidP="002C23B5">
            <w:r>
              <w:t>Still enrolled</w:t>
            </w:r>
          </w:p>
        </w:tc>
      </w:tr>
    </w:tbl>
    <w:p w:rsidR="00F13E52" w:rsidRDefault="00F13E52" w:rsidP="00F13E52"/>
    <w:p w:rsidR="00F13E52" w:rsidRPr="00F13E52" w:rsidRDefault="00F13E52" w:rsidP="00F13E52">
      <w:pPr>
        <w:rPr>
          <w:b/>
        </w:rPr>
      </w:pPr>
      <w:r w:rsidRPr="00F13E52">
        <w:rPr>
          <w:b/>
        </w:rPr>
        <w:t xml:space="preserve">     Although the success rate of the students is increasing from 2010, we have identified many of these students as ‘high risk’ or they have failed their first quarter into the program and have left. Our response to these data is to proactively work with the high schools in preparing these students properly for the classes they are receiving credit for as well as preparing them better to succeed once they move on to our program. We have also recently sat in for questions and answers with all the area Biotechnology Tech-Prep teachers while they are training on Sinclair’s campus to address concerns about their students as well as finding what specific needs they have from us. The following actions have been taken/are being taken currently in fall 2011. </w:t>
      </w:r>
    </w:p>
    <w:p w:rsidR="00F13E52" w:rsidRPr="00F13E52" w:rsidRDefault="00F13E52" w:rsidP="00F13E52">
      <w:pPr>
        <w:rPr>
          <w:b/>
        </w:rPr>
      </w:pPr>
    </w:p>
    <w:p w:rsidR="00F13E52" w:rsidRPr="00F13E52" w:rsidRDefault="00F13E52" w:rsidP="00F13E52">
      <w:pPr>
        <w:pStyle w:val="ListParagraph"/>
        <w:numPr>
          <w:ilvl w:val="0"/>
          <w:numId w:val="24"/>
        </w:numPr>
        <w:spacing w:line="276" w:lineRule="auto"/>
        <w:rPr>
          <w:b/>
        </w:rPr>
      </w:pPr>
      <w:r w:rsidRPr="00F13E52">
        <w:rPr>
          <w:b/>
        </w:rPr>
        <w:t xml:space="preserve">Teachers supplied with a detailed syllabus from BTN 110 and BTN 120 </w:t>
      </w:r>
    </w:p>
    <w:p w:rsidR="00F13E52" w:rsidRPr="00F13E52" w:rsidRDefault="00F13E52" w:rsidP="00F13E52">
      <w:pPr>
        <w:pStyle w:val="ListParagraph"/>
        <w:numPr>
          <w:ilvl w:val="0"/>
          <w:numId w:val="24"/>
        </w:numPr>
        <w:spacing w:line="276" w:lineRule="auto"/>
        <w:rPr>
          <w:b/>
        </w:rPr>
      </w:pPr>
      <w:r w:rsidRPr="00F13E52">
        <w:rPr>
          <w:b/>
        </w:rPr>
        <w:t xml:space="preserve">Teachers will be supplied with a copy of a model lab notebook </w:t>
      </w:r>
    </w:p>
    <w:p w:rsidR="00F13E52" w:rsidRPr="00F13E52" w:rsidRDefault="00F13E52" w:rsidP="00F13E52">
      <w:pPr>
        <w:pStyle w:val="ListParagraph"/>
        <w:numPr>
          <w:ilvl w:val="0"/>
          <w:numId w:val="24"/>
        </w:numPr>
        <w:spacing w:line="276" w:lineRule="auto"/>
        <w:rPr>
          <w:b/>
        </w:rPr>
      </w:pPr>
      <w:r w:rsidRPr="00F13E52">
        <w:rPr>
          <w:b/>
        </w:rPr>
        <w:t>Teachers will be supplied with a copy of all homework assignments given in BTN 110 and BTN 120</w:t>
      </w:r>
    </w:p>
    <w:p w:rsidR="00F13E52" w:rsidRPr="00F13E52" w:rsidRDefault="00F13E52" w:rsidP="00F13E52">
      <w:pPr>
        <w:pStyle w:val="ListParagraph"/>
        <w:numPr>
          <w:ilvl w:val="0"/>
          <w:numId w:val="24"/>
        </w:numPr>
        <w:spacing w:line="276" w:lineRule="auto"/>
        <w:rPr>
          <w:b/>
        </w:rPr>
      </w:pPr>
      <w:r w:rsidRPr="00F13E52">
        <w:rPr>
          <w:b/>
        </w:rPr>
        <w:t>Teachers will be supplied with an outline of the most important safety rules and regulations their students should master before starting lab at Sinclair</w:t>
      </w:r>
    </w:p>
    <w:p w:rsidR="00F13E52" w:rsidRPr="00F13E52" w:rsidRDefault="00F13E52" w:rsidP="00F13E52">
      <w:pPr>
        <w:pStyle w:val="ListParagraph"/>
        <w:numPr>
          <w:ilvl w:val="0"/>
          <w:numId w:val="24"/>
        </w:numPr>
        <w:spacing w:line="276" w:lineRule="auto"/>
        <w:rPr>
          <w:b/>
        </w:rPr>
      </w:pPr>
      <w:r w:rsidRPr="00F13E52">
        <w:rPr>
          <w:b/>
        </w:rPr>
        <w:t>Teachers will be supplied with simple math problems to better prepare for BTN 130</w:t>
      </w:r>
    </w:p>
    <w:p w:rsidR="005864A4" w:rsidRPr="005864A4" w:rsidRDefault="005864A4" w:rsidP="005864A4">
      <w:pPr>
        <w:rPr>
          <w:rFonts w:ascii="Arial" w:hAnsi="Arial" w:cs="Arial"/>
          <w:b/>
        </w:rPr>
      </w:pPr>
    </w:p>
    <w:p w:rsidR="00847243" w:rsidRPr="004E47AA" w:rsidRDefault="00847243" w:rsidP="00827AE5">
      <w:pPr>
        <w:ind w:firstLine="360"/>
        <w:rPr>
          <w:b/>
        </w:rPr>
      </w:pPr>
    </w:p>
    <w:p w:rsidR="00847243" w:rsidRPr="004E47AA" w:rsidRDefault="00847243" w:rsidP="00827AE5">
      <w:pPr>
        <w:ind w:firstLine="360"/>
        <w:rPr>
          <w:b/>
        </w:rPr>
      </w:pPr>
    </w:p>
    <w:p w:rsidR="0028603C"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p>
    <w:p w:rsidR="00F13E52" w:rsidRPr="003A298D" w:rsidRDefault="00F13E52" w:rsidP="00F13E52">
      <w:pPr>
        <w:pStyle w:val="ListParagraph"/>
        <w:ind w:left="1440"/>
        <w:rPr>
          <w:b/>
        </w:rPr>
      </w:pPr>
    </w:p>
    <w:p w:rsidR="003A298D" w:rsidRPr="00A43285" w:rsidRDefault="003C3B23" w:rsidP="00BA3246">
      <w:pPr>
        <w:ind w:left="720" w:firstLine="720"/>
        <w:rPr>
          <w:b/>
        </w:rPr>
      </w:pPr>
      <w:r w:rsidRPr="00A43285">
        <w:rPr>
          <w:b/>
        </w:rPr>
        <w:t xml:space="preserve">The trends in the above data indicate an active department that is willing to supply the groundwork for student retention in the BTN program. As mentioned before, the external factors increase the number of students that we have and internal workings have kept them enrolled.  As mentioned above, the department has worked to prepare the new students in the tech prep pathway to increase the likelihood of success and with the retention </w:t>
      </w:r>
      <w:r w:rsidR="00A43285" w:rsidRPr="00A43285">
        <w:rPr>
          <w:b/>
        </w:rPr>
        <w:t>program;</w:t>
      </w:r>
      <w:r w:rsidRPr="00A43285">
        <w:rPr>
          <w:b/>
        </w:rPr>
        <w:t xml:space="preserve"> the department has proactively been involved with increasing student success.</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BA3246" w:rsidRDefault="00BA3246">
      <w:pPr>
        <w:spacing w:after="200" w:line="276" w:lineRule="auto"/>
        <w:rPr>
          <w:b/>
          <w:u w:val="single"/>
        </w:rPr>
      </w:pPr>
      <w:r>
        <w:rPr>
          <w:b/>
          <w:u w:val="single"/>
        </w:rPr>
        <w:br w:type="page"/>
      </w: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A43285">
      <w:pPr>
        <w:pStyle w:val="ListParagraph"/>
      </w:pPr>
      <w:r>
        <w:t>What was the fiscal year of the most recent Program Review for this program</w:t>
      </w:r>
      <w:r w:rsidR="003C1C8E">
        <w:t>? (</w:t>
      </w:r>
      <w:r w:rsidR="00B27095">
        <w:t>The</w:t>
      </w:r>
      <w:r w:rsidR="003C1C8E">
        <w:t xml:space="preserve"> most recent Program Review self-study can be found at </w:t>
      </w:r>
      <w:hyperlink r:id="rId10"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A43285" w:rsidRDefault="00A43285" w:rsidP="0094204C">
      <w:pPr>
        <w:pStyle w:val="ListParagraph"/>
        <w:rPr>
          <w:b/>
        </w:rPr>
      </w:pPr>
      <w:r>
        <w:rPr>
          <w:b/>
        </w:rPr>
        <w:t>2005-2006</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A43285" w:rsidRPr="00A43285" w:rsidRDefault="00A43285" w:rsidP="00A43285">
      <w:pPr>
        <w:pStyle w:val="ListParagraph"/>
        <w:rPr>
          <w:b/>
        </w:rPr>
      </w:pPr>
      <w:r w:rsidRPr="00A43285">
        <w:rPr>
          <w:b/>
        </w:rPr>
        <w:t>Primary goal is to meet the growing enrollment demand for top 45 courses, as well as the TAG/OTM courses.  We offer these courses at the various satellite campuses and online.</w:t>
      </w: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20CDE" w:rsidRPr="00554FC1" w:rsidRDefault="00A43285" w:rsidP="00320CDE">
      <w:pPr>
        <w:pStyle w:val="ListParagraph"/>
        <w:rPr>
          <w:b/>
        </w:rPr>
      </w:pPr>
      <w:r w:rsidRPr="00554FC1">
        <w:rPr>
          <w:b/>
        </w:rPr>
        <w:t>The department offers online classes; Bio 101,104, 107/108,111/117,121/127, and 122/128.  Plans have been developed and have been continued to increase student success in the “gatekeeper” courses.</w:t>
      </w:r>
      <w:r w:rsidR="00554FC1" w:rsidRPr="00554FC1">
        <w:rPr>
          <w:b/>
        </w:rPr>
        <w:t xml:space="preserve">  These include Bio 111 and Bio 121</w:t>
      </w:r>
    </w:p>
    <w:tbl>
      <w:tblPr>
        <w:tblW w:w="7540" w:type="dxa"/>
        <w:tblInd w:w="93" w:type="dxa"/>
        <w:tblLook w:val="04A0"/>
      </w:tblPr>
      <w:tblGrid>
        <w:gridCol w:w="1900"/>
        <w:gridCol w:w="2800"/>
        <w:gridCol w:w="1360"/>
        <w:gridCol w:w="1480"/>
      </w:tblGrid>
      <w:tr w:rsidR="00554FC1" w:rsidRPr="00554FC1" w:rsidTr="00554FC1">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Year for BIO 111</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Rate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 xml:space="preserve">Seat Count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Count</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2006-2007</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54.71%</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554</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302</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2007-2008</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54.52%</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602</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326</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2008-2009</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58.97%</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632</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368</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2009-2010</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58.65%</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638</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373</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2010-2011</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51.77%</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852</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438</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Year for BIO 121</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Rate</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Seat Count</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Count</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2007-2008</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52.40%</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271</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142</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2008-2009</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57.91%</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810</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465</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2009-2010</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48.02%</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1043</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498</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2010-2011</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52.68%</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1029</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540</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Year for BIO 141</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Rate</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Seat Count</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Count</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2006-2007</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48.90%</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1049</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512</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2007-2008</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50.76%</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990</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499</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2008-2009</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57.91%</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918</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527</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2009-2010</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62.13%</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1052</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653</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2010-2011</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62.76%</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982</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615</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Year for BIO 171</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Rate</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Seat Count</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center"/>
              <w:rPr>
                <w:rFonts w:ascii="Calibri" w:hAnsi="Calibri"/>
                <w:b/>
                <w:bCs/>
                <w:color w:val="000000"/>
              </w:rPr>
            </w:pPr>
            <w:r w:rsidRPr="00554FC1">
              <w:rPr>
                <w:rFonts w:ascii="Calibri" w:hAnsi="Calibri"/>
                <w:b/>
                <w:bCs/>
                <w:color w:val="000000"/>
                <w:sz w:val="22"/>
                <w:szCs w:val="22"/>
              </w:rPr>
              <w:t>Success Count</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2006-2007</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52.22%</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91</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47</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2007-2008</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60.92%</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87</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53</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2008-2009</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55.56%</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100</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55</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2009-2010</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60.66%</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123</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74</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2010-2011</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73.63%</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92</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jc w:val="right"/>
              <w:rPr>
                <w:rFonts w:ascii="Calibri" w:hAnsi="Calibri"/>
                <w:color w:val="000000"/>
              </w:rPr>
            </w:pPr>
            <w:r w:rsidRPr="00554FC1">
              <w:rPr>
                <w:rFonts w:ascii="Calibri" w:hAnsi="Calibri"/>
                <w:color w:val="000000"/>
                <w:sz w:val="22"/>
                <w:szCs w:val="22"/>
              </w:rPr>
              <w:t>67</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nil"/>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2800" w:type="dxa"/>
            <w:tcBorders>
              <w:top w:val="nil"/>
              <w:left w:val="nil"/>
              <w:bottom w:val="nil"/>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360" w:type="dxa"/>
            <w:tcBorders>
              <w:top w:val="nil"/>
              <w:left w:val="nil"/>
              <w:bottom w:val="nil"/>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c>
          <w:tcPr>
            <w:tcW w:w="1480" w:type="dxa"/>
            <w:tcBorders>
              <w:top w:val="nil"/>
              <w:left w:val="nil"/>
              <w:bottom w:val="nil"/>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r w:rsidRPr="00554FC1">
              <w:rPr>
                <w:rFonts w:ascii="Calibri" w:hAnsi="Calibri"/>
                <w:color w:val="000000"/>
                <w:sz w:val="22"/>
                <w:szCs w:val="22"/>
              </w:rPr>
              <w:t> </w:t>
            </w:r>
          </w:p>
        </w:tc>
      </w:tr>
      <w:tr w:rsidR="00554FC1" w:rsidRPr="00554FC1" w:rsidTr="00554FC1">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p>
        </w:tc>
        <w:tc>
          <w:tcPr>
            <w:tcW w:w="280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p>
        </w:tc>
        <w:tc>
          <w:tcPr>
            <w:tcW w:w="136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p>
        </w:tc>
        <w:tc>
          <w:tcPr>
            <w:tcW w:w="1480" w:type="dxa"/>
            <w:tcBorders>
              <w:top w:val="nil"/>
              <w:left w:val="nil"/>
              <w:bottom w:val="single" w:sz="4" w:space="0" w:color="auto"/>
              <w:right w:val="single" w:sz="4" w:space="0" w:color="auto"/>
            </w:tcBorders>
            <w:shd w:val="clear" w:color="auto" w:fill="auto"/>
            <w:noWrap/>
            <w:vAlign w:val="bottom"/>
            <w:hideMark/>
          </w:tcPr>
          <w:p w:rsidR="00554FC1" w:rsidRPr="00554FC1" w:rsidRDefault="00554FC1" w:rsidP="00554FC1">
            <w:pPr>
              <w:rPr>
                <w:rFonts w:ascii="Calibri" w:hAnsi="Calibri"/>
                <w:color w:val="000000"/>
              </w:rPr>
            </w:pPr>
          </w:p>
        </w:tc>
      </w:tr>
    </w:tbl>
    <w:p w:rsidR="00F86156" w:rsidRPr="00554FC1" w:rsidRDefault="00554FC1" w:rsidP="00320CDE">
      <w:pPr>
        <w:pStyle w:val="ListParagraph"/>
        <w:rPr>
          <w:b/>
        </w:rPr>
      </w:pPr>
      <w:r w:rsidRPr="00554FC1">
        <w:rPr>
          <w:b/>
        </w:rPr>
        <w:t>Of note from chart, overall success might be lower in some of the gatekeeper courses, but more students are completing the courses successfully.  Prime example is Bio121; over 800 more students were enrolled.  The department would also like to reiterate that the two main courses focused on have seen the greatest success.  Bio 171 is at an all time high and has jumped incredibly high since integration of lab and lecture. Meanwhile, with the help of the school administration and achieving the dream national support, Bio 141 has increased roughly 15 % all the while enrollment has skyrocketed.</w:t>
      </w: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0337E6" w:rsidRPr="00DA318F" w:rsidRDefault="00DA318F" w:rsidP="000337E6">
      <w:pPr>
        <w:pStyle w:val="ListParagraph"/>
        <w:rPr>
          <w:b/>
        </w:rPr>
      </w:pPr>
      <w:r w:rsidRPr="00DA318F">
        <w:rPr>
          <w:b/>
        </w:rPr>
        <w:t>1. Continued to ensure consistent learning outcomes among all section of classes.</w:t>
      </w:r>
    </w:p>
    <w:p w:rsidR="00DA318F" w:rsidRPr="00DA318F" w:rsidRDefault="00DA318F" w:rsidP="000337E6">
      <w:pPr>
        <w:pStyle w:val="ListParagraph"/>
        <w:rPr>
          <w:b/>
        </w:rPr>
      </w:pPr>
      <w:r w:rsidRPr="00DA318F">
        <w:rPr>
          <w:b/>
        </w:rPr>
        <w:t>2. Collaboration with the ALH department to ensure consistent delivery of educational materials.</w:t>
      </w:r>
    </w:p>
    <w:p w:rsidR="00DA318F" w:rsidRPr="00DA318F" w:rsidRDefault="00DA318F" w:rsidP="000337E6">
      <w:pPr>
        <w:pStyle w:val="ListParagraph"/>
        <w:rPr>
          <w:b/>
        </w:rPr>
      </w:pPr>
      <w:r w:rsidRPr="00DA318F">
        <w:rPr>
          <w:b/>
        </w:rPr>
        <w:t>3. Work with collaborators to develop additional resources, such as Achieving the Dream</w:t>
      </w:r>
      <w:r>
        <w:rPr>
          <w:b/>
        </w:rPr>
        <w:t>.</w:t>
      </w:r>
    </w:p>
    <w:p w:rsidR="0094204C" w:rsidRPr="00DA318F" w:rsidRDefault="00DA318F" w:rsidP="000337E6">
      <w:pPr>
        <w:pStyle w:val="ListParagraph"/>
        <w:rPr>
          <w:b/>
        </w:rPr>
      </w:pPr>
      <w:r w:rsidRPr="00DA318F">
        <w:rPr>
          <w:b/>
        </w:rPr>
        <w:t>4. Hiring of 2 full time tenure track faculty to meet the demands of our departments enrollment</w:t>
      </w:r>
      <w:r>
        <w:rPr>
          <w:b/>
        </w:rPr>
        <w:t>.</w:t>
      </w:r>
    </w:p>
    <w:p w:rsidR="00266F2F" w:rsidRDefault="00266F2F" w:rsidP="000337E6">
      <w:pPr>
        <w:pStyle w:val="ListParagraph"/>
      </w:pPr>
    </w:p>
    <w:p w:rsidR="00266F2F" w:rsidRDefault="00266F2F" w:rsidP="000337E6">
      <w:pPr>
        <w:pStyle w:val="ListParagraph"/>
      </w:pPr>
    </w:p>
    <w:p w:rsidR="00266F2F" w:rsidRDefault="00266F2F" w:rsidP="000337E6">
      <w:pPr>
        <w:pStyle w:val="ListParagraph"/>
      </w:pPr>
    </w:p>
    <w:p w:rsidR="00BA3246" w:rsidRDefault="00BA3246">
      <w:pPr>
        <w:spacing w:after="200" w:line="276" w:lineRule="auto"/>
        <w:rPr>
          <w:b/>
          <w:u w:val="single"/>
        </w:rPr>
      </w:pPr>
      <w:r>
        <w:rPr>
          <w:b/>
          <w:u w:val="single"/>
        </w:rPr>
        <w:br w:type="page"/>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4170"/>
        <w:gridCol w:w="2610"/>
        <w:gridCol w:w="2160"/>
        <w:gridCol w:w="1898"/>
      </w:tblGrid>
      <w:tr w:rsidR="00A3471C" w:rsidRPr="006137FD" w:rsidTr="00A3471C">
        <w:trPr>
          <w:trHeight w:val="71"/>
        </w:trPr>
        <w:tc>
          <w:tcPr>
            <w:tcW w:w="4170" w:type="dxa"/>
            <w:shd w:val="clear" w:color="auto" w:fill="FFFFFF"/>
            <w:vAlign w:val="center"/>
          </w:tcPr>
          <w:p w:rsidR="00A3471C" w:rsidRPr="002C1797" w:rsidRDefault="00A3471C" w:rsidP="00A3471C">
            <w:pPr>
              <w:jc w:val="center"/>
              <w:rPr>
                <w:sz w:val="24"/>
                <w:szCs w:val="24"/>
              </w:rPr>
            </w:pPr>
            <w:r w:rsidRPr="00A3471C">
              <w:rPr>
                <w:rFonts w:ascii="Arial" w:hAnsi="Arial" w:cs="Arial"/>
                <w:b/>
                <w:noProof/>
                <w:u w:val="single"/>
              </w:rPr>
              <w:t>Biotechnology (BIOLOGY)</w:t>
            </w:r>
            <w:r>
              <w:rPr>
                <w:rFonts w:ascii="Arial" w:hAnsi="Arial" w:cs="Arial"/>
                <w:noProof/>
                <w:u w:val="single"/>
              </w:rPr>
              <w:t xml:space="preserve"> </w:t>
            </w:r>
            <w:r w:rsidRPr="002C1797">
              <w:rPr>
                <w:sz w:val="24"/>
                <w:szCs w:val="24"/>
              </w:rPr>
              <w:t>Program Outcomes</w:t>
            </w:r>
          </w:p>
        </w:tc>
        <w:tc>
          <w:tcPr>
            <w:tcW w:w="2610" w:type="dxa"/>
          </w:tcPr>
          <w:p w:rsidR="00A3471C" w:rsidRPr="002C1797" w:rsidRDefault="00A3471C" w:rsidP="00A3471C">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A3471C" w:rsidRPr="002E548B" w:rsidRDefault="00A3471C" w:rsidP="00A3471C">
            <w:pPr>
              <w:jc w:val="center"/>
              <w:rPr>
                <w:sz w:val="20"/>
                <w:szCs w:val="20"/>
              </w:rPr>
            </w:pPr>
            <w:r w:rsidRPr="002E548B">
              <w:rPr>
                <w:sz w:val="20"/>
                <w:szCs w:val="20"/>
              </w:rPr>
              <w:t>Which of these program outcomes were assessed during the last fiscal year? </w:t>
            </w:r>
          </w:p>
        </w:tc>
        <w:tc>
          <w:tcPr>
            <w:tcW w:w="1898" w:type="dxa"/>
          </w:tcPr>
          <w:p w:rsidR="00A3471C" w:rsidRPr="00660080" w:rsidRDefault="00A3471C" w:rsidP="00A3471C">
            <w:pPr>
              <w:jc w:val="center"/>
              <w:rPr>
                <w:sz w:val="20"/>
                <w:szCs w:val="20"/>
              </w:rPr>
            </w:pPr>
            <w:r w:rsidRPr="00660080">
              <w:rPr>
                <w:sz w:val="20"/>
                <w:szCs w:val="20"/>
              </w:rPr>
              <w:t>Assessment Methods</w:t>
            </w:r>
          </w:p>
          <w:p w:rsidR="00A3471C" w:rsidRPr="00660080" w:rsidRDefault="00A3471C" w:rsidP="00A3471C">
            <w:pPr>
              <w:jc w:val="center"/>
              <w:rPr>
                <w:sz w:val="20"/>
                <w:szCs w:val="20"/>
              </w:rPr>
            </w:pPr>
            <w:r w:rsidRPr="00660080">
              <w:rPr>
                <w:sz w:val="20"/>
                <w:szCs w:val="20"/>
              </w:rPr>
              <w:t>Used</w:t>
            </w:r>
          </w:p>
          <w:p w:rsidR="00A3471C" w:rsidRPr="00660080" w:rsidRDefault="00A3471C" w:rsidP="00A3471C">
            <w:pPr>
              <w:jc w:val="center"/>
              <w:rPr>
                <w:sz w:val="20"/>
                <w:szCs w:val="20"/>
              </w:rPr>
            </w:pPr>
          </w:p>
        </w:tc>
      </w:tr>
      <w:tr w:rsidR="00C11181" w:rsidRPr="00107027" w:rsidTr="00A3471C">
        <w:trPr>
          <w:trHeight w:val="269"/>
        </w:trPr>
        <w:tc>
          <w:tcPr>
            <w:tcW w:w="4170" w:type="dxa"/>
            <w:shd w:val="clear" w:color="auto" w:fill="FFFFFF"/>
            <w:vAlign w:val="center"/>
          </w:tcPr>
          <w:p w:rsidR="00C11181" w:rsidRPr="002C1797" w:rsidRDefault="00C11181" w:rsidP="00C11181">
            <w:pPr>
              <w:rPr>
                <w:i/>
                <w:sz w:val="20"/>
                <w:szCs w:val="20"/>
              </w:rPr>
            </w:pPr>
            <w:r w:rsidRPr="00A3471C">
              <w:rPr>
                <w:b/>
                <w:sz w:val="20"/>
                <w:szCs w:val="20"/>
              </w:rPr>
              <w:t xml:space="preserve">1) </w:t>
            </w:r>
            <w:r>
              <w:rPr>
                <w:b/>
                <w:sz w:val="20"/>
                <w:szCs w:val="20"/>
              </w:rPr>
              <w:t xml:space="preserve"> </w:t>
            </w:r>
            <w:r w:rsidRPr="00A21EB1">
              <w:rPr>
                <w:rFonts w:ascii="Arial" w:hAnsi="Arial" w:cs="Arial"/>
                <w:sz w:val="18"/>
                <w:szCs w:val="18"/>
              </w:rPr>
              <w:t>Demonstrate an understanding of safety issues in the workplace related to the use of biohazards and hazardous chemicals, as well as proper record keeping meeting industry standards for compliance with regulatory agencies</w:t>
            </w:r>
          </w:p>
        </w:tc>
        <w:tc>
          <w:tcPr>
            <w:tcW w:w="2610" w:type="dxa"/>
            <w:vAlign w:val="center"/>
          </w:tcPr>
          <w:p w:rsidR="00C11181" w:rsidRPr="002C1797" w:rsidRDefault="007D68BF" w:rsidP="00A3471C">
            <w:pPr>
              <w:jc w:val="center"/>
              <w:rPr>
                <w:sz w:val="20"/>
                <w:szCs w:val="20"/>
              </w:rPr>
            </w:pPr>
            <w:r>
              <w:rPr>
                <w:sz w:val="20"/>
                <w:szCs w:val="20"/>
              </w:rPr>
              <w:t>All BTN courses</w:t>
            </w:r>
          </w:p>
        </w:tc>
        <w:tc>
          <w:tcPr>
            <w:tcW w:w="2160" w:type="dxa"/>
            <w:shd w:val="clear" w:color="auto" w:fill="auto"/>
            <w:vAlign w:val="center"/>
          </w:tcPr>
          <w:p w:rsidR="00C11181" w:rsidRPr="00690A3D" w:rsidRDefault="005A7C65" w:rsidP="006F4FD8">
            <w:pPr>
              <w:rPr>
                <w:rFonts w:asciiTheme="minorHAnsi" w:hAnsiTheme="minorHAnsi"/>
                <w:sz w:val="16"/>
                <w:szCs w:val="16"/>
              </w:rPr>
            </w:pPr>
            <w:r w:rsidRPr="005A7C65">
              <w:rPr>
                <w:noProof/>
                <w:sz w:val="16"/>
                <w:szCs w:val="16"/>
              </w:rPr>
              <w:pict>
                <v:shapetype id="_x0000_t201" coordsize="21600,21600" o:spt="201" path="m,l,21600r21600,l21600,xe">
                  <v:stroke joinstyle="miter"/>
                  <v:path shadowok="f" o:extrusionok="f" strokeok="f" fillok="f" o:connecttype="rect"/>
                  <o:lock v:ext="edit" shapetype="t"/>
                </v:shapetype>
                <v:shape id="_x0000_s1029" type="#_x0000_t201" style="position:absolute;margin-left:34.9pt;margin-top:3.65pt;width:16.5pt;height:15pt;z-index:251682816;mso-position-horizontal-relative:text;mso-position-vertical-relative:text" o:preferrelative="t" wrapcoords="-982 0 -982 21228 21600 21228 21600 0 -982 0" filled="f" stroked="f">
                  <v:imagedata r:id="rId11" o:title=""/>
                  <o:lock v:ext="edit" aspectratio="t"/>
                  <w10:wrap type="tight"/>
                </v:shape>
                <w:control r:id="rId12" w:name="CheckBox121" w:shapeid="_x0000_s1029"/>
              </w:pict>
            </w:r>
          </w:p>
        </w:tc>
        <w:tc>
          <w:tcPr>
            <w:tcW w:w="1898" w:type="dxa"/>
            <w:vAlign w:val="center"/>
          </w:tcPr>
          <w:p w:rsidR="00C11181" w:rsidRPr="00660080" w:rsidRDefault="007D68BF" w:rsidP="006F4FD8">
            <w:pPr>
              <w:pStyle w:val="ListParagraph"/>
              <w:numPr>
                <w:ilvl w:val="0"/>
                <w:numId w:val="14"/>
              </w:numPr>
              <w:ind w:left="252" w:hanging="180"/>
              <w:rPr>
                <w:sz w:val="20"/>
                <w:szCs w:val="20"/>
              </w:rPr>
            </w:pPr>
            <w:r>
              <w:rPr>
                <w:rFonts w:ascii="Arial" w:hAnsi="Arial" w:cs="Arial"/>
              </w:rPr>
              <w:t>Graded lab reports and outside speaker presentations</w:t>
            </w:r>
          </w:p>
        </w:tc>
      </w:tr>
      <w:tr w:rsidR="00C11181" w:rsidRPr="00107027" w:rsidTr="00FD2397">
        <w:trPr>
          <w:trHeight w:val="71"/>
        </w:trPr>
        <w:tc>
          <w:tcPr>
            <w:tcW w:w="4170" w:type="dxa"/>
            <w:shd w:val="clear" w:color="auto" w:fill="FFFFFF"/>
            <w:vAlign w:val="center"/>
          </w:tcPr>
          <w:p w:rsidR="00C11181" w:rsidRPr="002C1797" w:rsidRDefault="00C11181" w:rsidP="00C11181">
            <w:pPr>
              <w:rPr>
                <w:sz w:val="20"/>
                <w:szCs w:val="20"/>
              </w:rPr>
            </w:pPr>
            <w:r w:rsidRPr="002C1797">
              <w:rPr>
                <w:b/>
                <w:sz w:val="20"/>
                <w:szCs w:val="20"/>
              </w:rPr>
              <w:t>2)</w:t>
            </w:r>
            <w:r>
              <w:rPr>
                <w:sz w:val="20"/>
                <w:szCs w:val="20"/>
              </w:rPr>
              <w:t>.</w:t>
            </w:r>
            <w:r w:rsidRPr="00A21EB1">
              <w:rPr>
                <w:rFonts w:ascii="Arial" w:hAnsi="Arial" w:cs="Arial"/>
                <w:sz w:val="18"/>
                <w:szCs w:val="18"/>
              </w:rPr>
              <w:t xml:space="preserve"> Demonstrate an understanding of the ethical issues involved in the use of biotechnology and working in the biotechnology industry</w:t>
            </w:r>
          </w:p>
        </w:tc>
        <w:tc>
          <w:tcPr>
            <w:tcW w:w="2610" w:type="dxa"/>
            <w:vAlign w:val="center"/>
          </w:tcPr>
          <w:p w:rsidR="00C11181" w:rsidRPr="002C1797" w:rsidRDefault="007D68BF" w:rsidP="00A3471C">
            <w:pPr>
              <w:jc w:val="center"/>
              <w:rPr>
                <w:sz w:val="20"/>
                <w:szCs w:val="20"/>
              </w:rPr>
            </w:pPr>
            <w:r>
              <w:rPr>
                <w:sz w:val="20"/>
                <w:szCs w:val="20"/>
              </w:rPr>
              <w:t>BTN 110 and 201</w:t>
            </w:r>
          </w:p>
        </w:tc>
        <w:tc>
          <w:tcPr>
            <w:tcW w:w="2160" w:type="dxa"/>
            <w:shd w:val="clear" w:color="auto" w:fill="auto"/>
            <w:vAlign w:val="center"/>
          </w:tcPr>
          <w:p w:rsidR="00C11181" w:rsidRPr="00690A3D" w:rsidRDefault="005A7C65" w:rsidP="006F4FD8">
            <w:pPr>
              <w:rPr>
                <w:rFonts w:asciiTheme="minorHAnsi" w:hAnsiTheme="minorHAnsi"/>
                <w:sz w:val="16"/>
                <w:szCs w:val="16"/>
              </w:rPr>
            </w:pPr>
            <w:r w:rsidRPr="005A7C65">
              <w:rPr>
                <w:noProof/>
                <w:sz w:val="16"/>
                <w:szCs w:val="16"/>
              </w:rPr>
              <w:pict>
                <v:shape id="_x0000_s1028" type="#_x0000_t201" style="position:absolute;margin-left:34.9pt;margin-top:3.65pt;width:16.5pt;height:15pt;z-index:251681792;mso-position-horizontal-relative:text;mso-position-vertical-relative:text" o:preferrelative="t" wrapcoords="-982 0 -982 21228 21600 21228 21600 0 -982 0" filled="f" stroked="f">
                  <v:imagedata r:id="rId11" o:title=""/>
                  <o:lock v:ext="edit" aspectratio="t"/>
                  <w10:wrap type="tight"/>
                </v:shape>
                <w:control r:id="rId13" w:name="CheckBox1221" w:shapeid="_x0000_s1028"/>
              </w:pict>
            </w:r>
          </w:p>
        </w:tc>
        <w:tc>
          <w:tcPr>
            <w:tcW w:w="1898" w:type="dxa"/>
          </w:tcPr>
          <w:p w:rsidR="00C11181" w:rsidRPr="00660080" w:rsidRDefault="007D68BF" w:rsidP="006F4FD8">
            <w:pPr>
              <w:pStyle w:val="ListParagraph"/>
              <w:numPr>
                <w:ilvl w:val="0"/>
                <w:numId w:val="14"/>
              </w:numPr>
              <w:ind w:left="252" w:hanging="180"/>
              <w:rPr>
                <w:sz w:val="20"/>
                <w:szCs w:val="20"/>
              </w:rPr>
            </w:pPr>
            <w:r>
              <w:rPr>
                <w:rFonts w:ascii="Arial" w:hAnsi="Arial" w:cs="Arial"/>
              </w:rPr>
              <w:t>Graded homework, lecture and lab exams, and graded discussions from outside industrial partnerships</w:t>
            </w:r>
          </w:p>
        </w:tc>
      </w:tr>
      <w:tr w:rsidR="00A3471C" w:rsidRPr="00107027" w:rsidTr="00A3471C">
        <w:trPr>
          <w:trHeight w:val="71"/>
        </w:trPr>
        <w:tc>
          <w:tcPr>
            <w:tcW w:w="4170" w:type="dxa"/>
            <w:shd w:val="clear" w:color="auto" w:fill="FFFFFF"/>
            <w:vAlign w:val="center"/>
          </w:tcPr>
          <w:p w:rsidR="00C11181" w:rsidRPr="00A21EB1" w:rsidRDefault="00A3471C" w:rsidP="00C11181">
            <w:pPr>
              <w:rPr>
                <w:b/>
                <w:sz w:val="18"/>
                <w:szCs w:val="18"/>
              </w:rPr>
            </w:pPr>
            <w:r w:rsidRPr="002C1797">
              <w:rPr>
                <w:b/>
                <w:sz w:val="20"/>
                <w:szCs w:val="20"/>
              </w:rPr>
              <w:t xml:space="preserve">3) </w:t>
            </w:r>
            <w:r w:rsidR="00C11181" w:rsidRPr="00A21EB1">
              <w:rPr>
                <w:rFonts w:ascii="Arial" w:hAnsi="Arial" w:cs="Arial"/>
                <w:sz w:val="18"/>
                <w:szCs w:val="18"/>
              </w:rPr>
              <w:t>Develop essential employment skills for success in the workplace including resume preparation, job market analysis, professional image enhancement, appropriate professional interaction, proper work ethics, and goal setting.</w:t>
            </w:r>
          </w:p>
          <w:p w:rsidR="00A3471C" w:rsidRPr="00A3471C" w:rsidRDefault="00A3471C" w:rsidP="00C11181">
            <w:pPr>
              <w:rPr>
                <w:sz w:val="20"/>
                <w:szCs w:val="20"/>
              </w:rPr>
            </w:pPr>
          </w:p>
        </w:tc>
        <w:tc>
          <w:tcPr>
            <w:tcW w:w="2610" w:type="dxa"/>
            <w:vAlign w:val="center"/>
          </w:tcPr>
          <w:p w:rsidR="00A3471C" w:rsidRPr="002C1797" w:rsidRDefault="007D68BF" w:rsidP="00A3471C">
            <w:pPr>
              <w:jc w:val="center"/>
              <w:rPr>
                <w:sz w:val="20"/>
                <w:szCs w:val="20"/>
              </w:rPr>
            </w:pPr>
            <w:r>
              <w:rPr>
                <w:sz w:val="20"/>
                <w:szCs w:val="20"/>
              </w:rPr>
              <w:t>BTN 110, 120, and 201</w:t>
            </w:r>
          </w:p>
        </w:tc>
        <w:tc>
          <w:tcPr>
            <w:tcW w:w="2160" w:type="dxa"/>
            <w:shd w:val="clear" w:color="auto" w:fill="auto"/>
            <w:vAlign w:val="center"/>
          </w:tcPr>
          <w:p w:rsidR="00A3471C" w:rsidRPr="00690A3D" w:rsidRDefault="005A7C65" w:rsidP="00A3471C">
            <w:pPr>
              <w:rPr>
                <w:rFonts w:asciiTheme="minorHAnsi" w:hAnsiTheme="minorHAnsi"/>
                <w:sz w:val="16"/>
                <w:szCs w:val="16"/>
              </w:rPr>
            </w:pPr>
            <w:r w:rsidRPr="005A7C65">
              <w:rPr>
                <w:noProof/>
                <w:sz w:val="16"/>
                <w:szCs w:val="16"/>
              </w:rPr>
              <w:pict>
                <v:shape id="_x0000_s1027" type="#_x0000_t201" style="position:absolute;margin-left:34.9pt;margin-top:3.65pt;width:16.5pt;height:15pt;z-index:251671552;mso-position-horizontal-relative:text;mso-position-vertical-relative:text" o:preferrelative="t" wrapcoords="-982 0 -982 21228 21600 21228 21600 0 -982 0" filled="f" stroked="f">
                  <v:imagedata r:id="rId11" o:title=""/>
                  <o:lock v:ext="edit" aspectratio="t"/>
                  <w10:wrap type="tight"/>
                </v:shape>
                <w:control r:id="rId14" w:name="CheckBox12" w:shapeid="_x0000_s1027"/>
              </w:pict>
            </w:r>
          </w:p>
        </w:tc>
        <w:tc>
          <w:tcPr>
            <w:tcW w:w="1898" w:type="dxa"/>
            <w:vAlign w:val="center"/>
          </w:tcPr>
          <w:p w:rsidR="00A3471C" w:rsidRPr="00660080" w:rsidRDefault="007D68BF" w:rsidP="00A3471C">
            <w:pPr>
              <w:pStyle w:val="ListParagraph"/>
              <w:numPr>
                <w:ilvl w:val="0"/>
                <w:numId w:val="14"/>
              </w:numPr>
              <w:ind w:left="252" w:hanging="180"/>
              <w:rPr>
                <w:sz w:val="20"/>
                <w:szCs w:val="20"/>
              </w:rPr>
            </w:pPr>
            <w:r>
              <w:rPr>
                <w:rFonts w:ascii="Arial" w:hAnsi="Arial" w:cs="Arial"/>
              </w:rPr>
              <w:t>Mock interviews, graded resume and cover letters, workplace interview discussions.</w:t>
            </w:r>
          </w:p>
        </w:tc>
      </w:tr>
      <w:tr w:rsidR="00C11181" w:rsidRPr="00107027" w:rsidTr="00C73B16">
        <w:trPr>
          <w:trHeight w:val="71"/>
        </w:trPr>
        <w:tc>
          <w:tcPr>
            <w:tcW w:w="4170" w:type="dxa"/>
            <w:shd w:val="clear" w:color="auto" w:fill="FFFFFF"/>
            <w:vAlign w:val="center"/>
          </w:tcPr>
          <w:p w:rsidR="00C11181" w:rsidRPr="00A21EB1" w:rsidRDefault="00C11181" w:rsidP="00C11181">
            <w:pPr>
              <w:rPr>
                <w:rFonts w:ascii="Arial" w:hAnsi="Arial" w:cs="Arial"/>
                <w:sz w:val="18"/>
                <w:szCs w:val="18"/>
              </w:rPr>
            </w:pPr>
            <w:r w:rsidRPr="002C1797">
              <w:rPr>
                <w:b/>
                <w:sz w:val="20"/>
                <w:szCs w:val="20"/>
              </w:rPr>
              <w:t xml:space="preserve">4) </w:t>
            </w:r>
            <w:r w:rsidRPr="00A21EB1">
              <w:rPr>
                <w:rFonts w:ascii="Arial" w:hAnsi="Arial" w:cs="Arial"/>
                <w:sz w:val="18"/>
                <w:szCs w:val="18"/>
              </w:rPr>
              <w:t>Demonstrate proficiency in executing a wide variety of basic and advanced biotechnology research techniques.</w:t>
            </w:r>
          </w:p>
          <w:p w:rsidR="00C11181" w:rsidRPr="00A3471C" w:rsidRDefault="00C11181" w:rsidP="00C11181">
            <w:pPr>
              <w:rPr>
                <w:sz w:val="20"/>
                <w:szCs w:val="20"/>
              </w:rPr>
            </w:pPr>
          </w:p>
        </w:tc>
        <w:tc>
          <w:tcPr>
            <w:tcW w:w="2610" w:type="dxa"/>
            <w:vAlign w:val="center"/>
          </w:tcPr>
          <w:p w:rsidR="00C11181" w:rsidRPr="002C1797" w:rsidRDefault="007D68BF" w:rsidP="00A3471C">
            <w:pPr>
              <w:jc w:val="center"/>
              <w:rPr>
                <w:sz w:val="20"/>
                <w:szCs w:val="20"/>
              </w:rPr>
            </w:pPr>
            <w:r>
              <w:rPr>
                <w:sz w:val="20"/>
                <w:szCs w:val="20"/>
              </w:rPr>
              <w:t>BTN 130, 140,210,220, 230,235, and 240</w:t>
            </w:r>
          </w:p>
        </w:tc>
        <w:tc>
          <w:tcPr>
            <w:tcW w:w="2160" w:type="dxa"/>
            <w:shd w:val="clear" w:color="auto" w:fill="auto"/>
            <w:vAlign w:val="center"/>
          </w:tcPr>
          <w:p w:rsidR="00C11181" w:rsidRPr="00690A3D" w:rsidRDefault="005A7C65" w:rsidP="006F4FD8">
            <w:pPr>
              <w:rPr>
                <w:rFonts w:asciiTheme="minorHAnsi" w:hAnsiTheme="minorHAnsi"/>
                <w:sz w:val="16"/>
                <w:szCs w:val="16"/>
              </w:rPr>
            </w:pPr>
            <w:r w:rsidRPr="005A7C65">
              <w:rPr>
                <w:noProof/>
                <w:sz w:val="16"/>
                <w:szCs w:val="16"/>
              </w:rPr>
              <w:pict>
                <v:shape id="_x0000_s1030" type="#_x0000_t201" style="position:absolute;margin-left:34.9pt;margin-top:3.65pt;width:16.5pt;height:15pt;z-index:251684864;mso-position-horizontal-relative:text;mso-position-vertical-relative:text" o:preferrelative="t" wrapcoords="-982 0 -982 21228 21600 21228 21600 0 -982 0" filled="f" stroked="f">
                  <v:imagedata r:id="rId11" o:title=""/>
                  <o:lock v:ext="edit" aspectratio="t"/>
                  <w10:wrap type="tight"/>
                </v:shape>
                <w:control r:id="rId15" w:name="CheckBox123" w:shapeid="_x0000_s1030"/>
              </w:pict>
            </w:r>
          </w:p>
        </w:tc>
        <w:tc>
          <w:tcPr>
            <w:tcW w:w="1898" w:type="dxa"/>
            <w:vAlign w:val="center"/>
          </w:tcPr>
          <w:p w:rsidR="00C11181" w:rsidRPr="00660080" w:rsidRDefault="007D68BF" w:rsidP="006F4FD8">
            <w:pPr>
              <w:pStyle w:val="ListParagraph"/>
              <w:numPr>
                <w:ilvl w:val="0"/>
                <w:numId w:val="14"/>
              </w:numPr>
              <w:ind w:left="252" w:hanging="180"/>
              <w:rPr>
                <w:sz w:val="20"/>
                <w:szCs w:val="20"/>
              </w:rPr>
            </w:pPr>
            <w:r>
              <w:rPr>
                <w:rFonts w:ascii="Arial" w:hAnsi="Arial" w:cs="Arial"/>
              </w:rPr>
              <w:t>Graded lecture and lab exams. Graded lab reports</w:t>
            </w:r>
          </w:p>
        </w:tc>
      </w:tr>
      <w:tr w:rsidR="00C11181" w:rsidRPr="00107027" w:rsidTr="00C73B16">
        <w:trPr>
          <w:trHeight w:val="71"/>
        </w:trPr>
        <w:tc>
          <w:tcPr>
            <w:tcW w:w="4170" w:type="dxa"/>
            <w:shd w:val="clear" w:color="auto" w:fill="FFFFFF"/>
            <w:vAlign w:val="center"/>
          </w:tcPr>
          <w:p w:rsidR="00C11181" w:rsidRPr="00A21EB1" w:rsidRDefault="00C11181" w:rsidP="00C11181">
            <w:pPr>
              <w:rPr>
                <w:rFonts w:ascii="Arial" w:hAnsi="Arial" w:cs="Arial"/>
                <w:sz w:val="18"/>
                <w:szCs w:val="18"/>
              </w:rPr>
            </w:pPr>
            <w:r w:rsidRPr="002C1797">
              <w:rPr>
                <w:b/>
                <w:sz w:val="20"/>
                <w:szCs w:val="20"/>
              </w:rPr>
              <w:t xml:space="preserve">5) </w:t>
            </w:r>
            <w:r>
              <w:rPr>
                <w:b/>
                <w:sz w:val="20"/>
                <w:szCs w:val="20"/>
              </w:rPr>
              <w:t xml:space="preserve"> </w:t>
            </w:r>
            <w:r w:rsidRPr="00A21EB1">
              <w:rPr>
                <w:rFonts w:ascii="Arial" w:hAnsi="Arial" w:cs="Arial"/>
                <w:sz w:val="18"/>
                <w:szCs w:val="18"/>
              </w:rPr>
              <w:t>Develop knowledge of various experimental systems, including bacterial cultures, mammalian cell cultures, and recombinant DNA technology.</w:t>
            </w:r>
          </w:p>
          <w:p w:rsidR="00C11181" w:rsidRPr="002C1797" w:rsidRDefault="00C11181" w:rsidP="00A3471C">
            <w:pPr>
              <w:rPr>
                <w:sz w:val="20"/>
                <w:szCs w:val="20"/>
              </w:rPr>
            </w:pPr>
          </w:p>
        </w:tc>
        <w:tc>
          <w:tcPr>
            <w:tcW w:w="2610" w:type="dxa"/>
            <w:vAlign w:val="center"/>
          </w:tcPr>
          <w:p w:rsidR="00C11181" w:rsidRPr="002C1797" w:rsidRDefault="007D68BF" w:rsidP="00A3471C">
            <w:pPr>
              <w:jc w:val="center"/>
              <w:rPr>
                <w:sz w:val="20"/>
                <w:szCs w:val="20"/>
              </w:rPr>
            </w:pPr>
            <w:r>
              <w:rPr>
                <w:sz w:val="20"/>
                <w:szCs w:val="20"/>
              </w:rPr>
              <w:t>BTN 130, 140,210,220, 230,235, and 240</w:t>
            </w:r>
          </w:p>
        </w:tc>
        <w:tc>
          <w:tcPr>
            <w:tcW w:w="2160" w:type="dxa"/>
            <w:shd w:val="clear" w:color="auto" w:fill="auto"/>
            <w:vAlign w:val="center"/>
          </w:tcPr>
          <w:p w:rsidR="00C11181" w:rsidRPr="00690A3D" w:rsidRDefault="005A7C65" w:rsidP="006F4FD8">
            <w:pPr>
              <w:rPr>
                <w:rFonts w:asciiTheme="minorHAnsi" w:hAnsiTheme="minorHAnsi"/>
                <w:sz w:val="16"/>
                <w:szCs w:val="16"/>
              </w:rPr>
            </w:pPr>
            <w:r w:rsidRPr="005A7C65">
              <w:rPr>
                <w:noProof/>
                <w:sz w:val="16"/>
                <w:szCs w:val="16"/>
              </w:rPr>
              <w:pict>
                <v:shape id="_x0000_s1031" type="#_x0000_t201" style="position:absolute;margin-left:34.9pt;margin-top:3.65pt;width:16.5pt;height:15pt;z-index:251685888;mso-position-horizontal-relative:text;mso-position-vertical-relative:text" o:preferrelative="t" wrapcoords="-982 0 -982 21228 21600 21228 21600 0 -982 0" filled="f" stroked="f">
                  <v:imagedata r:id="rId11" o:title=""/>
                  <o:lock v:ext="edit" aspectratio="t"/>
                  <w10:wrap type="tight"/>
                </v:shape>
                <w:control r:id="rId16" w:name="CheckBox122" w:shapeid="_x0000_s1031"/>
              </w:pict>
            </w:r>
          </w:p>
        </w:tc>
        <w:tc>
          <w:tcPr>
            <w:tcW w:w="1898" w:type="dxa"/>
          </w:tcPr>
          <w:p w:rsidR="00C11181" w:rsidRPr="00660080" w:rsidRDefault="007D68BF" w:rsidP="006F4FD8">
            <w:pPr>
              <w:pStyle w:val="ListParagraph"/>
              <w:numPr>
                <w:ilvl w:val="0"/>
                <w:numId w:val="14"/>
              </w:numPr>
              <w:ind w:left="252" w:hanging="180"/>
              <w:rPr>
                <w:sz w:val="20"/>
                <w:szCs w:val="20"/>
              </w:rPr>
            </w:pPr>
            <w:r>
              <w:rPr>
                <w:rFonts w:ascii="Arial" w:hAnsi="Arial" w:cs="Arial"/>
              </w:rPr>
              <w:t>Graded lecture and lab exams</w:t>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BF3561" w:rsidRPr="00424068" w:rsidRDefault="007D68BF" w:rsidP="00BF3561">
      <w:pPr>
        <w:pStyle w:val="ListParagraph"/>
        <w:tabs>
          <w:tab w:val="left" w:pos="5040"/>
        </w:tabs>
        <w:rPr>
          <w:b/>
        </w:rPr>
      </w:pPr>
      <w:r w:rsidRPr="00424068">
        <w:rPr>
          <w:b/>
        </w:rPr>
        <w:t>Student retention in BTN 130 is historically an indicator of overall success in the program.  As students perform in there, grade trends for advanced BTN courses follow suit.</w:t>
      </w:r>
      <w:r w:rsidR="00424068" w:rsidRPr="00424068">
        <w:rPr>
          <w:b/>
        </w:rPr>
        <w:t xml:space="preserve">  The department indicated that success in this course is essential for all of the other advanced BTN courses. We are at an all time high for BTN graduation.</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Pr="00424068" w:rsidRDefault="00424068" w:rsidP="00BF3561">
      <w:pPr>
        <w:pStyle w:val="ListParagraph"/>
        <w:tabs>
          <w:tab w:val="left" w:pos="5040"/>
        </w:tabs>
        <w:rPr>
          <w:b/>
        </w:rPr>
      </w:pPr>
      <w:r w:rsidRPr="00424068">
        <w:rPr>
          <w:b/>
        </w:rPr>
        <w:t>Proactive interventions “early on” based on the assessment methods are installed.  This includes extra work in math related skills at the HS and college level, to which was discussed earlier in report.  Constructive feedback on lab reports by potential employers was added.  Working with career services has been beneficial for mock interviews for the students, indicating “highs and lows” for the students in terms of interview skills.</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Pr="00424068" w:rsidRDefault="00424068" w:rsidP="00BF3561">
      <w:pPr>
        <w:pStyle w:val="ListParagraph"/>
        <w:tabs>
          <w:tab w:val="left" w:pos="5040"/>
        </w:tabs>
        <w:rPr>
          <w:b/>
        </w:rPr>
      </w:pPr>
      <w:r w:rsidRPr="00424068">
        <w:rPr>
          <w:b/>
        </w:rPr>
        <w:t>The department will continue to monitor trends in student retention, student enrollment, student grades, and if possible job placement.</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Pr="00424068" w:rsidRDefault="00424068" w:rsidP="00034CE6">
      <w:pPr>
        <w:tabs>
          <w:tab w:val="left" w:pos="5040"/>
        </w:tabs>
        <w:rPr>
          <w:b/>
        </w:rPr>
      </w:pPr>
      <w:r w:rsidRPr="00424068">
        <w:rPr>
          <w:b/>
        </w:rPr>
        <w:t>OK</w:t>
      </w:r>
    </w:p>
    <w:p w:rsidR="00BF3561" w:rsidRPr="00BF3561" w:rsidRDefault="00BF3561"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847243" w:rsidRPr="008F437C" w:rsidRDefault="00424068" w:rsidP="00034CE6">
      <w:pPr>
        <w:tabs>
          <w:tab w:val="left" w:pos="5040"/>
        </w:tabs>
        <w:rPr>
          <w:b/>
        </w:rPr>
      </w:pPr>
      <w:r w:rsidRPr="008F437C">
        <w:rPr>
          <w:b/>
        </w:rPr>
        <w:t xml:space="preserve">All on campus lab exams are common.  We are </w:t>
      </w:r>
      <w:r w:rsidR="008F437C" w:rsidRPr="008F437C">
        <w:rPr>
          <w:b/>
        </w:rPr>
        <w:t>continually monitoring and discussing results and trends</w:t>
      </w:r>
    </w:p>
    <w:p w:rsidR="00BA3246" w:rsidRDefault="00BA3246" w:rsidP="00BA3246">
      <w:pPr>
        <w:spacing w:after="200" w:line="276" w:lineRule="auto"/>
        <w:rPr>
          <w:b/>
          <w:u w:val="single"/>
        </w:rPr>
      </w:pPr>
    </w:p>
    <w:p w:rsidR="0068441C" w:rsidRPr="00034CE6" w:rsidRDefault="0068441C" w:rsidP="0068441C">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68441C" w:rsidRDefault="0068441C" w:rsidP="0068441C">
      <w:pPr>
        <w:tabs>
          <w:tab w:val="left" w:pos="5040"/>
        </w:tabs>
      </w:pPr>
    </w:p>
    <w:p w:rsidR="0068441C" w:rsidRDefault="0068441C" w:rsidP="0068441C">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68441C" w:rsidRPr="008F437C" w:rsidRDefault="008F437C" w:rsidP="0068441C">
      <w:pPr>
        <w:pStyle w:val="ListParagraph"/>
        <w:tabs>
          <w:tab w:val="left" w:pos="5040"/>
        </w:tabs>
        <w:rPr>
          <w:b/>
        </w:rPr>
      </w:pPr>
      <w:r w:rsidRPr="008F437C">
        <w:rPr>
          <w:b/>
        </w:rPr>
        <w:t>Focus of the department has been on student success in BIO 141 and 171.  A common weakness seen in incoming students are poor mathematical and chemistry knowledge.  The department has been attending various career development seminars to help address this weakness. Below are results for the two focused student success classes</w:t>
      </w:r>
    </w:p>
    <w:p w:rsidR="0068441C" w:rsidRDefault="0068441C" w:rsidP="0068441C">
      <w:pPr>
        <w:tabs>
          <w:tab w:val="left" w:pos="5040"/>
        </w:tabs>
        <w:ind w:left="360"/>
      </w:pPr>
    </w:p>
    <w:p w:rsidR="0068441C" w:rsidRDefault="008F437C" w:rsidP="0068441C">
      <w:pPr>
        <w:tabs>
          <w:tab w:val="left" w:pos="5040"/>
        </w:tabs>
        <w:ind w:left="360"/>
      </w:pPr>
      <w:r w:rsidRPr="008F437C">
        <w:rPr>
          <w:noProof/>
        </w:rPr>
        <w:drawing>
          <wp:inline distT="0" distB="0" distL="0" distR="0">
            <wp:extent cx="5209953" cy="2860158"/>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441C" w:rsidRDefault="0068441C" w:rsidP="0068441C">
      <w:pPr>
        <w:tabs>
          <w:tab w:val="left" w:pos="5040"/>
        </w:tabs>
        <w:ind w:left="360"/>
      </w:pPr>
    </w:p>
    <w:p w:rsidR="0068441C" w:rsidRDefault="0068441C" w:rsidP="0068441C">
      <w:pPr>
        <w:tabs>
          <w:tab w:val="left" w:pos="5040"/>
        </w:tabs>
        <w:ind w:left="360"/>
      </w:pPr>
    </w:p>
    <w:p w:rsidR="0068441C" w:rsidRDefault="008F437C" w:rsidP="0068441C">
      <w:pPr>
        <w:tabs>
          <w:tab w:val="left" w:pos="5040"/>
        </w:tabs>
        <w:ind w:left="360"/>
      </w:pPr>
      <w:r w:rsidRPr="008F437C">
        <w:rPr>
          <w:noProof/>
        </w:rPr>
        <w:drawing>
          <wp:inline distT="0" distB="0" distL="0" distR="0">
            <wp:extent cx="5332095" cy="283972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332095" cy="2839720"/>
                    </a:xfrm>
                    <a:prstGeom prst="rect">
                      <a:avLst/>
                    </a:prstGeom>
                    <a:noFill/>
                    <a:ln w="9525">
                      <a:noFill/>
                      <a:miter lim="800000"/>
                      <a:headEnd/>
                      <a:tailEnd/>
                    </a:ln>
                  </pic:spPr>
                </pic:pic>
              </a:graphicData>
            </a:graphic>
          </wp:inline>
        </w:drawing>
      </w:r>
    </w:p>
    <w:p w:rsidR="0068441C" w:rsidRDefault="0068441C" w:rsidP="0068441C">
      <w:pPr>
        <w:tabs>
          <w:tab w:val="left" w:pos="5040"/>
        </w:tabs>
        <w:ind w:left="360"/>
      </w:pPr>
    </w:p>
    <w:p w:rsidR="0068441C" w:rsidRDefault="0068441C" w:rsidP="0068441C">
      <w:pPr>
        <w:tabs>
          <w:tab w:val="left" w:pos="5040"/>
        </w:tabs>
        <w:ind w:left="360"/>
      </w:pPr>
    </w:p>
    <w:p w:rsidR="0068441C" w:rsidRDefault="0068441C" w:rsidP="0068441C">
      <w:pPr>
        <w:tabs>
          <w:tab w:val="left" w:pos="5040"/>
        </w:tabs>
        <w:ind w:left="360"/>
      </w:pPr>
    </w:p>
    <w:p w:rsidR="0068441C" w:rsidRDefault="0068441C" w:rsidP="0068441C">
      <w:pPr>
        <w:tabs>
          <w:tab w:val="left" w:pos="5040"/>
        </w:tabs>
        <w:ind w:left="360"/>
      </w:pPr>
    </w:p>
    <w:p w:rsidR="0068441C" w:rsidRDefault="0068441C" w:rsidP="0068441C">
      <w:pPr>
        <w:tabs>
          <w:tab w:val="left" w:pos="5040"/>
        </w:tabs>
        <w:ind w:left="360"/>
      </w:pPr>
    </w:p>
    <w:p w:rsidR="0068441C" w:rsidRDefault="0068441C" w:rsidP="0068441C">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68441C" w:rsidRPr="008F437C" w:rsidRDefault="008F437C" w:rsidP="0068441C">
      <w:pPr>
        <w:pStyle w:val="ListParagraph"/>
        <w:tabs>
          <w:tab w:val="left" w:pos="5040"/>
        </w:tabs>
        <w:rPr>
          <w:b/>
        </w:rPr>
      </w:pPr>
      <w:r w:rsidRPr="008F437C">
        <w:rPr>
          <w:b/>
        </w:rPr>
        <w:t xml:space="preserve">The department will be preparing for the upcoming conversion from quarter to semesters in Fall of 2012.  We will be continuing student success work in Bio 141/147 with the help of the Achieving the Dream coaching team.   </w:t>
      </w:r>
      <w:r w:rsidR="00554FC1">
        <w:rPr>
          <w:b/>
        </w:rPr>
        <w:t xml:space="preserve">We will be focusing on Bio 111 student success.  The analysis of this work will be multifaceted. </w:t>
      </w:r>
    </w:p>
    <w:p w:rsidR="0068441C" w:rsidRDefault="0068441C" w:rsidP="0068441C">
      <w:pPr>
        <w:pStyle w:val="ListParagraph"/>
        <w:tabs>
          <w:tab w:val="left" w:pos="5040"/>
        </w:tabs>
        <w:rPr>
          <w:rFonts w:ascii="Arial" w:hAnsi="Arial" w:cs="Arial"/>
        </w:rPr>
      </w:pPr>
    </w:p>
    <w:p w:rsidR="0068441C" w:rsidRDefault="0068441C" w:rsidP="0068441C">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5A7C65"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9.3pt;margin-top:61.4pt;width:509.45pt;height:35.55pt;z-index:251669504;mso-height-percent:200;mso-height-percent:200;mso-width-relative:margin;mso-height-relative:margin">
            <v:textbox style="mso-next-textbox:#_x0000_s1026;mso-fit-shape-to-text:t">
              <w:txbxContent>
                <w:p w:rsidR="00A3471C" w:rsidRDefault="00A3471C"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9"/>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2A9" w:rsidRDefault="00F422A9" w:rsidP="0094204C">
      <w:r>
        <w:separator/>
      </w:r>
    </w:p>
  </w:endnote>
  <w:endnote w:type="continuationSeparator" w:id="0">
    <w:p w:rsidR="00F422A9" w:rsidRDefault="00F422A9"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1C" w:rsidRPr="00E16205" w:rsidRDefault="00A3471C"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A3471C" w:rsidRDefault="00A3471C">
    <w:pPr>
      <w:pStyle w:val="Footer"/>
    </w:pPr>
  </w:p>
  <w:p w:rsidR="00A3471C" w:rsidRDefault="00A347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2A9" w:rsidRDefault="00F422A9" w:rsidP="0094204C">
      <w:r>
        <w:separator/>
      </w:r>
    </w:p>
  </w:footnote>
  <w:footnote w:type="continuationSeparator" w:id="0">
    <w:p w:rsidR="00F422A9" w:rsidRDefault="00F422A9"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574FA1"/>
    <w:multiLevelType w:val="hybridMultilevel"/>
    <w:tmpl w:val="10B2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22"/>
  </w:num>
  <w:num w:numId="4">
    <w:abstractNumId w:val="10"/>
  </w:num>
  <w:num w:numId="5">
    <w:abstractNumId w:val="13"/>
  </w:num>
  <w:num w:numId="6">
    <w:abstractNumId w:val="8"/>
  </w:num>
  <w:num w:numId="7">
    <w:abstractNumId w:val="11"/>
  </w:num>
  <w:num w:numId="8">
    <w:abstractNumId w:val="14"/>
  </w:num>
  <w:num w:numId="9">
    <w:abstractNumId w:val="21"/>
  </w:num>
  <w:num w:numId="10">
    <w:abstractNumId w:val="17"/>
  </w:num>
  <w:num w:numId="11">
    <w:abstractNumId w:val="9"/>
  </w:num>
  <w:num w:numId="12">
    <w:abstractNumId w:val="1"/>
  </w:num>
  <w:num w:numId="13">
    <w:abstractNumId w:val="2"/>
  </w:num>
  <w:num w:numId="14">
    <w:abstractNumId w:val="19"/>
  </w:num>
  <w:num w:numId="15">
    <w:abstractNumId w:val="16"/>
  </w:num>
  <w:num w:numId="16">
    <w:abstractNumId w:val="4"/>
  </w:num>
  <w:num w:numId="17">
    <w:abstractNumId w:val="6"/>
  </w:num>
  <w:num w:numId="18">
    <w:abstractNumId w:val="12"/>
  </w:num>
  <w:num w:numId="19">
    <w:abstractNumId w:val="3"/>
  </w:num>
  <w:num w:numId="20">
    <w:abstractNumId w:val="7"/>
  </w:num>
  <w:num w:numId="21">
    <w:abstractNumId w:val="8"/>
  </w:num>
  <w:num w:numId="22">
    <w:abstractNumId w:val="20"/>
  </w:num>
  <w:num w:numId="23">
    <w:abstractNumId w:val="5"/>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40F"/>
    <w:rsid w:val="000337E6"/>
    <w:rsid w:val="00034CE6"/>
    <w:rsid w:val="00036DF9"/>
    <w:rsid w:val="00056964"/>
    <w:rsid w:val="000616F3"/>
    <w:rsid w:val="00063778"/>
    <w:rsid w:val="00065129"/>
    <w:rsid w:val="000A4EE0"/>
    <w:rsid w:val="000B0D23"/>
    <w:rsid w:val="000D3A39"/>
    <w:rsid w:val="000E4EFE"/>
    <w:rsid w:val="0010227C"/>
    <w:rsid w:val="001026AA"/>
    <w:rsid w:val="00115194"/>
    <w:rsid w:val="001201D5"/>
    <w:rsid w:val="00120E81"/>
    <w:rsid w:val="001240D0"/>
    <w:rsid w:val="00183806"/>
    <w:rsid w:val="00184AE5"/>
    <w:rsid w:val="00195B7B"/>
    <w:rsid w:val="001A1B67"/>
    <w:rsid w:val="001B6007"/>
    <w:rsid w:val="001D5757"/>
    <w:rsid w:val="001D7080"/>
    <w:rsid w:val="001E7137"/>
    <w:rsid w:val="002245AB"/>
    <w:rsid w:val="0022692B"/>
    <w:rsid w:val="0025548D"/>
    <w:rsid w:val="00255C18"/>
    <w:rsid w:val="00256114"/>
    <w:rsid w:val="00265A99"/>
    <w:rsid w:val="00266F2F"/>
    <w:rsid w:val="0026791C"/>
    <w:rsid w:val="00281C63"/>
    <w:rsid w:val="0028603C"/>
    <w:rsid w:val="00293D8D"/>
    <w:rsid w:val="002C1797"/>
    <w:rsid w:val="002C56AC"/>
    <w:rsid w:val="002D2748"/>
    <w:rsid w:val="002E175B"/>
    <w:rsid w:val="002E28B0"/>
    <w:rsid w:val="002E548B"/>
    <w:rsid w:val="00303041"/>
    <w:rsid w:val="0030733F"/>
    <w:rsid w:val="00320CDE"/>
    <w:rsid w:val="003233E7"/>
    <w:rsid w:val="003254BC"/>
    <w:rsid w:val="00330692"/>
    <w:rsid w:val="003454F6"/>
    <w:rsid w:val="003A298D"/>
    <w:rsid w:val="003B5176"/>
    <w:rsid w:val="003C1C8E"/>
    <w:rsid w:val="003C3B23"/>
    <w:rsid w:val="003D2587"/>
    <w:rsid w:val="00414645"/>
    <w:rsid w:val="00424068"/>
    <w:rsid w:val="00424E5D"/>
    <w:rsid w:val="00425F46"/>
    <w:rsid w:val="00461386"/>
    <w:rsid w:val="00462D00"/>
    <w:rsid w:val="004712EB"/>
    <w:rsid w:val="004818E1"/>
    <w:rsid w:val="00481A7E"/>
    <w:rsid w:val="0048427F"/>
    <w:rsid w:val="00495C9D"/>
    <w:rsid w:val="004B7492"/>
    <w:rsid w:val="004C2B30"/>
    <w:rsid w:val="004D3BE1"/>
    <w:rsid w:val="004D3C8C"/>
    <w:rsid w:val="004E47AA"/>
    <w:rsid w:val="004E4BD6"/>
    <w:rsid w:val="004F41D5"/>
    <w:rsid w:val="00503B39"/>
    <w:rsid w:val="00516463"/>
    <w:rsid w:val="00537059"/>
    <w:rsid w:val="0054350A"/>
    <w:rsid w:val="005531E8"/>
    <w:rsid w:val="00554FC1"/>
    <w:rsid w:val="00573ECD"/>
    <w:rsid w:val="005863ED"/>
    <w:rsid w:val="005864A4"/>
    <w:rsid w:val="005A7C65"/>
    <w:rsid w:val="005B1A1C"/>
    <w:rsid w:val="005F7377"/>
    <w:rsid w:val="0061712A"/>
    <w:rsid w:val="006368CC"/>
    <w:rsid w:val="00640611"/>
    <w:rsid w:val="006532D6"/>
    <w:rsid w:val="0065453B"/>
    <w:rsid w:val="006551C4"/>
    <w:rsid w:val="00660080"/>
    <w:rsid w:val="0066607A"/>
    <w:rsid w:val="006835C1"/>
    <w:rsid w:val="0068441C"/>
    <w:rsid w:val="00690A3D"/>
    <w:rsid w:val="0069298C"/>
    <w:rsid w:val="006A2AA3"/>
    <w:rsid w:val="006E3686"/>
    <w:rsid w:val="00746675"/>
    <w:rsid w:val="007825CC"/>
    <w:rsid w:val="0078669D"/>
    <w:rsid w:val="00786F00"/>
    <w:rsid w:val="007C1FEF"/>
    <w:rsid w:val="007C46D3"/>
    <w:rsid w:val="007D68BF"/>
    <w:rsid w:val="007F3EBA"/>
    <w:rsid w:val="007F66F9"/>
    <w:rsid w:val="008056C5"/>
    <w:rsid w:val="00821011"/>
    <w:rsid w:val="00827AE5"/>
    <w:rsid w:val="008405FF"/>
    <w:rsid w:val="00847243"/>
    <w:rsid w:val="008642E1"/>
    <w:rsid w:val="00875A7C"/>
    <w:rsid w:val="00877383"/>
    <w:rsid w:val="008860C1"/>
    <w:rsid w:val="008909D4"/>
    <w:rsid w:val="008942FA"/>
    <w:rsid w:val="00897A68"/>
    <w:rsid w:val="008E70A5"/>
    <w:rsid w:val="008F3D47"/>
    <w:rsid w:val="008F437C"/>
    <w:rsid w:val="0094204C"/>
    <w:rsid w:val="00963DD8"/>
    <w:rsid w:val="00973227"/>
    <w:rsid w:val="009A69F0"/>
    <w:rsid w:val="009C1092"/>
    <w:rsid w:val="009D4970"/>
    <w:rsid w:val="009E2519"/>
    <w:rsid w:val="009F2769"/>
    <w:rsid w:val="00A21E6E"/>
    <w:rsid w:val="00A341DF"/>
    <w:rsid w:val="00A3471C"/>
    <w:rsid w:val="00A36DEE"/>
    <w:rsid w:val="00A43285"/>
    <w:rsid w:val="00A6078F"/>
    <w:rsid w:val="00A63ACE"/>
    <w:rsid w:val="00A8476F"/>
    <w:rsid w:val="00A9687E"/>
    <w:rsid w:val="00AC0386"/>
    <w:rsid w:val="00AC62F8"/>
    <w:rsid w:val="00AE4AD2"/>
    <w:rsid w:val="00AE5F43"/>
    <w:rsid w:val="00AF6A23"/>
    <w:rsid w:val="00B27095"/>
    <w:rsid w:val="00B44B23"/>
    <w:rsid w:val="00B4625A"/>
    <w:rsid w:val="00B608D5"/>
    <w:rsid w:val="00B71307"/>
    <w:rsid w:val="00B81607"/>
    <w:rsid w:val="00B8227E"/>
    <w:rsid w:val="00BA3246"/>
    <w:rsid w:val="00BC5FF1"/>
    <w:rsid w:val="00BE51FF"/>
    <w:rsid w:val="00BF3561"/>
    <w:rsid w:val="00BF556C"/>
    <w:rsid w:val="00C11181"/>
    <w:rsid w:val="00C5365F"/>
    <w:rsid w:val="00C56C48"/>
    <w:rsid w:val="00C63B58"/>
    <w:rsid w:val="00C7001F"/>
    <w:rsid w:val="00C71F16"/>
    <w:rsid w:val="00C800A9"/>
    <w:rsid w:val="00C80222"/>
    <w:rsid w:val="00C86D2C"/>
    <w:rsid w:val="00C90C76"/>
    <w:rsid w:val="00CA10D7"/>
    <w:rsid w:val="00CB09E0"/>
    <w:rsid w:val="00CC66AD"/>
    <w:rsid w:val="00CC69E8"/>
    <w:rsid w:val="00CE06A2"/>
    <w:rsid w:val="00D31DDA"/>
    <w:rsid w:val="00D35E57"/>
    <w:rsid w:val="00D44D7D"/>
    <w:rsid w:val="00D57E53"/>
    <w:rsid w:val="00D60F74"/>
    <w:rsid w:val="00D632DC"/>
    <w:rsid w:val="00D708C3"/>
    <w:rsid w:val="00DA318F"/>
    <w:rsid w:val="00DA5E37"/>
    <w:rsid w:val="00DC0672"/>
    <w:rsid w:val="00DD42DB"/>
    <w:rsid w:val="00DF5973"/>
    <w:rsid w:val="00E12E4F"/>
    <w:rsid w:val="00E16096"/>
    <w:rsid w:val="00E16205"/>
    <w:rsid w:val="00E25ACC"/>
    <w:rsid w:val="00E501C6"/>
    <w:rsid w:val="00E7049B"/>
    <w:rsid w:val="00E727F2"/>
    <w:rsid w:val="00E73A43"/>
    <w:rsid w:val="00E749F1"/>
    <w:rsid w:val="00E87116"/>
    <w:rsid w:val="00E90F22"/>
    <w:rsid w:val="00E96021"/>
    <w:rsid w:val="00E97968"/>
    <w:rsid w:val="00EB3C20"/>
    <w:rsid w:val="00EC0B9E"/>
    <w:rsid w:val="00EC1EB5"/>
    <w:rsid w:val="00ED0C45"/>
    <w:rsid w:val="00ED3704"/>
    <w:rsid w:val="00ED4142"/>
    <w:rsid w:val="00EF6E21"/>
    <w:rsid w:val="00F0239E"/>
    <w:rsid w:val="00F07EFD"/>
    <w:rsid w:val="00F1164D"/>
    <w:rsid w:val="00F1200D"/>
    <w:rsid w:val="00F13E52"/>
    <w:rsid w:val="00F154DF"/>
    <w:rsid w:val="00F17C08"/>
    <w:rsid w:val="00F27D5C"/>
    <w:rsid w:val="00F422A9"/>
    <w:rsid w:val="00F60C52"/>
    <w:rsid w:val="00F72580"/>
    <w:rsid w:val="00F81080"/>
    <w:rsid w:val="00F86156"/>
    <w:rsid w:val="00FA24D1"/>
    <w:rsid w:val="00FB231A"/>
    <w:rsid w:val="00FC1435"/>
    <w:rsid w:val="00FC45CA"/>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170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ontrol" Target="activeX/activeX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hyperlink" Target="http://www.sinclair.edu/about/administrative/vpi/pdrevie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john.mersfelder\My%20Documents\Desktop\Dept%20Chair\Committee\Student%20Success\Copy%20of%20Success%20Rate%201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9990339749198165E-2"/>
          <c:y val="0.18650768613859192"/>
          <c:w val="0.72650997917087923"/>
          <c:h val="0.71543065259448346"/>
        </c:manualLayout>
      </c:layout>
      <c:lineChart>
        <c:grouping val="standard"/>
        <c:ser>
          <c:idx val="0"/>
          <c:order val="0"/>
          <c:tx>
            <c:strRef>
              <c:f>Sheet1!$B$1</c:f>
              <c:strCache>
                <c:ptCount val="1"/>
                <c:pt idx="0">
                  <c:v>Student 1</c:v>
                </c:pt>
              </c:strCache>
            </c:strRef>
          </c:tx>
          <c:marker>
            <c:symbol val="none"/>
          </c:marker>
          <c:cat>
            <c:strRef>
              <c:f>Sheet1!$A$2:$A$4</c:f>
              <c:strCache>
                <c:ptCount val="3"/>
                <c:pt idx="0">
                  <c:v>BTN 130</c:v>
                </c:pt>
                <c:pt idx="1">
                  <c:v>BTN 140</c:v>
                </c:pt>
                <c:pt idx="2">
                  <c:v>BTN 210</c:v>
                </c:pt>
              </c:strCache>
            </c:strRef>
          </c:cat>
          <c:val>
            <c:numRef>
              <c:f>Sheet1!$B$2:$B$4</c:f>
              <c:numCache>
                <c:formatCode>General</c:formatCode>
                <c:ptCount val="3"/>
                <c:pt idx="0">
                  <c:v>64</c:v>
                </c:pt>
                <c:pt idx="1">
                  <c:v>62</c:v>
                </c:pt>
              </c:numCache>
            </c:numRef>
          </c:val>
        </c:ser>
        <c:ser>
          <c:idx val="1"/>
          <c:order val="1"/>
          <c:tx>
            <c:strRef>
              <c:f>Sheet1!$C$1</c:f>
              <c:strCache>
                <c:ptCount val="1"/>
                <c:pt idx="0">
                  <c:v>Student 2</c:v>
                </c:pt>
              </c:strCache>
            </c:strRef>
          </c:tx>
          <c:marker>
            <c:symbol val="none"/>
          </c:marker>
          <c:cat>
            <c:strRef>
              <c:f>Sheet1!$A$2:$A$4</c:f>
              <c:strCache>
                <c:ptCount val="3"/>
                <c:pt idx="0">
                  <c:v>BTN 130</c:v>
                </c:pt>
                <c:pt idx="1">
                  <c:v>BTN 140</c:v>
                </c:pt>
                <c:pt idx="2">
                  <c:v>BTN 210</c:v>
                </c:pt>
              </c:strCache>
            </c:strRef>
          </c:cat>
          <c:val>
            <c:numRef>
              <c:f>Sheet1!$C$2:$C$4</c:f>
              <c:numCache>
                <c:formatCode>General</c:formatCode>
                <c:ptCount val="3"/>
                <c:pt idx="0">
                  <c:v>60</c:v>
                </c:pt>
                <c:pt idx="1">
                  <c:v>58</c:v>
                </c:pt>
              </c:numCache>
            </c:numRef>
          </c:val>
        </c:ser>
        <c:ser>
          <c:idx val="2"/>
          <c:order val="2"/>
          <c:tx>
            <c:strRef>
              <c:f>Sheet1!$D$1</c:f>
              <c:strCache>
                <c:ptCount val="1"/>
                <c:pt idx="0">
                  <c:v>Student 3</c:v>
                </c:pt>
              </c:strCache>
            </c:strRef>
          </c:tx>
          <c:marker>
            <c:symbol val="none"/>
          </c:marker>
          <c:cat>
            <c:strRef>
              <c:f>Sheet1!$A$2:$A$4</c:f>
              <c:strCache>
                <c:ptCount val="3"/>
                <c:pt idx="0">
                  <c:v>BTN 130</c:v>
                </c:pt>
                <c:pt idx="1">
                  <c:v>BTN 140</c:v>
                </c:pt>
                <c:pt idx="2">
                  <c:v>BTN 210</c:v>
                </c:pt>
              </c:strCache>
            </c:strRef>
          </c:cat>
          <c:val>
            <c:numRef>
              <c:f>Sheet1!$D$2:$D$4</c:f>
              <c:numCache>
                <c:formatCode>General</c:formatCode>
                <c:ptCount val="3"/>
                <c:pt idx="0">
                  <c:v>63</c:v>
                </c:pt>
                <c:pt idx="1">
                  <c:v>51</c:v>
                </c:pt>
              </c:numCache>
            </c:numRef>
          </c:val>
        </c:ser>
        <c:ser>
          <c:idx val="3"/>
          <c:order val="3"/>
          <c:tx>
            <c:strRef>
              <c:f>Sheet1!$E$1</c:f>
              <c:strCache>
                <c:ptCount val="1"/>
                <c:pt idx="0">
                  <c:v>Student 4</c:v>
                </c:pt>
              </c:strCache>
            </c:strRef>
          </c:tx>
          <c:marker>
            <c:symbol val="none"/>
          </c:marker>
          <c:cat>
            <c:strRef>
              <c:f>Sheet1!$A$2:$A$4</c:f>
              <c:strCache>
                <c:ptCount val="3"/>
                <c:pt idx="0">
                  <c:v>BTN 130</c:v>
                </c:pt>
                <c:pt idx="1">
                  <c:v>BTN 140</c:v>
                </c:pt>
                <c:pt idx="2">
                  <c:v>BTN 210</c:v>
                </c:pt>
              </c:strCache>
            </c:strRef>
          </c:cat>
          <c:val>
            <c:numRef>
              <c:f>Sheet1!$E$2:$E$4</c:f>
              <c:numCache>
                <c:formatCode>General</c:formatCode>
                <c:ptCount val="3"/>
                <c:pt idx="0">
                  <c:v>60</c:v>
                </c:pt>
                <c:pt idx="1">
                  <c:v>62</c:v>
                </c:pt>
                <c:pt idx="2">
                  <c:v>61</c:v>
                </c:pt>
              </c:numCache>
            </c:numRef>
          </c:val>
        </c:ser>
        <c:ser>
          <c:idx val="4"/>
          <c:order val="4"/>
          <c:tx>
            <c:strRef>
              <c:f>Sheet1!$F$1</c:f>
              <c:strCache>
                <c:ptCount val="1"/>
                <c:pt idx="0">
                  <c:v>Student 5</c:v>
                </c:pt>
              </c:strCache>
            </c:strRef>
          </c:tx>
          <c:marker>
            <c:symbol val="none"/>
          </c:marker>
          <c:cat>
            <c:strRef>
              <c:f>Sheet1!$A$2:$A$4</c:f>
              <c:strCache>
                <c:ptCount val="3"/>
                <c:pt idx="0">
                  <c:v>BTN 130</c:v>
                </c:pt>
                <c:pt idx="1">
                  <c:v>BTN 140</c:v>
                </c:pt>
                <c:pt idx="2">
                  <c:v>BTN 210</c:v>
                </c:pt>
              </c:strCache>
            </c:strRef>
          </c:cat>
          <c:val>
            <c:numRef>
              <c:f>Sheet1!$F$2:$F$4</c:f>
              <c:numCache>
                <c:formatCode>General</c:formatCode>
                <c:ptCount val="3"/>
                <c:pt idx="0">
                  <c:v>67</c:v>
                </c:pt>
                <c:pt idx="1">
                  <c:v>63</c:v>
                </c:pt>
                <c:pt idx="2">
                  <c:v>63</c:v>
                </c:pt>
              </c:numCache>
            </c:numRef>
          </c:val>
        </c:ser>
        <c:marker val="1"/>
        <c:axId val="96729728"/>
        <c:axId val="96768384"/>
      </c:lineChart>
      <c:catAx>
        <c:axId val="96729728"/>
        <c:scaling>
          <c:orientation val="minMax"/>
        </c:scaling>
        <c:axPos val="b"/>
        <c:tickLblPos val="nextTo"/>
        <c:crossAx val="96768384"/>
        <c:crosses val="autoZero"/>
        <c:auto val="1"/>
        <c:lblAlgn val="ctr"/>
        <c:lblOffset val="100"/>
      </c:catAx>
      <c:valAx>
        <c:axId val="96768384"/>
        <c:scaling>
          <c:orientation val="minMax"/>
        </c:scaling>
        <c:axPos val="l"/>
        <c:majorGridlines/>
        <c:numFmt formatCode="General" sourceLinked="1"/>
        <c:tickLblPos val="nextTo"/>
        <c:crossAx val="9672972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999033974919811E-2"/>
          <c:y val="4.4057617797775339E-2"/>
          <c:w val="0.7539794765237694"/>
          <c:h val="0.82081677290338761"/>
        </c:manualLayout>
      </c:layout>
      <c:lineChart>
        <c:grouping val="standard"/>
        <c:ser>
          <c:idx val="0"/>
          <c:order val="0"/>
          <c:tx>
            <c:strRef>
              <c:f>Sheet1!$B$1</c:f>
              <c:strCache>
                <c:ptCount val="1"/>
                <c:pt idx="0">
                  <c:v>Student 1</c:v>
                </c:pt>
              </c:strCache>
            </c:strRef>
          </c:tx>
          <c:marker>
            <c:symbol val="none"/>
          </c:marker>
          <c:cat>
            <c:strRef>
              <c:f>Sheet1!$A$2:$A$4</c:f>
              <c:strCache>
                <c:ptCount val="3"/>
                <c:pt idx="0">
                  <c:v>BTN 130</c:v>
                </c:pt>
                <c:pt idx="1">
                  <c:v>BTN 140</c:v>
                </c:pt>
                <c:pt idx="2">
                  <c:v>BTN 210</c:v>
                </c:pt>
              </c:strCache>
            </c:strRef>
          </c:cat>
          <c:val>
            <c:numRef>
              <c:f>Sheet1!$B$2:$B$4</c:f>
              <c:numCache>
                <c:formatCode>General</c:formatCode>
                <c:ptCount val="3"/>
                <c:pt idx="0">
                  <c:v>67</c:v>
                </c:pt>
                <c:pt idx="1">
                  <c:v>74</c:v>
                </c:pt>
                <c:pt idx="2">
                  <c:v>75</c:v>
                </c:pt>
              </c:numCache>
            </c:numRef>
          </c:val>
        </c:ser>
        <c:ser>
          <c:idx val="1"/>
          <c:order val="1"/>
          <c:tx>
            <c:strRef>
              <c:f>Sheet1!$C$1</c:f>
              <c:strCache>
                <c:ptCount val="1"/>
                <c:pt idx="0">
                  <c:v>Student 2</c:v>
                </c:pt>
              </c:strCache>
            </c:strRef>
          </c:tx>
          <c:marker>
            <c:symbol val="none"/>
          </c:marker>
          <c:cat>
            <c:strRef>
              <c:f>Sheet1!$A$2:$A$4</c:f>
              <c:strCache>
                <c:ptCount val="3"/>
                <c:pt idx="0">
                  <c:v>BTN 130</c:v>
                </c:pt>
                <c:pt idx="1">
                  <c:v>BTN 140</c:v>
                </c:pt>
                <c:pt idx="2">
                  <c:v>BTN 210</c:v>
                </c:pt>
              </c:strCache>
            </c:strRef>
          </c:cat>
          <c:val>
            <c:numRef>
              <c:f>Sheet1!$C$2:$C$4</c:f>
              <c:numCache>
                <c:formatCode>General</c:formatCode>
                <c:ptCount val="3"/>
                <c:pt idx="0">
                  <c:v>74</c:v>
                </c:pt>
                <c:pt idx="1">
                  <c:v>70</c:v>
                </c:pt>
                <c:pt idx="2">
                  <c:v>77</c:v>
                </c:pt>
              </c:numCache>
            </c:numRef>
          </c:val>
        </c:ser>
        <c:ser>
          <c:idx val="2"/>
          <c:order val="2"/>
          <c:tx>
            <c:strRef>
              <c:f>Sheet1!$D$1</c:f>
              <c:strCache>
                <c:ptCount val="1"/>
                <c:pt idx="0">
                  <c:v>Student 4</c:v>
                </c:pt>
              </c:strCache>
            </c:strRef>
          </c:tx>
          <c:marker>
            <c:symbol val="none"/>
          </c:marker>
          <c:cat>
            <c:strRef>
              <c:f>Sheet1!$A$2:$A$4</c:f>
              <c:strCache>
                <c:ptCount val="3"/>
                <c:pt idx="0">
                  <c:v>BTN 130</c:v>
                </c:pt>
                <c:pt idx="1">
                  <c:v>BTN 140</c:v>
                </c:pt>
                <c:pt idx="2">
                  <c:v>BTN 210</c:v>
                </c:pt>
              </c:strCache>
            </c:strRef>
          </c:cat>
          <c:val>
            <c:numRef>
              <c:f>Sheet1!$D$2:$D$4</c:f>
              <c:numCache>
                <c:formatCode>General</c:formatCode>
                <c:ptCount val="3"/>
                <c:pt idx="0">
                  <c:v>72</c:v>
                </c:pt>
                <c:pt idx="1">
                  <c:v>72</c:v>
                </c:pt>
                <c:pt idx="2">
                  <c:v>75</c:v>
                </c:pt>
              </c:numCache>
            </c:numRef>
          </c:val>
        </c:ser>
        <c:ser>
          <c:idx val="3"/>
          <c:order val="3"/>
          <c:tx>
            <c:strRef>
              <c:f>Sheet1!$E$1</c:f>
              <c:strCache>
                <c:ptCount val="1"/>
                <c:pt idx="0">
                  <c:v>Student 5</c:v>
                </c:pt>
              </c:strCache>
            </c:strRef>
          </c:tx>
          <c:marker>
            <c:symbol val="none"/>
          </c:marker>
          <c:cat>
            <c:strRef>
              <c:f>Sheet1!$A$2:$A$4</c:f>
              <c:strCache>
                <c:ptCount val="3"/>
                <c:pt idx="0">
                  <c:v>BTN 130</c:v>
                </c:pt>
                <c:pt idx="1">
                  <c:v>BTN 140</c:v>
                </c:pt>
                <c:pt idx="2">
                  <c:v>BTN 210</c:v>
                </c:pt>
              </c:strCache>
            </c:strRef>
          </c:cat>
          <c:val>
            <c:numRef>
              <c:f>Sheet1!$E$2:$E$4</c:f>
              <c:numCache>
                <c:formatCode>General</c:formatCode>
                <c:ptCount val="3"/>
                <c:pt idx="0">
                  <c:v>60</c:v>
                </c:pt>
                <c:pt idx="1">
                  <c:v>61</c:v>
                </c:pt>
                <c:pt idx="2">
                  <c:v>70</c:v>
                </c:pt>
              </c:numCache>
            </c:numRef>
          </c:val>
        </c:ser>
        <c:ser>
          <c:idx val="4"/>
          <c:order val="4"/>
          <c:tx>
            <c:strRef>
              <c:f>Sheet1!$F$1</c:f>
              <c:strCache>
                <c:ptCount val="1"/>
                <c:pt idx="0">
                  <c:v>Student 6</c:v>
                </c:pt>
              </c:strCache>
            </c:strRef>
          </c:tx>
          <c:marker>
            <c:symbol val="none"/>
          </c:marker>
          <c:cat>
            <c:strRef>
              <c:f>Sheet1!$A$2:$A$4</c:f>
              <c:strCache>
                <c:ptCount val="3"/>
                <c:pt idx="0">
                  <c:v>BTN 130</c:v>
                </c:pt>
                <c:pt idx="1">
                  <c:v>BTN 140</c:v>
                </c:pt>
                <c:pt idx="2">
                  <c:v>BTN 210</c:v>
                </c:pt>
              </c:strCache>
            </c:strRef>
          </c:cat>
          <c:val>
            <c:numRef>
              <c:f>Sheet1!$F$2:$F$4</c:f>
              <c:numCache>
                <c:formatCode>General</c:formatCode>
                <c:ptCount val="3"/>
                <c:pt idx="0">
                  <c:v>57</c:v>
                </c:pt>
                <c:pt idx="1">
                  <c:v>75</c:v>
                </c:pt>
                <c:pt idx="2">
                  <c:v>75</c:v>
                </c:pt>
              </c:numCache>
            </c:numRef>
          </c:val>
        </c:ser>
        <c:marker val="1"/>
        <c:axId val="121023104"/>
        <c:axId val="121033088"/>
      </c:lineChart>
      <c:catAx>
        <c:axId val="121023104"/>
        <c:scaling>
          <c:orientation val="minMax"/>
        </c:scaling>
        <c:axPos val="b"/>
        <c:tickLblPos val="nextTo"/>
        <c:crossAx val="121033088"/>
        <c:crosses val="autoZero"/>
        <c:auto val="1"/>
        <c:lblAlgn val="ctr"/>
        <c:lblOffset val="100"/>
      </c:catAx>
      <c:valAx>
        <c:axId val="121033088"/>
        <c:scaling>
          <c:orientation val="minMax"/>
        </c:scaling>
        <c:axPos val="l"/>
        <c:majorGridlines/>
        <c:numFmt formatCode="General" sourceLinked="1"/>
        <c:tickLblPos val="nextTo"/>
        <c:crossAx val="12102310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5"/>
  <c:chart>
    <c:title>
      <c:tx>
        <c:rich>
          <a:bodyPr/>
          <a:lstStyle/>
          <a:p>
            <a:pPr>
              <a:defRPr/>
            </a:pPr>
            <a:r>
              <a:rPr lang="en-US"/>
              <a:t>Success Rates in Bio-141</a:t>
            </a:r>
          </a:p>
        </c:rich>
      </c:tx>
    </c:title>
    <c:plotArea>
      <c:layout/>
      <c:barChart>
        <c:barDir val="col"/>
        <c:grouping val="clustered"/>
        <c:ser>
          <c:idx val="0"/>
          <c:order val="0"/>
          <c:cat>
            <c:strRef>
              <c:f>Sheet1!$A$1:$A$5</c:f>
              <c:strCache>
                <c:ptCount val="5"/>
                <c:pt idx="0">
                  <c:v>2005-2006</c:v>
                </c:pt>
                <c:pt idx="1">
                  <c:v>2006-2007</c:v>
                </c:pt>
                <c:pt idx="2">
                  <c:v>2007-2008</c:v>
                </c:pt>
                <c:pt idx="3">
                  <c:v>2008-2009</c:v>
                </c:pt>
                <c:pt idx="4">
                  <c:v>2009-2010</c:v>
                </c:pt>
              </c:strCache>
            </c:strRef>
          </c:cat>
          <c:val>
            <c:numRef>
              <c:f>Sheet1!$B$1:$B$5</c:f>
              <c:numCache>
                <c:formatCode>General</c:formatCode>
                <c:ptCount val="5"/>
                <c:pt idx="0">
                  <c:v>47</c:v>
                </c:pt>
                <c:pt idx="1">
                  <c:v>49</c:v>
                </c:pt>
                <c:pt idx="2">
                  <c:v>51</c:v>
                </c:pt>
                <c:pt idx="3">
                  <c:v>58</c:v>
                </c:pt>
                <c:pt idx="4">
                  <c:v>62</c:v>
                </c:pt>
              </c:numCache>
            </c:numRef>
          </c:val>
        </c:ser>
        <c:gapWidth val="75"/>
        <c:axId val="96718208"/>
        <c:axId val="120968704"/>
      </c:barChart>
      <c:catAx>
        <c:axId val="96718208"/>
        <c:scaling>
          <c:orientation val="minMax"/>
        </c:scaling>
        <c:axPos val="b"/>
        <c:title>
          <c:tx>
            <c:rich>
              <a:bodyPr/>
              <a:lstStyle/>
              <a:p>
                <a:pPr>
                  <a:defRPr/>
                </a:pPr>
                <a:r>
                  <a:rPr lang="en-US"/>
                  <a:t>Fiscal Year</a:t>
                </a:r>
              </a:p>
            </c:rich>
          </c:tx>
        </c:title>
        <c:numFmt formatCode="yyyy\-yyyy" sourceLinked="0"/>
        <c:majorTickMark val="none"/>
        <c:tickLblPos val="nextTo"/>
        <c:crossAx val="120968704"/>
        <c:crosses val="autoZero"/>
        <c:auto val="1"/>
        <c:lblAlgn val="ctr"/>
        <c:lblOffset val="100"/>
      </c:catAx>
      <c:valAx>
        <c:axId val="120968704"/>
        <c:scaling>
          <c:orientation val="minMax"/>
          <c:max val="70"/>
          <c:min val="0"/>
        </c:scaling>
        <c:axPos val="l"/>
        <c:majorGridlines/>
        <c:title>
          <c:tx>
            <c:rich>
              <a:bodyPr rot="0" vert="wordArtVert"/>
              <a:lstStyle/>
              <a:p>
                <a:pPr>
                  <a:defRPr/>
                </a:pPr>
                <a:r>
                  <a:rPr lang="en-US"/>
                  <a:t>%STUDENT SUCCESS</a:t>
                </a:r>
              </a:p>
            </c:rich>
          </c:tx>
        </c:title>
        <c:numFmt formatCode="00" sourceLinked="0"/>
        <c:majorTickMark val="none"/>
        <c:tickLblPos val="nextTo"/>
        <c:crossAx val="96718208"/>
        <c:crosses val="autoZero"/>
        <c:crossBetween val="between"/>
        <c:majorUnit val="5"/>
        <c:minorUnit val="2"/>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C855-0E1F-43D8-AE79-A1882233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4</cp:revision>
  <dcterms:created xsi:type="dcterms:W3CDTF">2011-11-29T16:23:00Z</dcterms:created>
  <dcterms:modified xsi:type="dcterms:W3CDTF">2011-11-29T17:10:00Z</dcterms:modified>
</cp:coreProperties>
</file>