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2FD8F5" w14:textId="77777777" w:rsidR="00C60A65" w:rsidRDefault="00C60A65" w:rsidP="00C60A65">
      <w:pPr>
        <w:jc w:val="center"/>
        <w:rPr>
          <w:rFonts w:ascii="Arial" w:hAnsi="Arial" w:cs="Arial"/>
          <w:b/>
          <w:color w:val="000000" w:themeColor="text1"/>
          <w:sz w:val="28"/>
        </w:rPr>
      </w:pPr>
      <w:r>
        <w:rPr>
          <w:rFonts w:ascii="Arial" w:hAnsi="Arial" w:cs="Arial"/>
          <w:b/>
          <w:color w:val="000000" w:themeColor="text1"/>
          <w:sz w:val="28"/>
        </w:rPr>
        <w:t>Sinclair Community College</w:t>
      </w:r>
    </w:p>
    <w:p w14:paraId="4CA2F716" w14:textId="77777777" w:rsidR="00C60A65" w:rsidRDefault="00C60A65" w:rsidP="00C60A65">
      <w:pPr>
        <w:jc w:val="center"/>
        <w:rPr>
          <w:rFonts w:ascii="Arial" w:hAnsi="Arial" w:cs="Arial"/>
          <w:b/>
          <w:color w:val="000000" w:themeColor="text1"/>
        </w:rPr>
      </w:pPr>
      <w:r>
        <w:rPr>
          <w:rFonts w:ascii="Arial" w:hAnsi="Arial" w:cs="Arial"/>
          <w:b/>
          <w:color w:val="000000" w:themeColor="text1"/>
        </w:rPr>
        <w:t>Continuous Improvement Annual Update 2016-17</w:t>
      </w:r>
    </w:p>
    <w:p w14:paraId="22EDD6CB" w14:textId="77777777" w:rsidR="00C60A65" w:rsidRDefault="00C60A65" w:rsidP="00C60A65">
      <w:pPr>
        <w:jc w:val="center"/>
        <w:rPr>
          <w:rFonts w:ascii="Arial" w:hAnsi="Arial" w:cs="Arial"/>
          <w:b/>
          <w:color w:val="000000" w:themeColor="text1"/>
        </w:rPr>
      </w:pPr>
    </w:p>
    <w:p w14:paraId="1955EE62" w14:textId="77777777" w:rsidR="00C60A65" w:rsidRDefault="00C60A65" w:rsidP="00C60A65">
      <w:pPr>
        <w:jc w:val="center"/>
        <w:rPr>
          <w:rFonts w:ascii="Arial" w:hAnsi="Arial" w:cs="Arial"/>
          <w:b/>
          <w:color w:val="000000" w:themeColor="text1"/>
        </w:rPr>
      </w:pPr>
      <w:r>
        <w:rPr>
          <w:rFonts w:ascii="Arial" w:hAnsi="Arial" w:cs="Arial"/>
          <w:b/>
          <w:color w:val="000000" w:themeColor="text1"/>
        </w:rPr>
        <w:t>Please submit to your Division Assessment Coordinator / Learning Liaison for feedback no later than March 1, 2017</w:t>
      </w:r>
    </w:p>
    <w:p w14:paraId="10A6E7C4" w14:textId="77777777" w:rsidR="00C60A65" w:rsidRDefault="00C60A65" w:rsidP="00C60A65">
      <w:pPr>
        <w:jc w:val="center"/>
        <w:rPr>
          <w:rFonts w:ascii="Arial" w:hAnsi="Arial" w:cs="Arial"/>
          <w:b/>
          <w:color w:val="000000" w:themeColor="text1"/>
        </w:rPr>
      </w:pPr>
    </w:p>
    <w:p w14:paraId="6E160C96" w14:textId="77777777" w:rsidR="00C60A65" w:rsidRDefault="00C60A65" w:rsidP="00C60A65">
      <w:pPr>
        <w:jc w:val="center"/>
        <w:rPr>
          <w:rFonts w:ascii="Arial" w:hAnsi="Arial" w:cs="Arial"/>
          <w:b/>
          <w:color w:val="000000" w:themeColor="text1"/>
        </w:rPr>
      </w:pPr>
      <w:r>
        <w:rPr>
          <w:rFonts w:ascii="Arial" w:hAnsi="Arial" w:cs="Arial"/>
          <w:b/>
          <w:color w:val="000000" w:themeColor="text1"/>
        </w:rPr>
        <w:t>After receiving feedback from your Division Assessment Coordinator, please revise accordingly and make the final submission to your dean and the Provost’s Office no later than May 1, 2017</w:t>
      </w:r>
    </w:p>
    <w:p w14:paraId="31C86A83" w14:textId="77777777" w:rsidR="001026AA" w:rsidRPr="00CD2613" w:rsidRDefault="001026AA" w:rsidP="001026AA">
      <w:pPr>
        <w:jc w:val="center"/>
        <w:rPr>
          <w:rFonts w:ascii="Arial" w:hAnsi="Arial" w:cs="Arial"/>
          <w:b/>
          <w:color w:val="000000" w:themeColor="text1"/>
        </w:rPr>
      </w:pPr>
    </w:p>
    <w:p w14:paraId="70AB00F3" w14:textId="77777777" w:rsidR="00713F76"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sdt>
        <w:sdtPr>
          <w:rPr>
            <w:rFonts w:ascii="Arial" w:hAnsi="Arial" w:cs="Arial"/>
            <w:b/>
            <w:sz w:val="20"/>
            <w:szCs w:val="20"/>
          </w:rPr>
          <w:id w:val="-1319648564"/>
          <w:placeholder>
            <w:docPart w:val="5D929A487D8341AEA29F7DE2B132A45D"/>
          </w:placeholder>
        </w:sdtPr>
        <w:sdtEndPr/>
        <w:sdtContent>
          <w:sdt>
            <w:sdtPr>
              <w:rPr>
                <w:rFonts w:ascii="Arial" w:hAnsi="Arial" w:cs="Arial"/>
                <w:b/>
                <w:sz w:val="20"/>
                <w:szCs w:val="20"/>
              </w:rPr>
              <w:id w:val="1941643001"/>
              <w:placeholder>
                <w:docPart w:val="AC6405246F89492EB3C6363DD9F07B24"/>
              </w:placeholder>
            </w:sdtPr>
            <w:sdtEndPr/>
            <w:sdtContent>
              <w:sdt>
                <w:sdtPr>
                  <w:rPr>
                    <w:rFonts w:ascii="Arial" w:hAnsi="Arial" w:cs="Arial"/>
                    <w:b/>
                    <w:sz w:val="20"/>
                    <w:szCs w:val="20"/>
                  </w:rPr>
                  <w:id w:val="-1952005552"/>
                  <w:placeholder>
                    <w:docPart w:val="6F32F4B890604D4DBFF0C9AC9C44F6DD"/>
                  </w:placeholder>
                </w:sdtPr>
                <w:sdtEndPr/>
                <w:sdtContent>
                  <w:sdt>
                    <w:sdtPr>
                      <w:rPr>
                        <w:rFonts w:ascii="Arial" w:hAnsi="Arial" w:cs="Arial"/>
                        <w:b/>
                        <w:sz w:val="20"/>
                        <w:szCs w:val="20"/>
                      </w:rPr>
                      <w:id w:val="1149713402"/>
                      <w:placeholder>
                        <w:docPart w:val="141822FEB60F448BAEF4C69878758E90"/>
                      </w:placeholder>
                    </w:sdtPr>
                    <w:sdtEndPr/>
                    <w:sdtContent>
                      <w:r w:rsidR="003B3618" w:rsidRPr="003B3618">
                        <w:rPr>
                          <w:rFonts w:ascii="Arial" w:hAnsi="Arial" w:cs="Arial"/>
                          <w:b/>
                          <w:sz w:val="20"/>
                          <w:szCs w:val="20"/>
                        </w:rPr>
                        <w:t>LCS - 0250 - Theatre &amp; Dance</w:t>
                      </w:r>
                    </w:sdtContent>
                  </w:sdt>
                </w:sdtContent>
              </w:sdt>
            </w:sdtContent>
          </w:sdt>
        </w:sdtContent>
      </w:sdt>
    </w:p>
    <w:p w14:paraId="6B50508D" w14:textId="77777777"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w:t>
      </w:r>
      <w:r w:rsidR="00E16C56">
        <w:rPr>
          <w:rFonts w:ascii="Arial" w:hAnsi="Arial" w:cs="Arial"/>
          <w:color w:val="000000" w:themeColor="text1"/>
        </w:rPr>
        <w:t xml:space="preserve">FY </w:t>
      </w:r>
      <w:r w:rsidR="003C7FF1">
        <w:rPr>
          <w:rFonts w:ascii="Arial" w:hAnsi="Arial" w:cs="Arial"/>
          <w:color w:val="000000" w:themeColor="text1"/>
        </w:rPr>
        <w:t>2012-2013</w:t>
      </w:r>
    </w:p>
    <w:p w14:paraId="032F2F2E" w14:textId="77777777"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w:t>
      </w:r>
      <w:r w:rsidR="00263F19">
        <w:rPr>
          <w:rFonts w:ascii="Arial" w:hAnsi="Arial" w:cs="Arial"/>
          <w:color w:val="000000" w:themeColor="text1"/>
        </w:rPr>
        <w:t>2017-2018</w:t>
      </w:r>
    </w:p>
    <w:p w14:paraId="4431B839" w14:textId="77777777" w:rsidR="00827AE5" w:rsidRPr="00CD2613" w:rsidRDefault="00827AE5" w:rsidP="00F0239E">
      <w:pPr>
        <w:jc w:val="center"/>
        <w:rPr>
          <w:rFonts w:ascii="Arial" w:hAnsi="Arial" w:cs="Arial"/>
          <w:b/>
          <w:color w:val="000000" w:themeColor="text1"/>
        </w:rPr>
      </w:pPr>
    </w:p>
    <w:p w14:paraId="42754B9C" w14:textId="77777777" w:rsidR="00F0239E" w:rsidRDefault="00B366DF" w:rsidP="00377D40">
      <w:pPr>
        <w:spacing w:after="200" w:line="276" w:lineRule="auto"/>
        <w:rPr>
          <w:rFonts w:ascii="Arial" w:hAnsi="Arial" w:cs="Arial"/>
          <w:b/>
          <w:color w:val="000000" w:themeColor="text1"/>
          <w:u w:val="single"/>
        </w:rPr>
      </w:pPr>
      <w:r>
        <w:rPr>
          <w:rFonts w:ascii="Arial" w:hAnsi="Arial" w:cs="Arial"/>
          <w:b/>
          <w:color w:val="000000" w:themeColor="text1"/>
          <w:u w:val="single"/>
        </w:rPr>
        <w:t>Section I</w:t>
      </w:r>
      <w:r w:rsidR="00F0239E" w:rsidRPr="00CD2613">
        <w:rPr>
          <w:rFonts w:ascii="Arial" w:hAnsi="Arial" w:cs="Arial"/>
          <w:b/>
          <w:color w:val="000000" w:themeColor="text1"/>
          <w:u w:val="single"/>
        </w:rPr>
        <w:t xml:space="preserve">:  </w:t>
      </w:r>
      <w:r w:rsidR="00B81607" w:rsidRPr="00CD2613">
        <w:rPr>
          <w:rFonts w:ascii="Arial" w:hAnsi="Arial" w:cs="Arial"/>
          <w:b/>
          <w:color w:val="000000" w:themeColor="text1"/>
          <w:u w:val="single"/>
        </w:rPr>
        <w:t xml:space="preserve">Progress </w:t>
      </w:r>
      <w:proofErr w:type="gramStart"/>
      <w:r w:rsidR="00B81607" w:rsidRPr="00CD2613">
        <w:rPr>
          <w:rFonts w:ascii="Arial" w:hAnsi="Arial" w:cs="Arial"/>
          <w:b/>
          <w:color w:val="000000" w:themeColor="text1"/>
          <w:u w:val="single"/>
        </w:rPr>
        <w:t>Since</w:t>
      </w:r>
      <w:proofErr w:type="gramEnd"/>
      <w:r w:rsidR="00B81607" w:rsidRPr="00CD2613">
        <w:rPr>
          <w:rFonts w:ascii="Arial" w:hAnsi="Arial" w:cs="Arial"/>
          <w:b/>
          <w:color w:val="000000" w:themeColor="text1"/>
          <w:u w:val="single"/>
        </w:rPr>
        <w:t xml:space="preserve"> the Most Recent </w:t>
      </w:r>
      <w:r w:rsidR="00F0239E" w:rsidRPr="00CD2613">
        <w:rPr>
          <w:rFonts w:ascii="Arial" w:hAnsi="Arial" w:cs="Arial"/>
          <w:b/>
          <w:color w:val="000000" w:themeColor="text1"/>
          <w:u w:val="single"/>
        </w:rPr>
        <w:t>Review</w:t>
      </w:r>
    </w:p>
    <w:p w14:paraId="28E2758B" w14:textId="77777777" w:rsidR="001D736E" w:rsidRPr="00CD2613" w:rsidRDefault="001D736E" w:rsidP="00CD2613">
      <w:pPr>
        <w:pStyle w:val="ListParagraph"/>
        <w:ind w:left="0"/>
        <w:rPr>
          <w:rFonts w:ascii="Arial" w:hAnsi="Arial" w:cs="Arial"/>
          <w:b/>
          <w:color w:val="000000" w:themeColor="text1"/>
          <w:u w:val="single"/>
        </w:rPr>
      </w:pPr>
    </w:p>
    <w:p w14:paraId="12C40F1E" w14:textId="77777777"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3951"/>
        <w:gridCol w:w="2647"/>
        <w:gridCol w:w="6632"/>
      </w:tblGrid>
      <w:tr w:rsidR="00675A12" w:rsidRPr="00675A12" w14:paraId="6520CD3D" w14:textId="77777777" w:rsidTr="00293124">
        <w:trPr>
          <w:trHeight w:val="466"/>
        </w:trPr>
        <w:tc>
          <w:tcPr>
            <w:tcW w:w="3951" w:type="dxa"/>
          </w:tcPr>
          <w:p w14:paraId="0684BF87" w14:textId="77777777" w:rsidR="00675A12" w:rsidRPr="00675A12" w:rsidRDefault="00675A12" w:rsidP="00293124">
            <w:pPr>
              <w:spacing w:before="120"/>
              <w:jc w:val="center"/>
              <w:rPr>
                <w:rFonts w:ascii="Arial" w:hAnsi="Arial" w:cs="Arial"/>
                <w:b/>
                <w:sz w:val="20"/>
                <w:szCs w:val="20"/>
              </w:rPr>
            </w:pPr>
            <w:r w:rsidRPr="00675A12">
              <w:rPr>
                <w:rFonts w:ascii="Arial" w:hAnsi="Arial" w:cs="Arial"/>
                <w:b/>
                <w:sz w:val="20"/>
                <w:szCs w:val="20"/>
              </w:rPr>
              <w:t>GOALS</w:t>
            </w:r>
          </w:p>
        </w:tc>
        <w:tc>
          <w:tcPr>
            <w:tcW w:w="2647" w:type="dxa"/>
          </w:tcPr>
          <w:p w14:paraId="2DB4586A" w14:textId="77777777" w:rsidR="00675A12" w:rsidRPr="00675A12" w:rsidRDefault="00675A12" w:rsidP="00293124">
            <w:pPr>
              <w:spacing w:before="120"/>
              <w:jc w:val="center"/>
              <w:rPr>
                <w:rFonts w:ascii="Arial" w:hAnsi="Arial" w:cs="Arial"/>
                <w:b/>
                <w:sz w:val="20"/>
                <w:szCs w:val="20"/>
              </w:rPr>
            </w:pPr>
            <w:r w:rsidRPr="00675A12">
              <w:rPr>
                <w:rFonts w:ascii="Arial" w:hAnsi="Arial" w:cs="Arial"/>
                <w:b/>
                <w:sz w:val="20"/>
                <w:szCs w:val="20"/>
              </w:rPr>
              <w:t>Status</w:t>
            </w:r>
          </w:p>
        </w:tc>
        <w:tc>
          <w:tcPr>
            <w:tcW w:w="6632" w:type="dxa"/>
          </w:tcPr>
          <w:p w14:paraId="7AB0A116" w14:textId="77777777" w:rsidR="00675A12" w:rsidRPr="00675A12" w:rsidRDefault="00675A12" w:rsidP="00293124">
            <w:pPr>
              <w:spacing w:before="120"/>
              <w:jc w:val="center"/>
              <w:rPr>
                <w:rFonts w:ascii="Arial" w:hAnsi="Arial" w:cs="Arial"/>
                <w:b/>
                <w:sz w:val="20"/>
                <w:szCs w:val="20"/>
              </w:rPr>
            </w:pPr>
            <w:r w:rsidRPr="00675A12">
              <w:rPr>
                <w:rFonts w:ascii="Arial" w:hAnsi="Arial" w:cs="Arial"/>
                <w:b/>
                <w:sz w:val="20"/>
                <w:szCs w:val="20"/>
              </w:rPr>
              <w:t>Progress or Rationale for No Longer Applicable</w:t>
            </w:r>
          </w:p>
        </w:tc>
      </w:tr>
      <w:tr w:rsidR="00675A12" w:rsidRPr="00675A12" w14:paraId="1270D928" w14:textId="77777777" w:rsidTr="00293124">
        <w:trPr>
          <w:trHeight w:val="1399"/>
        </w:trPr>
        <w:tc>
          <w:tcPr>
            <w:tcW w:w="3951" w:type="dxa"/>
          </w:tcPr>
          <w:p w14:paraId="366E8DEE" w14:textId="77777777" w:rsidR="00675A12" w:rsidRPr="00675A12" w:rsidRDefault="00675A12" w:rsidP="00293124">
            <w:pPr>
              <w:rPr>
                <w:rFonts w:ascii="Arial" w:hAnsi="Arial" w:cs="Arial"/>
                <w:sz w:val="20"/>
                <w:szCs w:val="20"/>
              </w:rPr>
            </w:pPr>
            <w:r w:rsidRPr="00675A12">
              <w:rPr>
                <w:rFonts w:ascii="Arial" w:hAnsi="Arial" w:cs="Arial"/>
                <w:sz w:val="20"/>
                <w:szCs w:val="20"/>
              </w:rPr>
              <w:t>One of our major goals to improve student learning is discussed in Section II, part C, Admissions Requirements. It dealt with guiding our students better at the beginning of their education.</w:t>
            </w:r>
          </w:p>
          <w:p w14:paraId="4A47A519" w14:textId="77777777" w:rsidR="00675A12" w:rsidRPr="00675A12" w:rsidRDefault="00675A12" w:rsidP="00293124">
            <w:pPr>
              <w:spacing w:line="276" w:lineRule="auto"/>
              <w:rPr>
                <w:rFonts w:ascii="Arial" w:hAnsi="Arial" w:cs="Arial"/>
                <w:color w:val="000000" w:themeColor="text1"/>
                <w:sz w:val="20"/>
                <w:szCs w:val="20"/>
              </w:rPr>
            </w:pPr>
          </w:p>
        </w:tc>
        <w:tc>
          <w:tcPr>
            <w:tcW w:w="2647" w:type="dxa"/>
          </w:tcPr>
          <w:p w14:paraId="39958E6B" w14:textId="77777777" w:rsidR="00675A12" w:rsidRPr="00675A12" w:rsidRDefault="00675A12" w:rsidP="00293124">
            <w:pPr>
              <w:pStyle w:val="ListParagraph"/>
              <w:ind w:left="0"/>
              <w:rPr>
                <w:rFonts w:ascii="Arial" w:hAnsi="Arial" w:cs="Arial"/>
                <w:color w:val="000000" w:themeColor="text1"/>
                <w:sz w:val="20"/>
                <w:szCs w:val="20"/>
              </w:rPr>
            </w:pPr>
          </w:p>
          <w:p w14:paraId="39856CA6" w14:textId="77777777" w:rsidR="00675A12" w:rsidRPr="00675A12" w:rsidRDefault="00675A12" w:rsidP="00293124">
            <w:pPr>
              <w:pStyle w:val="ListParagraph"/>
              <w:ind w:left="0"/>
              <w:rPr>
                <w:rFonts w:ascii="Arial" w:hAnsi="Arial" w:cs="Arial"/>
                <w:color w:val="000000" w:themeColor="text1"/>
                <w:sz w:val="20"/>
                <w:szCs w:val="20"/>
              </w:rPr>
            </w:pPr>
            <w:r w:rsidRPr="00675A12">
              <w:rPr>
                <w:rFonts w:ascii="Arial" w:hAnsi="Arial" w:cs="Arial"/>
                <w:color w:val="000000" w:themeColor="text1"/>
                <w:sz w:val="20"/>
                <w:szCs w:val="20"/>
              </w:rPr>
              <w:t xml:space="preserve">In progress </w:t>
            </w:r>
            <w:r w:rsidRPr="00675A12">
              <w:rPr>
                <w:sz w:val="20"/>
                <w:szCs w:val="20"/>
              </w:rPr>
              <w:fldChar w:fldCharType="begin">
                <w:ffData>
                  <w:name w:val="Check1"/>
                  <w:enabled/>
                  <w:calcOnExit w:val="0"/>
                  <w:checkBox>
                    <w:sizeAuto/>
                    <w:default w:val="0"/>
                  </w:checkBox>
                </w:ffData>
              </w:fldChar>
            </w:r>
            <w:bookmarkStart w:id="0" w:name="Check1"/>
            <w:r w:rsidRPr="00675A12">
              <w:rPr>
                <w:sz w:val="20"/>
                <w:szCs w:val="20"/>
              </w:rPr>
              <w:instrText xml:space="preserve"> FORMCHECKBOX </w:instrText>
            </w:r>
            <w:r w:rsidR="00D04816">
              <w:rPr>
                <w:sz w:val="20"/>
                <w:szCs w:val="20"/>
              </w:rPr>
            </w:r>
            <w:r w:rsidR="00D04816">
              <w:rPr>
                <w:sz w:val="20"/>
                <w:szCs w:val="20"/>
              </w:rPr>
              <w:fldChar w:fldCharType="separate"/>
            </w:r>
            <w:r w:rsidRPr="00675A12">
              <w:rPr>
                <w:sz w:val="20"/>
                <w:szCs w:val="20"/>
              </w:rPr>
              <w:fldChar w:fldCharType="end"/>
            </w:r>
            <w:bookmarkEnd w:id="0"/>
          </w:p>
          <w:p w14:paraId="4EA5E49C" w14:textId="77777777" w:rsidR="00675A12" w:rsidRPr="00675A12" w:rsidRDefault="00675A12" w:rsidP="00293124">
            <w:pPr>
              <w:pStyle w:val="ListParagraph"/>
              <w:ind w:left="0"/>
              <w:rPr>
                <w:rFonts w:ascii="Arial" w:hAnsi="Arial" w:cs="Arial"/>
                <w:color w:val="000000" w:themeColor="text1"/>
                <w:sz w:val="20"/>
                <w:szCs w:val="20"/>
              </w:rPr>
            </w:pPr>
          </w:p>
          <w:p w14:paraId="4D401960" w14:textId="77777777" w:rsidR="00675A12" w:rsidRPr="00675A12" w:rsidRDefault="00675A12" w:rsidP="00293124">
            <w:pPr>
              <w:pStyle w:val="ListParagraph"/>
              <w:ind w:left="0"/>
              <w:rPr>
                <w:rFonts w:ascii="Arial" w:hAnsi="Arial" w:cs="Arial"/>
                <w:color w:val="000000" w:themeColor="text1"/>
                <w:sz w:val="20"/>
                <w:szCs w:val="20"/>
              </w:rPr>
            </w:pPr>
            <w:r w:rsidRPr="00675A12">
              <w:rPr>
                <w:rFonts w:ascii="Arial" w:hAnsi="Arial" w:cs="Arial"/>
                <w:color w:val="000000" w:themeColor="text1"/>
                <w:sz w:val="20"/>
                <w:szCs w:val="20"/>
              </w:rPr>
              <w:t xml:space="preserve">Completed </w:t>
            </w:r>
            <w:r w:rsidRPr="00675A12">
              <w:rPr>
                <w:sz w:val="20"/>
                <w:szCs w:val="20"/>
              </w:rPr>
              <w:fldChar w:fldCharType="begin">
                <w:ffData>
                  <w:name w:val=""/>
                  <w:enabled/>
                  <w:calcOnExit w:val="0"/>
                  <w:checkBox>
                    <w:sizeAuto/>
                    <w:default w:val="1"/>
                  </w:checkBox>
                </w:ffData>
              </w:fldChar>
            </w:r>
            <w:r w:rsidRPr="00675A12">
              <w:rPr>
                <w:sz w:val="20"/>
                <w:szCs w:val="20"/>
              </w:rPr>
              <w:instrText xml:space="preserve"> FORMCHECKBOX </w:instrText>
            </w:r>
            <w:r w:rsidR="00D04816">
              <w:rPr>
                <w:sz w:val="20"/>
                <w:szCs w:val="20"/>
              </w:rPr>
            </w:r>
            <w:r w:rsidR="00D04816">
              <w:rPr>
                <w:sz w:val="20"/>
                <w:szCs w:val="20"/>
              </w:rPr>
              <w:fldChar w:fldCharType="separate"/>
            </w:r>
            <w:r w:rsidRPr="00675A12">
              <w:rPr>
                <w:sz w:val="20"/>
                <w:szCs w:val="20"/>
              </w:rPr>
              <w:fldChar w:fldCharType="end"/>
            </w:r>
          </w:p>
          <w:p w14:paraId="2F1A5683" w14:textId="77777777" w:rsidR="00675A12" w:rsidRPr="00675A12" w:rsidRDefault="00675A12" w:rsidP="00293124">
            <w:pPr>
              <w:pStyle w:val="ListParagraph"/>
              <w:ind w:left="0"/>
              <w:rPr>
                <w:rFonts w:ascii="Arial" w:hAnsi="Arial" w:cs="Arial"/>
                <w:color w:val="000000" w:themeColor="text1"/>
                <w:sz w:val="20"/>
                <w:szCs w:val="20"/>
              </w:rPr>
            </w:pPr>
          </w:p>
          <w:p w14:paraId="2075A2E1" w14:textId="77777777" w:rsidR="00675A12" w:rsidRPr="00675A12" w:rsidRDefault="00675A12" w:rsidP="00293124">
            <w:pPr>
              <w:pStyle w:val="ListParagraph"/>
              <w:ind w:left="0"/>
              <w:rPr>
                <w:rFonts w:ascii="Arial" w:hAnsi="Arial" w:cs="Arial"/>
                <w:color w:val="000000" w:themeColor="text1"/>
                <w:sz w:val="20"/>
                <w:szCs w:val="20"/>
              </w:rPr>
            </w:pPr>
            <w:r w:rsidRPr="00675A12">
              <w:rPr>
                <w:rFonts w:ascii="Arial" w:hAnsi="Arial" w:cs="Arial"/>
                <w:color w:val="000000" w:themeColor="text1"/>
                <w:sz w:val="20"/>
                <w:szCs w:val="20"/>
              </w:rPr>
              <w:t xml:space="preserve">No longer applicable </w:t>
            </w:r>
            <w:r w:rsidRPr="00675A12">
              <w:rPr>
                <w:sz w:val="20"/>
                <w:szCs w:val="20"/>
              </w:rPr>
              <w:fldChar w:fldCharType="begin">
                <w:ffData>
                  <w:name w:val="Check1"/>
                  <w:enabled/>
                  <w:calcOnExit w:val="0"/>
                  <w:checkBox>
                    <w:sizeAuto/>
                    <w:default w:val="0"/>
                  </w:checkBox>
                </w:ffData>
              </w:fldChar>
            </w:r>
            <w:r w:rsidRPr="00675A12">
              <w:rPr>
                <w:sz w:val="20"/>
                <w:szCs w:val="20"/>
              </w:rPr>
              <w:instrText xml:space="preserve"> FORMCHECKBOX </w:instrText>
            </w:r>
            <w:r w:rsidR="00D04816">
              <w:rPr>
                <w:sz w:val="20"/>
                <w:szCs w:val="20"/>
              </w:rPr>
            </w:r>
            <w:r w:rsidR="00D04816">
              <w:rPr>
                <w:sz w:val="20"/>
                <w:szCs w:val="20"/>
              </w:rPr>
              <w:fldChar w:fldCharType="separate"/>
            </w:r>
            <w:r w:rsidRPr="00675A12">
              <w:rPr>
                <w:sz w:val="20"/>
                <w:szCs w:val="20"/>
              </w:rPr>
              <w:fldChar w:fldCharType="end"/>
            </w:r>
          </w:p>
        </w:tc>
        <w:tc>
          <w:tcPr>
            <w:tcW w:w="6632" w:type="dxa"/>
          </w:tcPr>
          <w:p w14:paraId="5BF6498F" w14:textId="77777777" w:rsidR="00675A12" w:rsidRPr="00675A12" w:rsidRDefault="00675A12" w:rsidP="00293124">
            <w:pPr>
              <w:rPr>
                <w:sz w:val="20"/>
                <w:szCs w:val="20"/>
              </w:rPr>
            </w:pPr>
            <w:r w:rsidRPr="00675A12">
              <w:rPr>
                <w:rFonts w:ascii="Arial" w:hAnsi="Arial" w:cs="Arial"/>
                <w:b/>
                <w:color w:val="000000" w:themeColor="text1"/>
                <w:sz w:val="20"/>
                <w:szCs w:val="20"/>
              </w:rPr>
              <w:t xml:space="preserve">This is complete in that the policy is in place to have all new majors first see the chair of the department for an advising session; this is set-up with academic advising to not advise new theatre majors, but to send them to the department. This worked well going into fall 2013; as almost all new majors were seen by the chair. There were 4 new majors who ‘fell through the crack’ going into fall 2013 and were not sent to the chair by academic advisors; all four were hindered in the start of their theatre studies and the department has done the best they can in getting these students back on track.  </w:t>
            </w:r>
          </w:p>
        </w:tc>
      </w:tr>
      <w:tr w:rsidR="00675A12" w:rsidRPr="00675A12" w14:paraId="47EC061B" w14:textId="77777777" w:rsidTr="00293124">
        <w:trPr>
          <w:trHeight w:val="1399"/>
        </w:trPr>
        <w:tc>
          <w:tcPr>
            <w:tcW w:w="3951" w:type="dxa"/>
          </w:tcPr>
          <w:p w14:paraId="0E477DB8" w14:textId="77777777" w:rsidR="00675A12" w:rsidRPr="00675A12" w:rsidRDefault="00675A12" w:rsidP="00293124">
            <w:pPr>
              <w:rPr>
                <w:rFonts w:ascii="Arial" w:hAnsi="Arial" w:cs="Arial"/>
                <w:sz w:val="20"/>
                <w:szCs w:val="20"/>
              </w:rPr>
            </w:pPr>
            <w:r w:rsidRPr="00675A12">
              <w:rPr>
                <w:rFonts w:ascii="Arial" w:hAnsi="Arial" w:cs="Arial"/>
                <w:sz w:val="20"/>
                <w:szCs w:val="20"/>
              </w:rPr>
              <w:lastRenderedPageBreak/>
              <w:t xml:space="preserve">An important goal that affects student learning is our national accreditation. Currently we are Associate Members of the National Association of Schools of Theatre; this is a five-year membership, which is up for re-accreditation in the 2014-2015 year. </w:t>
            </w:r>
          </w:p>
        </w:tc>
        <w:tc>
          <w:tcPr>
            <w:tcW w:w="2647" w:type="dxa"/>
          </w:tcPr>
          <w:p w14:paraId="67AEB96F" w14:textId="77777777" w:rsidR="00675A12" w:rsidRPr="00675A12" w:rsidRDefault="00675A12" w:rsidP="00293124">
            <w:pPr>
              <w:pStyle w:val="ListParagraph"/>
              <w:ind w:left="0"/>
              <w:rPr>
                <w:rFonts w:ascii="Arial" w:hAnsi="Arial" w:cs="Arial"/>
                <w:color w:val="000000" w:themeColor="text1"/>
                <w:sz w:val="20"/>
                <w:szCs w:val="20"/>
              </w:rPr>
            </w:pPr>
          </w:p>
          <w:p w14:paraId="350CBD01" w14:textId="77777777" w:rsidR="00675A12" w:rsidRPr="00675A12" w:rsidRDefault="00675A12" w:rsidP="00293124">
            <w:pPr>
              <w:pStyle w:val="ListParagraph"/>
              <w:ind w:left="0"/>
              <w:rPr>
                <w:rFonts w:ascii="Arial" w:hAnsi="Arial" w:cs="Arial"/>
                <w:color w:val="000000" w:themeColor="text1"/>
                <w:sz w:val="20"/>
                <w:szCs w:val="20"/>
              </w:rPr>
            </w:pPr>
            <w:r w:rsidRPr="00675A12">
              <w:rPr>
                <w:rFonts w:ascii="Arial" w:hAnsi="Arial" w:cs="Arial"/>
                <w:color w:val="000000" w:themeColor="text1"/>
                <w:sz w:val="20"/>
                <w:szCs w:val="20"/>
              </w:rPr>
              <w:t xml:space="preserve">In progress </w:t>
            </w:r>
            <w:r w:rsidR="00F95813">
              <w:rPr>
                <w:sz w:val="20"/>
                <w:szCs w:val="20"/>
              </w:rPr>
              <w:fldChar w:fldCharType="begin">
                <w:ffData>
                  <w:name w:val=""/>
                  <w:enabled/>
                  <w:calcOnExit w:val="0"/>
                  <w:checkBox>
                    <w:sizeAuto/>
                    <w:default w:val="0"/>
                  </w:checkBox>
                </w:ffData>
              </w:fldChar>
            </w:r>
            <w:r w:rsidR="00F95813">
              <w:rPr>
                <w:sz w:val="20"/>
                <w:szCs w:val="20"/>
              </w:rPr>
              <w:instrText xml:space="preserve"> FORMCHECKBOX </w:instrText>
            </w:r>
            <w:r w:rsidR="00D04816">
              <w:rPr>
                <w:sz w:val="20"/>
                <w:szCs w:val="20"/>
              </w:rPr>
            </w:r>
            <w:r w:rsidR="00D04816">
              <w:rPr>
                <w:sz w:val="20"/>
                <w:szCs w:val="20"/>
              </w:rPr>
              <w:fldChar w:fldCharType="separate"/>
            </w:r>
            <w:r w:rsidR="00F95813">
              <w:rPr>
                <w:sz w:val="20"/>
                <w:szCs w:val="20"/>
              </w:rPr>
              <w:fldChar w:fldCharType="end"/>
            </w:r>
          </w:p>
          <w:p w14:paraId="44BB957F" w14:textId="77777777" w:rsidR="00675A12" w:rsidRPr="00675A12" w:rsidRDefault="00675A12" w:rsidP="00293124">
            <w:pPr>
              <w:pStyle w:val="ListParagraph"/>
              <w:ind w:left="0"/>
              <w:rPr>
                <w:rFonts w:ascii="Arial" w:hAnsi="Arial" w:cs="Arial"/>
                <w:color w:val="000000" w:themeColor="text1"/>
                <w:sz w:val="20"/>
                <w:szCs w:val="20"/>
              </w:rPr>
            </w:pPr>
          </w:p>
          <w:p w14:paraId="6B630393" w14:textId="77777777" w:rsidR="00675A12" w:rsidRPr="00675A12" w:rsidRDefault="00675A12" w:rsidP="00293124">
            <w:pPr>
              <w:pStyle w:val="ListParagraph"/>
              <w:ind w:left="0"/>
              <w:rPr>
                <w:rFonts w:ascii="Arial" w:hAnsi="Arial" w:cs="Arial"/>
                <w:color w:val="000000" w:themeColor="text1"/>
                <w:sz w:val="20"/>
                <w:szCs w:val="20"/>
              </w:rPr>
            </w:pPr>
            <w:r w:rsidRPr="00675A12">
              <w:rPr>
                <w:rFonts w:ascii="Arial" w:hAnsi="Arial" w:cs="Arial"/>
                <w:color w:val="000000" w:themeColor="text1"/>
                <w:sz w:val="20"/>
                <w:szCs w:val="20"/>
              </w:rPr>
              <w:t xml:space="preserve">Completed </w:t>
            </w:r>
            <w:r w:rsidR="00F95813">
              <w:rPr>
                <w:sz w:val="20"/>
                <w:szCs w:val="20"/>
              </w:rPr>
              <w:fldChar w:fldCharType="begin">
                <w:ffData>
                  <w:name w:val=""/>
                  <w:enabled/>
                  <w:calcOnExit w:val="0"/>
                  <w:checkBox>
                    <w:sizeAuto/>
                    <w:default w:val="1"/>
                  </w:checkBox>
                </w:ffData>
              </w:fldChar>
            </w:r>
            <w:r w:rsidR="00F95813">
              <w:rPr>
                <w:sz w:val="20"/>
                <w:szCs w:val="20"/>
              </w:rPr>
              <w:instrText xml:space="preserve"> FORMCHECKBOX </w:instrText>
            </w:r>
            <w:r w:rsidR="00D04816">
              <w:rPr>
                <w:sz w:val="20"/>
                <w:szCs w:val="20"/>
              </w:rPr>
            </w:r>
            <w:r w:rsidR="00D04816">
              <w:rPr>
                <w:sz w:val="20"/>
                <w:szCs w:val="20"/>
              </w:rPr>
              <w:fldChar w:fldCharType="separate"/>
            </w:r>
            <w:r w:rsidR="00F95813">
              <w:rPr>
                <w:sz w:val="20"/>
                <w:szCs w:val="20"/>
              </w:rPr>
              <w:fldChar w:fldCharType="end"/>
            </w:r>
          </w:p>
          <w:p w14:paraId="508D0175" w14:textId="77777777" w:rsidR="00675A12" w:rsidRPr="00675A12" w:rsidRDefault="00675A12" w:rsidP="00293124">
            <w:pPr>
              <w:pStyle w:val="ListParagraph"/>
              <w:ind w:left="0"/>
              <w:rPr>
                <w:rFonts w:ascii="Arial" w:hAnsi="Arial" w:cs="Arial"/>
                <w:color w:val="000000" w:themeColor="text1"/>
                <w:sz w:val="20"/>
                <w:szCs w:val="20"/>
              </w:rPr>
            </w:pPr>
          </w:p>
          <w:p w14:paraId="4C7DC470" w14:textId="77777777" w:rsidR="00675A12" w:rsidRPr="00675A12" w:rsidRDefault="00675A12" w:rsidP="00293124">
            <w:pPr>
              <w:rPr>
                <w:sz w:val="20"/>
                <w:szCs w:val="20"/>
              </w:rPr>
            </w:pPr>
            <w:r w:rsidRPr="00675A12">
              <w:rPr>
                <w:rFonts w:ascii="Arial" w:hAnsi="Arial" w:cs="Arial"/>
                <w:color w:val="000000" w:themeColor="text1"/>
                <w:sz w:val="20"/>
                <w:szCs w:val="20"/>
              </w:rPr>
              <w:t xml:space="preserve">No longer applicable </w:t>
            </w:r>
            <w:r w:rsidRPr="00675A12">
              <w:rPr>
                <w:sz w:val="20"/>
                <w:szCs w:val="20"/>
              </w:rPr>
              <w:fldChar w:fldCharType="begin">
                <w:ffData>
                  <w:name w:val="Check1"/>
                  <w:enabled/>
                  <w:calcOnExit w:val="0"/>
                  <w:checkBox>
                    <w:sizeAuto/>
                    <w:default w:val="0"/>
                  </w:checkBox>
                </w:ffData>
              </w:fldChar>
            </w:r>
            <w:r w:rsidRPr="00675A12">
              <w:rPr>
                <w:sz w:val="20"/>
                <w:szCs w:val="20"/>
              </w:rPr>
              <w:instrText xml:space="preserve"> FORMCHECKBOX </w:instrText>
            </w:r>
            <w:r w:rsidR="00D04816">
              <w:rPr>
                <w:sz w:val="20"/>
                <w:szCs w:val="20"/>
              </w:rPr>
            </w:r>
            <w:r w:rsidR="00D04816">
              <w:rPr>
                <w:sz w:val="20"/>
                <w:szCs w:val="20"/>
              </w:rPr>
              <w:fldChar w:fldCharType="separate"/>
            </w:r>
            <w:r w:rsidRPr="00675A12">
              <w:rPr>
                <w:sz w:val="20"/>
                <w:szCs w:val="20"/>
              </w:rPr>
              <w:fldChar w:fldCharType="end"/>
            </w:r>
          </w:p>
          <w:p w14:paraId="0FE5DBDA" w14:textId="77777777" w:rsidR="00675A12" w:rsidRPr="00675A12" w:rsidRDefault="00675A12" w:rsidP="00293124">
            <w:pPr>
              <w:pStyle w:val="ListParagraph"/>
              <w:ind w:left="0"/>
              <w:rPr>
                <w:rFonts w:ascii="Arial" w:hAnsi="Arial" w:cs="Arial"/>
                <w:color w:val="000000" w:themeColor="text1"/>
                <w:sz w:val="20"/>
                <w:szCs w:val="20"/>
              </w:rPr>
            </w:pPr>
          </w:p>
        </w:tc>
        <w:tc>
          <w:tcPr>
            <w:tcW w:w="6632" w:type="dxa"/>
          </w:tcPr>
          <w:p w14:paraId="002FE189" w14:textId="77777777" w:rsidR="00675A12" w:rsidRPr="00F95813" w:rsidRDefault="00F95813" w:rsidP="00293124">
            <w:pPr>
              <w:rPr>
                <w:rFonts w:ascii="Arial" w:hAnsi="Arial" w:cs="Arial"/>
                <w:b/>
                <w:color w:val="000000" w:themeColor="text1"/>
                <w:sz w:val="20"/>
                <w:szCs w:val="20"/>
              </w:rPr>
            </w:pPr>
            <w:r>
              <w:rPr>
                <w:rFonts w:ascii="Arial" w:hAnsi="Arial" w:cs="Arial"/>
                <w:b/>
                <w:color w:val="000000" w:themeColor="text1"/>
                <w:sz w:val="20"/>
                <w:szCs w:val="20"/>
              </w:rPr>
              <w:t>The department</w:t>
            </w:r>
            <w:r w:rsidR="00675A12" w:rsidRPr="00675A12">
              <w:rPr>
                <w:rFonts w:ascii="Arial" w:hAnsi="Arial" w:cs="Arial"/>
                <w:b/>
                <w:color w:val="000000" w:themeColor="text1"/>
                <w:sz w:val="20"/>
                <w:szCs w:val="20"/>
              </w:rPr>
              <w:t xml:space="preserve"> completed the process for re-accreditation by submitting the NAST self-study in Febr</w:t>
            </w:r>
            <w:r>
              <w:rPr>
                <w:rFonts w:ascii="Arial" w:hAnsi="Arial" w:cs="Arial"/>
                <w:b/>
                <w:color w:val="000000" w:themeColor="text1"/>
                <w:sz w:val="20"/>
                <w:szCs w:val="20"/>
              </w:rPr>
              <w:t>uary 2015, then hosted</w:t>
            </w:r>
            <w:r w:rsidR="00675A12" w:rsidRPr="00675A12">
              <w:rPr>
                <w:rFonts w:ascii="Arial" w:hAnsi="Arial" w:cs="Arial"/>
                <w:b/>
                <w:color w:val="000000" w:themeColor="text1"/>
                <w:sz w:val="20"/>
                <w:szCs w:val="20"/>
              </w:rPr>
              <w:t xml:space="preserve"> the site visitors in April 2015. </w:t>
            </w:r>
            <w:r>
              <w:rPr>
                <w:rFonts w:ascii="Arial" w:hAnsi="Arial" w:cs="Arial"/>
                <w:b/>
                <w:color w:val="000000" w:themeColor="text1"/>
                <w:sz w:val="20"/>
                <w:szCs w:val="20"/>
              </w:rPr>
              <w:t>The report from the visitors has been received and there were no major concerns; a Response Letter to the report was submitted in order to correct a few mistakes and update information about the merger of Theatre &amp; Dance with Music. So, the department has completed everything that needs to be done for re-accreditation. NAST will vote on this at the conference in March and inform the department of the results about 30 days later.</w:t>
            </w:r>
          </w:p>
        </w:tc>
      </w:tr>
      <w:tr w:rsidR="00675A12" w:rsidRPr="00675A12" w14:paraId="2CE35384" w14:textId="77777777" w:rsidTr="00293124">
        <w:trPr>
          <w:trHeight w:val="1101"/>
        </w:trPr>
        <w:tc>
          <w:tcPr>
            <w:tcW w:w="3951" w:type="dxa"/>
          </w:tcPr>
          <w:p w14:paraId="44B322A3" w14:textId="77777777" w:rsidR="00675A12" w:rsidRPr="00675A12" w:rsidRDefault="00675A12" w:rsidP="00293124">
            <w:pPr>
              <w:rPr>
                <w:rFonts w:ascii="Arial" w:hAnsi="Arial" w:cs="Arial"/>
                <w:sz w:val="20"/>
                <w:szCs w:val="20"/>
              </w:rPr>
            </w:pPr>
            <w:r w:rsidRPr="00675A12">
              <w:rPr>
                <w:rFonts w:ascii="Arial" w:hAnsi="Arial" w:cs="Arial"/>
                <w:sz w:val="20"/>
                <w:szCs w:val="20"/>
              </w:rPr>
              <w:t xml:space="preserve">We plan to improve student learning by utilizing the black box space for both classroom use and additional performance opportunities for our students. Student learning will also increase as student actors, technicians and designers get the opportunity to learn about theatre production in a different type of theatre configuration (Theatre configuration deals with the different relationship/placement of audience and performer). Blair Hall Theatre is a proscenium configuration and the black box space can be arranged as any configuration and be changed for every performance, thus giving our students many more experiences. </w:t>
            </w:r>
          </w:p>
          <w:p w14:paraId="27448D80" w14:textId="77777777" w:rsidR="00675A12" w:rsidRPr="00675A12" w:rsidRDefault="00675A12" w:rsidP="00293124">
            <w:pPr>
              <w:spacing w:line="276" w:lineRule="auto"/>
              <w:rPr>
                <w:rFonts w:ascii="Arial" w:hAnsi="Arial" w:cs="Arial"/>
                <w:color w:val="000000" w:themeColor="text1"/>
                <w:sz w:val="20"/>
                <w:szCs w:val="20"/>
              </w:rPr>
            </w:pPr>
          </w:p>
        </w:tc>
        <w:tc>
          <w:tcPr>
            <w:tcW w:w="2647" w:type="dxa"/>
          </w:tcPr>
          <w:p w14:paraId="0BF52984" w14:textId="77777777" w:rsidR="00675A12" w:rsidRPr="00675A12" w:rsidRDefault="00675A12" w:rsidP="00293124">
            <w:pPr>
              <w:pStyle w:val="ListParagraph"/>
              <w:ind w:left="0"/>
              <w:rPr>
                <w:rFonts w:ascii="Arial" w:hAnsi="Arial" w:cs="Arial"/>
                <w:color w:val="000000" w:themeColor="text1"/>
                <w:sz w:val="20"/>
                <w:szCs w:val="20"/>
              </w:rPr>
            </w:pPr>
          </w:p>
          <w:p w14:paraId="57466167" w14:textId="77777777" w:rsidR="00675A12" w:rsidRPr="00675A12" w:rsidRDefault="00675A12" w:rsidP="00293124">
            <w:pPr>
              <w:pStyle w:val="ListParagraph"/>
              <w:ind w:left="0"/>
              <w:rPr>
                <w:rFonts w:ascii="Arial" w:hAnsi="Arial" w:cs="Arial"/>
                <w:color w:val="000000" w:themeColor="text1"/>
                <w:sz w:val="20"/>
                <w:szCs w:val="20"/>
              </w:rPr>
            </w:pPr>
            <w:r w:rsidRPr="00675A12">
              <w:rPr>
                <w:rFonts w:ascii="Arial" w:hAnsi="Arial" w:cs="Arial"/>
                <w:color w:val="000000" w:themeColor="text1"/>
                <w:sz w:val="20"/>
                <w:szCs w:val="20"/>
              </w:rPr>
              <w:t xml:space="preserve">In progress </w:t>
            </w:r>
            <w:r w:rsidRPr="00675A12">
              <w:rPr>
                <w:sz w:val="20"/>
                <w:szCs w:val="20"/>
              </w:rPr>
              <w:fldChar w:fldCharType="begin">
                <w:ffData>
                  <w:name w:val="Check1"/>
                  <w:enabled/>
                  <w:calcOnExit w:val="0"/>
                  <w:checkBox>
                    <w:sizeAuto/>
                    <w:default w:val="0"/>
                  </w:checkBox>
                </w:ffData>
              </w:fldChar>
            </w:r>
            <w:r w:rsidRPr="00675A12">
              <w:rPr>
                <w:sz w:val="20"/>
                <w:szCs w:val="20"/>
              </w:rPr>
              <w:instrText xml:space="preserve"> FORMCHECKBOX </w:instrText>
            </w:r>
            <w:r w:rsidR="00D04816">
              <w:rPr>
                <w:sz w:val="20"/>
                <w:szCs w:val="20"/>
              </w:rPr>
            </w:r>
            <w:r w:rsidR="00D04816">
              <w:rPr>
                <w:sz w:val="20"/>
                <w:szCs w:val="20"/>
              </w:rPr>
              <w:fldChar w:fldCharType="separate"/>
            </w:r>
            <w:r w:rsidRPr="00675A12">
              <w:rPr>
                <w:sz w:val="20"/>
                <w:szCs w:val="20"/>
              </w:rPr>
              <w:fldChar w:fldCharType="end"/>
            </w:r>
          </w:p>
          <w:p w14:paraId="42138BF4" w14:textId="77777777" w:rsidR="00675A12" w:rsidRPr="00675A12" w:rsidRDefault="00675A12" w:rsidP="00293124">
            <w:pPr>
              <w:pStyle w:val="ListParagraph"/>
              <w:ind w:left="0"/>
              <w:rPr>
                <w:rFonts w:ascii="Arial" w:hAnsi="Arial" w:cs="Arial"/>
                <w:color w:val="000000" w:themeColor="text1"/>
                <w:sz w:val="20"/>
                <w:szCs w:val="20"/>
              </w:rPr>
            </w:pPr>
          </w:p>
          <w:p w14:paraId="02ECD9D3" w14:textId="77777777" w:rsidR="00675A12" w:rsidRPr="00675A12" w:rsidRDefault="00675A12" w:rsidP="00293124">
            <w:pPr>
              <w:pStyle w:val="ListParagraph"/>
              <w:ind w:left="0"/>
              <w:rPr>
                <w:rFonts w:ascii="Arial" w:hAnsi="Arial" w:cs="Arial"/>
                <w:color w:val="000000" w:themeColor="text1"/>
                <w:sz w:val="20"/>
                <w:szCs w:val="20"/>
              </w:rPr>
            </w:pPr>
            <w:r w:rsidRPr="00675A12">
              <w:rPr>
                <w:rFonts w:ascii="Arial" w:hAnsi="Arial" w:cs="Arial"/>
                <w:color w:val="000000" w:themeColor="text1"/>
                <w:sz w:val="20"/>
                <w:szCs w:val="20"/>
              </w:rPr>
              <w:t xml:space="preserve">Completed </w:t>
            </w:r>
            <w:r w:rsidRPr="00675A12">
              <w:rPr>
                <w:sz w:val="20"/>
                <w:szCs w:val="20"/>
              </w:rPr>
              <w:fldChar w:fldCharType="begin">
                <w:ffData>
                  <w:name w:val=""/>
                  <w:enabled/>
                  <w:calcOnExit w:val="0"/>
                  <w:checkBox>
                    <w:sizeAuto/>
                    <w:default w:val="1"/>
                  </w:checkBox>
                </w:ffData>
              </w:fldChar>
            </w:r>
            <w:r w:rsidRPr="00675A12">
              <w:rPr>
                <w:sz w:val="20"/>
                <w:szCs w:val="20"/>
              </w:rPr>
              <w:instrText xml:space="preserve"> FORMCHECKBOX </w:instrText>
            </w:r>
            <w:r w:rsidR="00D04816">
              <w:rPr>
                <w:sz w:val="20"/>
                <w:szCs w:val="20"/>
              </w:rPr>
            </w:r>
            <w:r w:rsidR="00D04816">
              <w:rPr>
                <w:sz w:val="20"/>
                <w:szCs w:val="20"/>
              </w:rPr>
              <w:fldChar w:fldCharType="separate"/>
            </w:r>
            <w:r w:rsidRPr="00675A12">
              <w:rPr>
                <w:sz w:val="20"/>
                <w:szCs w:val="20"/>
              </w:rPr>
              <w:fldChar w:fldCharType="end"/>
            </w:r>
          </w:p>
          <w:p w14:paraId="536D2062" w14:textId="77777777" w:rsidR="00675A12" w:rsidRPr="00675A12" w:rsidRDefault="00675A12" w:rsidP="00293124">
            <w:pPr>
              <w:pStyle w:val="ListParagraph"/>
              <w:ind w:left="0"/>
              <w:rPr>
                <w:rFonts w:ascii="Arial" w:hAnsi="Arial" w:cs="Arial"/>
                <w:color w:val="000000" w:themeColor="text1"/>
                <w:sz w:val="20"/>
                <w:szCs w:val="20"/>
              </w:rPr>
            </w:pPr>
          </w:p>
          <w:p w14:paraId="1C803A4E" w14:textId="77777777" w:rsidR="00675A12" w:rsidRPr="00675A12" w:rsidRDefault="00675A12" w:rsidP="00293124">
            <w:pPr>
              <w:rPr>
                <w:sz w:val="20"/>
                <w:szCs w:val="20"/>
              </w:rPr>
            </w:pPr>
            <w:r w:rsidRPr="00675A12">
              <w:rPr>
                <w:rFonts w:ascii="Arial" w:hAnsi="Arial" w:cs="Arial"/>
                <w:color w:val="000000" w:themeColor="text1"/>
                <w:sz w:val="20"/>
                <w:szCs w:val="20"/>
              </w:rPr>
              <w:t xml:space="preserve">No longer applicable </w:t>
            </w:r>
            <w:r w:rsidRPr="00675A12">
              <w:rPr>
                <w:sz w:val="20"/>
                <w:szCs w:val="20"/>
              </w:rPr>
              <w:fldChar w:fldCharType="begin">
                <w:ffData>
                  <w:name w:val="Check1"/>
                  <w:enabled/>
                  <w:calcOnExit w:val="0"/>
                  <w:checkBox>
                    <w:sizeAuto/>
                    <w:default w:val="0"/>
                  </w:checkBox>
                </w:ffData>
              </w:fldChar>
            </w:r>
            <w:r w:rsidRPr="00675A12">
              <w:rPr>
                <w:sz w:val="20"/>
                <w:szCs w:val="20"/>
              </w:rPr>
              <w:instrText xml:space="preserve"> FORMCHECKBOX </w:instrText>
            </w:r>
            <w:r w:rsidR="00D04816">
              <w:rPr>
                <w:sz w:val="20"/>
                <w:szCs w:val="20"/>
              </w:rPr>
            </w:r>
            <w:r w:rsidR="00D04816">
              <w:rPr>
                <w:sz w:val="20"/>
                <w:szCs w:val="20"/>
              </w:rPr>
              <w:fldChar w:fldCharType="separate"/>
            </w:r>
            <w:r w:rsidRPr="00675A12">
              <w:rPr>
                <w:sz w:val="20"/>
                <w:szCs w:val="20"/>
              </w:rPr>
              <w:fldChar w:fldCharType="end"/>
            </w:r>
          </w:p>
          <w:p w14:paraId="7E497FA0" w14:textId="77777777" w:rsidR="00675A12" w:rsidRPr="00675A12" w:rsidRDefault="00675A12" w:rsidP="00293124">
            <w:pPr>
              <w:pStyle w:val="ListParagraph"/>
              <w:ind w:left="0"/>
              <w:rPr>
                <w:rFonts w:ascii="Arial" w:hAnsi="Arial" w:cs="Arial"/>
                <w:color w:val="000000" w:themeColor="text1"/>
                <w:sz w:val="20"/>
                <w:szCs w:val="20"/>
              </w:rPr>
            </w:pPr>
          </w:p>
        </w:tc>
        <w:tc>
          <w:tcPr>
            <w:tcW w:w="6632" w:type="dxa"/>
          </w:tcPr>
          <w:p w14:paraId="64B20D4A" w14:textId="77777777" w:rsidR="00675A12" w:rsidRPr="00675A12" w:rsidRDefault="00675A12" w:rsidP="00293124">
            <w:pPr>
              <w:rPr>
                <w:rFonts w:ascii="Arial" w:hAnsi="Arial" w:cs="Arial"/>
                <w:b/>
                <w:color w:val="000000" w:themeColor="text1"/>
                <w:sz w:val="20"/>
                <w:szCs w:val="20"/>
              </w:rPr>
            </w:pPr>
            <w:r w:rsidRPr="00675A12">
              <w:rPr>
                <w:rFonts w:ascii="Arial" w:hAnsi="Arial" w:cs="Arial"/>
                <w:b/>
                <w:color w:val="000000" w:themeColor="text1"/>
                <w:sz w:val="20"/>
                <w:szCs w:val="20"/>
              </w:rPr>
              <w:t xml:space="preserve">Since opening the Black Box in November of 2013, the department has used the space for 4 main stage productions which utilized 3 different types of configurations. And these main stage productions had 8 student designers and 26 student actors (as well as many student technicians) who learned a great deal about working in this small intimate space, in the variety of configurations. </w:t>
            </w:r>
          </w:p>
          <w:p w14:paraId="1DB4CCF1" w14:textId="77777777" w:rsidR="00675A12" w:rsidRPr="00675A12" w:rsidRDefault="00675A12" w:rsidP="00293124">
            <w:pPr>
              <w:rPr>
                <w:rFonts w:ascii="Arial" w:hAnsi="Arial" w:cs="Arial"/>
                <w:b/>
                <w:color w:val="000000" w:themeColor="text1"/>
                <w:sz w:val="20"/>
                <w:szCs w:val="20"/>
              </w:rPr>
            </w:pPr>
            <w:r w:rsidRPr="00675A12">
              <w:rPr>
                <w:rFonts w:ascii="Arial" w:hAnsi="Arial" w:cs="Arial"/>
                <w:b/>
                <w:color w:val="000000" w:themeColor="text1"/>
                <w:sz w:val="20"/>
                <w:szCs w:val="20"/>
              </w:rPr>
              <w:t>As a classroom space, all but one dance class and one acting class are taught in this space, as well as the lab for the lighting fundamentals class.</w:t>
            </w:r>
          </w:p>
          <w:p w14:paraId="3C26F319" w14:textId="77777777" w:rsidR="00675A12" w:rsidRPr="00675A12" w:rsidRDefault="00675A12" w:rsidP="00293124">
            <w:pPr>
              <w:rPr>
                <w:rFonts w:ascii="Arial" w:hAnsi="Arial" w:cs="Arial"/>
                <w:b/>
                <w:color w:val="000000" w:themeColor="text1"/>
                <w:sz w:val="20"/>
                <w:szCs w:val="20"/>
              </w:rPr>
            </w:pPr>
            <w:r w:rsidRPr="00675A12">
              <w:rPr>
                <w:rFonts w:ascii="Arial" w:hAnsi="Arial" w:cs="Arial"/>
                <w:b/>
                <w:color w:val="000000" w:themeColor="text1"/>
                <w:sz w:val="20"/>
                <w:szCs w:val="20"/>
              </w:rPr>
              <w:t>This space is also where all main stage auditions, call backs and rehearsals take place.</w:t>
            </w:r>
          </w:p>
          <w:p w14:paraId="3D48CCBD" w14:textId="77777777" w:rsidR="00675A12" w:rsidRPr="00675A12" w:rsidRDefault="00675A12" w:rsidP="00293124">
            <w:pPr>
              <w:rPr>
                <w:rFonts w:ascii="Arial" w:hAnsi="Arial" w:cs="Arial"/>
                <w:b/>
                <w:color w:val="000000" w:themeColor="text1"/>
                <w:sz w:val="20"/>
                <w:szCs w:val="20"/>
              </w:rPr>
            </w:pPr>
            <w:r w:rsidRPr="00675A12">
              <w:rPr>
                <w:rFonts w:ascii="Arial" w:hAnsi="Arial" w:cs="Arial"/>
                <w:b/>
                <w:color w:val="000000" w:themeColor="text1"/>
                <w:sz w:val="20"/>
                <w:szCs w:val="20"/>
              </w:rPr>
              <w:t>In the first year of the Black Box (2013-14) the department introduced the Mac Student Series. This series is intended to encourage students to produce live performances on their own. They have to apply to use the space, the department votes to approve the application or not and also determine at what level the project will supported; as in how much of a budget there will be, if the department will purchase the rights to produce it and to what extent the project will be permitted to use stock materials and shop supplies. In this first year, there were only two Mac Student Series projects produced; one was at the end of the year and the other during the summer of 2014. Then this past year there were/are seven projects being produced. They were spread throughout the academic year, with two more currently being produced during the summer of 2015.</w:t>
            </w:r>
          </w:p>
        </w:tc>
      </w:tr>
    </w:tbl>
    <w:p w14:paraId="2807B52A" w14:textId="77777777" w:rsidR="00B11028" w:rsidRDefault="00B11028">
      <w:r>
        <w:br w:type="page"/>
      </w:r>
    </w:p>
    <w:p w14:paraId="4ABDC74D" w14:textId="77777777" w:rsidR="003C59D8" w:rsidRPr="008258DA" w:rsidRDefault="00190F5C" w:rsidP="003C59D8">
      <w:pPr>
        <w:tabs>
          <w:tab w:val="left" w:pos="504"/>
        </w:tabs>
        <w:spacing w:after="120"/>
        <w:rPr>
          <w:rFonts w:ascii="Arial" w:hAnsi="Arial" w:cs="Arial"/>
          <w:color w:val="000000" w:themeColor="text1"/>
        </w:rPr>
      </w:pPr>
      <w:r w:rsidRPr="008258DA">
        <w:rPr>
          <w:rFonts w:ascii="Arial" w:hAnsi="Arial" w:cs="Arial"/>
          <w:color w:val="000000" w:themeColor="text1"/>
        </w:rPr>
        <w:lastRenderedPageBreak/>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tbl>
      <w:tblPr>
        <w:tblStyle w:val="TableGrid"/>
        <w:tblW w:w="12888" w:type="dxa"/>
        <w:tblLayout w:type="fixed"/>
        <w:tblCellMar>
          <w:left w:w="115" w:type="dxa"/>
          <w:right w:w="115" w:type="dxa"/>
        </w:tblCellMar>
        <w:tblLook w:val="04A0" w:firstRow="1" w:lastRow="0" w:firstColumn="1" w:lastColumn="0" w:noHBand="0" w:noVBand="1"/>
      </w:tblPr>
      <w:tblGrid>
        <w:gridCol w:w="3708"/>
        <w:gridCol w:w="2700"/>
        <w:gridCol w:w="6480"/>
      </w:tblGrid>
      <w:tr w:rsidR="00675A12" w:rsidRPr="00675A12" w14:paraId="105D3332" w14:textId="77777777" w:rsidTr="00293124">
        <w:tc>
          <w:tcPr>
            <w:tcW w:w="3708" w:type="dxa"/>
          </w:tcPr>
          <w:p w14:paraId="6D93B3E8" w14:textId="77777777" w:rsidR="00675A12" w:rsidRPr="00675A12" w:rsidRDefault="00675A12" w:rsidP="00293124">
            <w:pPr>
              <w:spacing w:before="120"/>
              <w:jc w:val="center"/>
              <w:rPr>
                <w:rFonts w:ascii="Arial" w:hAnsi="Arial" w:cs="Arial"/>
                <w:b/>
                <w:sz w:val="20"/>
                <w:szCs w:val="20"/>
              </w:rPr>
            </w:pPr>
            <w:r w:rsidRPr="00675A12">
              <w:rPr>
                <w:rFonts w:ascii="Arial" w:hAnsi="Arial" w:cs="Arial"/>
                <w:b/>
                <w:sz w:val="20"/>
                <w:szCs w:val="20"/>
              </w:rPr>
              <w:t>RECOMMENDATIONS</w:t>
            </w:r>
          </w:p>
        </w:tc>
        <w:tc>
          <w:tcPr>
            <w:tcW w:w="2700" w:type="dxa"/>
          </w:tcPr>
          <w:p w14:paraId="5669AA70" w14:textId="77777777" w:rsidR="00675A12" w:rsidRPr="00675A12" w:rsidRDefault="00675A12" w:rsidP="00293124">
            <w:pPr>
              <w:spacing w:before="120"/>
              <w:jc w:val="center"/>
              <w:rPr>
                <w:rFonts w:ascii="Arial" w:hAnsi="Arial" w:cs="Arial"/>
                <w:b/>
                <w:sz w:val="20"/>
                <w:szCs w:val="20"/>
              </w:rPr>
            </w:pPr>
            <w:r w:rsidRPr="00675A12">
              <w:rPr>
                <w:rFonts w:ascii="Arial" w:hAnsi="Arial" w:cs="Arial"/>
                <w:b/>
                <w:sz w:val="20"/>
                <w:szCs w:val="20"/>
              </w:rPr>
              <w:t>Status</w:t>
            </w:r>
          </w:p>
        </w:tc>
        <w:tc>
          <w:tcPr>
            <w:tcW w:w="6480" w:type="dxa"/>
          </w:tcPr>
          <w:p w14:paraId="2EBC7EE7" w14:textId="77777777" w:rsidR="00675A12" w:rsidRPr="00675A12" w:rsidRDefault="00675A12" w:rsidP="00293124">
            <w:pPr>
              <w:spacing w:before="120"/>
              <w:jc w:val="center"/>
              <w:rPr>
                <w:rFonts w:ascii="Arial" w:hAnsi="Arial" w:cs="Arial"/>
                <w:b/>
                <w:sz w:val="20"/>
                <w:szCs w:val="20"/>
              </w:rPr>
            </w:pPr>
            <w:r w:rsidRPr="00675A12">
              <w:rPr>
                <w:rFonts w:ascii="Arial" w:hAnsi="Arial" w:cs="Arial"/>
                <w:b/>
                <w:sz w:val="20"/>
                <w:szCs w:val="20"/>
              </w:rPr>
              <w:t>Progress or Rationale for No Longer Applicable</w:t>
            </w:r>
          </w:p>
        </w:tc>
      </w:tr>
      <w:tr w:rsidR="00675A12" w:rsidRPr="00675A12" w14:paraId="72EE71E3" w14:textId="77777777" w:rsidTr="00293124">
        <w:tc>
          <w:tcPr>
            <w:tcW w:w="3708" w:type="dxa"/>
          </w:tcPr>
          <w:p w14:paraId="2697F19D" w14:textId="581A76B3" w:rsidR="00675A12" w:rsidRPr="00443F34" w:rsidRDefault="00675A12" w:rsidP="00443F34">
            <w:pPr>
              <w:autoSpaceDE w:val="0"/>
              <w:autoSpaceDN w:val="0"/>
              <w:adjustRightInd w:val="0"/>
              <w:rPr>
                <w:rFonts w:ascii="Arial" w:hAnsi="Arial" w:cs="Arial"/>
                <w:color w:val="000000"/>
                <w:sz w:val="20"/>
                <w:szCs w:val="20"/>
              </w:rPr>
            </w:pPr>
            <w:r w:rsidRPr="00675A12">
              <w:rPr>
                <w:rFonts w:ascii="Arial" w:hAnsi="Arial" w:cs="Arial"/>
                <w:color w:val="000000"/>
                <w:sz w:val="20"/>
                <w:szCs w:val="20"/>
              </w:rPr>
              <w:t>The department’s mission statement focuses solely on Theatre, but a substantial portion of the FTE generated in this department are from the Dance courses.   The mission statement should be modified to be inclusive of the Dance component of the program.  In addition, the program outcomes for the two Theatre degree programs are the program outcomes that are reported in the Annual Updates.  The department should find ways to ensure that there is assessment of program outcomes that are applicable to Dance also, otherwise Dance will be “invisible” to assessment in the department.  Perhaps the department could explore developing a set of outcomes for the Dance courses that are separate and distinct from the Theatre degree program outcomes, and that would allow for measurement of student learning across these courses.</w:t>
            </w:r>
          </w:p>
        </w:tc>
        <w:tc>
          <w:tcPr>
            <w:tcW w:w="2700" w:type="dxa"/>
          </w:tcPr>
          <w:p w14:paraId="2E1CD3CD" w14:textId="77777777" w:rsidR="00675A12" w:rsidRPr="00675A12" w:rsidRDefault="00675A12" w:rsidP="00293124">
            <w:pPr>
              <w:pStyle w:val="ListParagraph"/>
              <w:ind w:left="0"/>
              <w:rPr>
                <w:rFonts w:ascii="Arial" w:hAnsi="Arial" w:cs="Arial"/>
                <w:color w:val="000000" w:themeColor="text1"/>
                <w:sz w:val="20"/>
                <w:szCs w:val="20"/>
              </w:rPr>
            </w:pPr>
          </w:p>
          <w:p w14:paraId="22F6290E" w14:textId="65BA447D" w:rsidR="00675A12" w:rsidRPr="00675A12" w:rsidRDefault="00675A12" w:rsidP="00293124">
            <w:pPr>
              <w:pStyle w:val="ListParagraph"/>
              <w:ind w:left="0"/>
              <w:rPr>
                <w:rFonts w:ascii="Arial" w:hAnsi="Arial" w:cs="Arial"/>
                <w:color w:val="000000" w:themeColor="text1"/>
                <w:sz w:val="20"/>
                <w:szCs w:val="20"/>
              </w:rPr>
            </w:pPr>
            <w:r w:rsidRPr="00675A12">
              <w:rPr>
                <w:rFonts w:ascii="Arial" w:hAnsi="Arial" w:cs="Arial"/>
                <w:color w:val="000000" w:themeColor="text1"/>
                <w:sz w:val="20"/>
                <w:szCs w:val="20"/>
              </w:rPr>
              <w:t xml:space="preserve">In progress </w:t>
            </w:r>
            <w:r w:rsidR="005A24F1">
              <w:rPr>
                <w:sz w:val="20"/>
                <w:szCs w:val="20"/>
              </w:rPr>
              <w:fldChar w:fldCharType="begin">
                <w:ffData>
                  <w:name w:val=""/>
                  <w:enabled/>
                  <w:calcOnExit w:val="0"/>
                  <w:checkBox>
                    <w:sizeAuto/>
                    <w:default w:val="0"/>
                  </w:checkBox>
                </w:ffData>
              </w:fldChar>
            </w:r>
            <w:r w:rsidR="005A24F1">
              <w:rPr>
                <w:sz w:val="20"/>
                <w:szCs w:val="20"/>
              </w:rPr>
              <w:instrText xml:space="preserve"> FORMCHECKBOX </w:instrText>
            </w:r>
            <w:r w:rsidR="00D04816">
              <w:rPr>
                <w:sz w:val="20"/>
                <w:szCs w:val="20"/>
              </w:rPr>
            </w:r>
            <w:r w:rsidR="00D04816">
              <w:rPr>
                <w:sz w:val="20"/>
                <w:szCs w:val="20"/>
              </w:rPr>
              <w:fldChar w:fldCharType="separate"/>
            </w:r>
            <w:r w:rsidR="005A24F1">
              <w:rPr>
                <w:sz w:val="20"/>
                <w:szCs w:val="20"/>
              </w:rPr>
              <w:fldChar w:fldCharType="end"/>
            </w:r>
          </w:p>
          <w:p w14:paraId="5891BFCC" w14:textId="77777777" w:rsidR="00675A12" w:rsidRPr="00675A12" w:rsidRDefault="00675A12" w:rsidP="00293124">
            <w:pPr>
              <w:pStyle w:val="ListParagraph"/>
              <w:ind w:left="0"/>
              <w:rPr>
                <w:rFonts w:ascii="Arial" w:hAnsi="Arial" w:cs="Arial"/>
                <w:color w:val="000000" w:themeColor="text1"/>
                <w:sz w:val="20"/>
                <w:szCs w:val="20"/>
              </w:rPr>
            </w:pPr>
          </w:p>
          <w:p w14:paraId="6A77DA69" w14:textId="65223FB9" w:rsidR="00675A12" w:rsidRPr="00675A12" w:rsidRDefault="00675A12" w:rsidP="00293124">
            <w:pPr>
              <w:pStyle w:val="ListParagraph"/>
              <w:ind w:left="0"/>
              <w:rPr>
                <w:rFonts w:ascii="Arial" w:hAnsi="Arial" w:cs="Arial"/>
                <w:color w:val="000000" w:themeColor="text1"/>
                <w:sz w:val="20"/>
                <w:szCs w:val="20"/>
              </w:rPr>
            </w:pPr>
            <w:r w:rsidRPr="00675A12">
              <w:rPr>
                <w:rFonts w:ascii="Arial" w:hAnsi="Arial" w:cs="Arial"/>
                <w:color w:val="000000" w:themeColor="text1"/>
                <w:sz w:val="20"/>
                <w:szCs w:val="20"/>
              </w:rPr>
              <w:t xml:space="preserve">Completed </w:t>
            </w:r>
            <w:r w:rsidR="005A24F1">
              <w:rPr>
                <w:sz w:val="20"/>
                <w:szCs w:val="20"/>
              </w:rPr>
              <w:fldChar w:fldCharType="begin">
                <w:ffData>
                  <w:name w:val=""/>
                  <w:enabled/>
                  <w:calcOnExit w:val="0"/>
                  <w:checkBox>
                    <w:sizeAuto/>
                    <w:default w:val="1"/>
                  </w:checkBox>
                </w:ffData>
              </w:fldChar>
            </w:r>
            <w:r w:rsidR="005A24F1">
              <w:rPr>
                <w:sz w:val="20"/>
                <w:szCs w:val="20"/>
              </w:rPr>
              <w:instrText xml:space="preserve"> FORMCHECKBOX </w:instrText>
            </w:r>
            <w:r w:rsidR="00D04816">
              <w:rPr>
                <w:sz w:val="20"/>
                <w:szCs w:val="20"/>
              </w:rPr>
            </w:r>
            <w:r w:rsidR="00D04816">
              <w:rPr>
                <w:sz w:val="20"/>
                <w:szCs w:val="20"/>
              </w:rPr>
              <w:fldChar w:fldCharType="separate"/>
            </w:r>
            <w:r w:rsidR="005A24F1">
              <w:rPr>
                <w:sz w:val="20"/>
                <w:szCs w:val="20"/>
              </w:rPr>
              <w:fldChar w:fldCharType="end"/>
            </w:r>
          </w:p>
          <w:p w14:paraId="1302DE2A" w14:textId="77777777" w:rsidR="00675A12" w:rsidRPr="00675A12" w:rsidRDefault="00675A12" w:rsidP="00293124">
            <w:pPr>
              <w:pStyle w:val="ListParagraph"/>
              <w:ind w:left="0"/>
              <w:rPr>
                <w:rFonts w:ascii="Arial" w:hAnsi="Arial" w:cs="Arial"/>
                <w:color w:val="000000" w:themeColor="text1"/>
                <w:sz w:val="20"/>
                <w:szCs w:val="20"/>
              </w:rPr>
            </w:pPr>
          </w:p>
          <w:p w14:paraId="7011B9F0" w14:textId="77777777" w:rsidR="00675A12" w:rsidRPr="00675A12" w:rsidRDefault="00675A12" w:rsidP="00293124">
            <w:pPr>
              <w:rPr>
                <w:sz w:val="20"/>
                <w:szCs w:val="20"/>
              </w:rPr>
            </w:pPr>
            <w:r w:rsidRPr="00675A12">
              <w:rPr>
                <w:rFonts w:ascii="Arial" w:hAnsi="Arial" w:cs="Arial"/>
                <w:color w:val="000000" w:themeColor="text1"/>
                <w:sz w:val="20"/>
                <w:szCs w:val="20"/>
              </w:rPr>
              <w:t xml:space="preserve">No longer applicable </w:t>
            </w:r>
            <w:r w:rsidRPr="00675A12">
              <w:rPr>
                <w:sz w:val="20"/>
                <w:szCs w:val="20"/>
              </w:rPr>
              <w:fldChar w:fldCharType="begin">
                <w:ffData>
                  <w:name w:val="Check1"/>
                  <w:enabled/>
                  <w:calcOnExit w:val="0"/>
                  <w:checkBox>
                    <w:sizeAuto/>
                    <w:default w:val="0"/>
                  </w:checkBox>
                </w:ffData>
              </w:fldChar>
            </w:r>
            <w:r w:rsidRPr="00675A12">
              <w:rPr>
                <w:sz w:val="20"/>
                <w:szCs w:val="20"/>
              </w:rPr>
              <w:instrText xml:space="preserve"> FORMCHECKBOX </w:instrText>
            </w:r>
            <w:r w:rsidR="00D04816">
              <w:rPr>
                <w:sz w:val="20"/>
                <w:szCs w:val="20"/>
              </w:rPr>
            </w:r>
            <w:r w:rsidR="00D04816">
              <w:rPr>
                <w:sz w:val="20"/>
                <w:szCs w:val="20"/>
              </w:rPr>
              <w:fldChar w:fldCharType="separate"/>
            </w:r>
            <w:r w:rsidRPr="00675A12">
              <w:rPr>
                <w:sz w:val="20"/>
                <w:szCs w:val="20"/>
              </w:rPr>
              <w:fldChar w:fldCharType="end"/>
            </w:r>
          </w:p>
          <w:p w14:paraId="73170D5E" w14:textId="77777777" w:rsidR="00675A12" w:rsidRPr="00675A12" w:rsidRDefault="00675A12" w:rsidP="00293124">
            <w:pPr>
              <w:pStyle w:val="ListParagraph"/>
              <w:ind w:left="0"/>
              <w:rPr>
                <w:rFonts w:ascii="Arial" w:hAnsi="Arial" w:cs="Arial"/>
                <w:color w:val="000000" w:themeColor="text1"/>
                <w:sz w:val="20"/>
                <w:szCs w:val="20"/>
              </w:rPr>
            </w:pPr>
          </w:p>
        </w:tc>
        <w:tc>
          <w:tcPr>
            <w:tcW w:w="6480" w:type="dxa"/>
          </w:tcPr>
          <w:p w14:paraId="5668BF9D" w14:textId="76C55221" w:rsidR="00675A12" w:rsidRPr="005A24F1" w:rsidRDefault="00675A12" w:rsidP="00293124">
            <w:pPr>
              <w:rPr>
                <w:rFonts w:ascii="Arial" w:hAnsi="Arial" w:cs="Arial"/>
                <w:color w:val="000000" w:themeColor="text1"/>
                <w:sz w:val="20"/>
                <w:szCs w:val="20"/>
              </w:rPr>
            </w:pPr>
            <w:r w:rsidRPr="00675A12">
              <w:rPr>
                <w:rFonts w:ascii="Arial" w:hAnsi="Arial" w:cs="Arial"/>
                <w:b/>
                <w:color w:val="000000" w:themeColor="text1"/>
                <w:sz w:val="20"/>
                <w:szCs w:val="20"/>
              </w:rPr>
              <w:t>The department has revised both the Mission Statement and the Program Outcomes to be inclusive of the dance component in our program.</w:t>
            </w:r>
            <w:r w:rsidR="005A24F1">
              <w:rPr>
                <w:rFonts w:ascii="Arial" w:hAnsi="Arial" w:cs="Arial"/>
                <w:b/>
                <w:color w:val="000000" w:themeColor="text1"/>
                <w:sz w:val="20"/>
                <w:szCs w:val="20"/>
              </w:rPr>
              <w:t xml:space="preserve"> The department has added DAN1172, 1173 and 1174 to the Performance Program Outcome: </w:t>
            </w:r>
            <w:r w:rsidR="005A24F1" w:rsidRPr="005A24F1">
              <w:rPr>
                <w:rFonts w:ascii="Arial" w:hAnsi="Arial" w:cs="Arial"/>
                <w:b/>
                <w:color w:val="000000" w:themeColor="text1"/>
                <w:sz w:val="20"/>
                <w:szCs w:val="20"/>
                <w:u w:val="single"/>
              </w:rPr>
              <w:t>“Demonstrate competency with basic audition and performance techniques”</w:t>
            </w:r>
            <w:r w:rsidR="005A24F1">
              <w:rPr>
                <w:rFonts w:ascii="Arial" w:hAnsi="Arial" w:cs="Arial"/>
                <w:color w:val="000000" w:themeColor="text1"/>
                <w:sz w:val="20"/>
                <w:szCs w:val="20"/>
              </w:rPr>
              <w:t xml:space="preserve">. </w:t>
            </w:r>
          </w:p>
          <w:p w14:paraId="0F9ACF5F" w14:textId="77777777" w:rsidR="00675A12" w:rsidRPr="00675A12" w:rsidRDefault="00675A12" w:rsidP="00293124">
            <w:pPr>
              <w:rPr>
                <w:rFonts w:ascii="Arial" w:hAnsi="Arial" w:cs="Arial"/>
                <w:b/>
                <w:color w:val="000000" w:themeColor="text1"/>
                <w:sz w:val="20"/>
                <w:szCs w:val="20"/>
              </w:rPr>
            </w:pPr>
          </w:p>
          <w:p w14:paraId="411237AB" w14:textId="77777777" w:rsidR="00675A12" w:rsidRPr="00675A12" w:rsidRDefault="00675A12" w:rsidP="00293124">
            <w:pPr>
              <w:rPr>
                <w:sz w:val="20"/>
                <w:szCs w:val="20"/>
              </w:rPr>
            </w:pPr>
          </w:p>
        </w:tc>
      </w:tr>
      <w:tr w:rsidR="00675A12" w:rsidRPr="00675A12" w14:paraId="15407567" w14:textId="77777777" w:rsidTr="00293124">
        <w:tc>
          <w:tcPr>
            <w:tcW w:w="3708" w:type="dxa"/>
          </w:tcPr>
          <w:p w14:paraId="4093F857" w14:textId="77777777" w:rsidR="00675A12" w:rsidRPr="00675A12" w:rsidRDefault="00675A12" w:rsidP="00293124">
            <w:pPr>
              <w:autoSpaceDE w:val="0"/>
              <w:autoSpaceDN w:val="0"/>
              <w:adjustRightInd w:val="0"/>
              <w:rPr>
                <w:rFonts w:ascii="Arial" w:hAnsi="Arial" w:cs="Arial"/>
                <w:color w:val="000000"/>
                <w:sz w:val="20"/>
                <w:szCs w:val="20"/>
              </w:rPr>
            </w:pPr>
            <w:r w:rsidRPr="00675A12">
              <w:rPr>
                <w:rFonts w:ascii="Arial" w:hAnsi="Arial" w:cs="Arial"/>
                <w:color w:val="000000"/>
                <w:sz w:val="20"/>
                <w:szCs w:val="20"/>
              </w:rPr>
              <w:t xml:space="preserve">Regarding assessment, the department should find ways of collecting, compiling, and analyzing some of the data it is already generating.  There is a considerable amount of assessment already taking place in the department, it just needs to be captured, analyzed, and reported.  For example, after every production there is a “post-mortem” discussion regarding what went well and what could be improved – capturing and analyzing these </w:t>
            </w:r>
            <w:r w:rsidRPr="00675A12">
              <w:rPr>
                <w:rFonts w:ascii="Arial" w:hAnsi="Arial" w:cs="Arial"/>
                <w:color w:val="000000"/>
                <w:sz w:val="20"/>
                <w:szCs w:val="20"/>
              </w:rPr>
              <w:lastRenderedPageBreak/>
              <w:t>discussions for trends across productions could be a means of conducting program assessment.  Faculty evaluate student performances all the time on an individual level – capturing these individual level assessments and looking for trends related to program outcomes across all students would be an excellent approach to assessment of program outcomes.</w:t>
            </w:r>
          </w:p>
          <w:p w14:paraId="07AB0A95" w14:textId="77777777" w:rsidR="00675A12" w:rsidRPr="00675A12" w:rsidRDefault="00675A12" w:rsidP="00293124">
            <w:pPr>
              <w:pStyle w:val="ListParagraph"/>
              <w:ind w:left="0"/>
              <w:rPr>
                <w:rFonts w:ascii="Arial" w:hAnsi="Arial" w:cs="Arial"/>
                <w:color w:val="000000" w:themeColor="text1"/>
                <w:sz w:val="20"/>
                <w:szCs w:val="20"/>
              </w:rPr>
            </w:pPr>
          </w:p>
        </w:tc>
        <w:tc>
          <w:tcPr>
            <w:tcW w:w="2700" w:type="dxa"/>
          </w:tcPr>
          <w:p w14:paraId="47C1BBF6" w14:textId="77777777" w:rsidR="00675A12" w:rsidRPr="00675A12" w:rsidRDefault="00675A12" w:rsidP="00293124">
            <w:pPr>
              <w:pStyle w:val="ListParagraph"/>
              <w:ind w:left="0"/>
              <w:rPr>
                <w:rFonts w:ascii="Arial" w:hAnsi="Arial" w:cs="Arial"/>
                <w:color w:val="000000" w:themeColor="text1"/>
                <w:sz w:val="20"/>
                <w:szCs w:val="20"/>
              </w:rPr>
            </w:pPr>
          </w:p>
          <w:p w14:paraId="6E54B14B" w14:textId="6202D8EC" w:rsidR="00675A12" w:rsidRPr="00675A12" w:rsidRDefault="00675A12" w:rsidP="00293124">
            <w:pPr>
              <w:pStyle w:val="ListParagraph"/>
              <w:ind w:left="0"/>
              <w:rPr>
                <w:rFonts w:ascii="Arial" w:hAnsi="Arial" w:cs="Arial"/>
                <w:color w:val="000000" w:themeColor="text1"/>
                <w:sz w:val="20"/>
                <w:szCs w:val="20"/>
              </w:rPr>
            </w:pPr>
            <w:r w:rsidRPr="00675A12">
              <w:rPr>
                <w:rFonts w:ascii="Arial" w:hAnsi="Arial" w:cs="Arial"/>
                <w:color w:val="000000" w:themeColor="text1"/>
                <w:sz w:val="20"/>
                <w:szCs w:val="20"/>
              </w:rPr>
              <w:t xml:space="preserve">In progress </w:t>
            </w:r>
            <w:r w:rsidR="00F43053">
              <w:rPr>
                <w:sz w:val="20"/>
                <w:szCs w:val="20"/>
              </w:rPr>
              <w:fldChar w:fldCharType="begin">
                <w:ffData>
                  <w:name w:val=""/>
                  <w:enabled/>
                  <w:calcOnExit w:val="0"/>
                  <w:checkBox>
                    <w:sizeAuto/>
                    <w:default w:val="0"/>
                  </w:checkBox>
                </w:ffData>
              </w:fldChar>
            </w:r>
            <w:r w:rsidR="00F43053">
              <w:rPr>
                <w:sz w:val="20"/>
                <w:szCs w:val="20"/>
              </w:rPr>
              <w:instrText xml:space="preserve"> FORMCHECKBOX </w:instrText>
            </w:r>
            <w:r w:rsidR="00D04816">
              <w:rPr>
                <w:sz w:val="20"/>
                <w:szCs w:val="20"/>
              </w:rPr>
            </w:r>
            <w:r w:rsidR="00D04816">
              <w:rPr>
                <w:sz w:val="20"/>
                <w:szCs w:val="20"/>
              </w:rPr>
              <w:fldChar w:fldCharType="separate"/>
            </w:r>
            <w:r w:rsidR="00F43053">
              <w:rPr>
                <w:sz w:val="20"/>
                <w:szCs w:val="20"/>
              </w:rPr>
              <w:fldChar w:fldCharType="end"/>
            </w:r>
          </w:p>
          <w:p w14:paraId="42227DC9" w14:textId="77777777" w:rsidR="00675A12" w:rsidRPr="00675A12" w:rsidRDefault="00675A12" w:rsidP="00293124">
            <w:pPr>
              <w:pStyle w:val="ListParagraph"/>
              <w:ind w:left="0"/>
              <w:rPr>
                <w:rFonts w:ascii="Arial" w:hAnsi="Arial" w:cs="Arial"/>
                <w:color w:val="000000" w:themeColor="text1"/>
                <w:sz w:val="20"/>
                <w:szCs w:val="20"/>
              </w:rPr>
            </w:pPr>
          </w:p>
          <w:p w14:paraId="40406575" w14:textId="6E981BC0" w:rsidR="00675A12" w:rsidRPr="00675A12" w:rsidRDefault="00675A12" w:rsidP="00293124">
            <w:pPr>
              <w:pStyle w:val="ListParagraph"/>
              <w:ind w:left="0"/>
              <w:rPr>
                <w:rFonts w:ascii="Arial" w:hAnsi="Arial" w:cs="Arial"/>
                <w:color w:val="000000" w:themeColor="text1"/>
                <w:sz w:val="20"/>
                <w:szCs w:val="20"/>
              </w:rPr>
            </w:pPr>
            <w:r w:rsidRPr="00675A12">
              <w:rPr>
                <w:rFonts w:ascii="Arial" w:hAnsi="Arial" w:cs="Arial"/>
                <w:color w:val="000000" w:themeColor="text1"/>
                <w:sz w:val="20"/>
                <w:szCs w:val="20"/>
              </w:rPr>
              <w:t xml:space="preserve">Completed </w:t>
            </w:r>
            <w:r w:rsidR="00F43053">
              <w:rPr>
                <w:sz w:val="20"/>
                <w:szCs w:val="20"/>
              </w:rPr>
              <w:fldChar w:fldCharType="begin">
                <w:ffData>
                  <w:name w:val=""/>
                  <w:enabled/>
                  <w:calcOnExit w:val="0"/>
                  <w:checkBox>
                    <w:sizeAuto/>
                    <w:default w:val="1"/>
                  </w:checkBox>
                </w:ffData>
              </w:fldChar>
            </w:r>
            <w:r w:rsidR="00F43053">
              <w:rPr>
                <w:sz w:val="20"/>
                <w:szCs w:val="20"/>
              </w:rPr>
              <w:instrText xml:space="preserve"> FORMCHECKBOX </w:instrText>
            </w:r>
            <w:r w:rsidR="00D04816">
              <w:rPr>
                <w:sz w:val="20"/>
                <w:szCs w:val="20"/>
              </w:rPr>
            </w:r>
            <w:r w:rsidR="00D04816">
              <w:rPr>
                <w:sz w:val="20"/>
                <w:szCs w:val="20"/>
              </w:rPr>
              <w:fldChar w:fldCharType="separate"/>
            </w:r>
            <w:r w:rsidR="00F43053">
              <w:rPr>
                <w:sz w:val="20"/>
                <w:szCs w:val="20"/>
              </w:rPr>
              <w:fldChar w:fldCharType="end"/>
            </w:r>
          </w:p>
          <w:p w14:paraId="01810064" w14:textId="77777777" w:rsidR="00675A12" w:rsidRPr="00675A12" w:rsidRDefault="00675A12" w:rsidP="00293124">
            <w:pPr>
              <w:pStyle w:val="ListParagraph"/>
              <w:ind w:left="0"/>
              <w:rPr>
                <w:rFonts w:ascii="Arial" w:hAnsi="Arial" w:cs="Arial"/>
                <w:color w:val="000000" w:themeColor="text1"/>
                <w:sz w:val="20"/>
                <w:szCs w:val="20"/>
              </w:rPr>
            </w:pPr>
          </w:p>
          <w:p w14:paraId="4CF8A95C" w14:textId="77777777" w:rsidR="00675A12" w:rsidRPr="00675A12" w:rsidRDefault="00675A12" w:rsidP="00293124">
            <w:pPr>
              <w:rPr>
                <w:sz w:val="20"/>
                <w:szCs w:val="20"/>
              </w:rPr>
            </w:pPr>
            <w:r w:rsidRPr="00675A12">
              <w:rPr>
                <w:rFonts w:ascii="Arial" w:hAnsi="Arial" w:cs="Arial"/>
                <w:color w:val="000000" w:themeColor="text1"/>
                <w:sz w:val="20"/>
                <w:szCs w:val="20"/>
              </w:rPr>
              <w:t xml:space="preserve">No longer applicable </w:t>
            </w:r>
            <w:r w:rsidRPr="00675A12">
              <w:rPr>
                <w:sz w:val="20"/>
                <w:szCs w:val="20"/>
              </w:rPr>
              <w:fldChar w:fldCharType="begin">
                <w:ffData>
                  <w:name w:val="Check1"/>
                  <w:enabled/>
                  <w:calcOnExit w:val="0"/>
                  <w:checkBox>
                    <w:sizeAuto/>
                    <w:default w:val="0"/>
                  </w:checkBox>
                </w:ffData>
              </w:fldChar>
            </w:r>
            <w:r w:rsidRPr="00675A12">
              <w:rPr>
                <w:sz w:val="20"/>
                <w:szCs w:val="20"/>
              </w:rPr>
              <w:instrText xml:space="preserve"> FORMCHECKBOX </w:instrText>
            </w:r>
            <w:r w:rsidR="00D04816">
              <w:rPr>
                <w:sz w:val="20"/>
                <w:szCs w:val="20"/>
              </w:rPr>
            </w:r>
            <w:r w:rsidR="00D04816">
              <w:rPr>
                <w:sz w:val="20"/>
                <w:szCs w:val="20"/>
              </w:rPr>
              <w:fldChar w:fldCharType="separate"/>
            </w:r>
            <w:r w:rsidRPr="00675A12">
              <w:rPr>
                <w:sz w:val="20"/>
                <w:szCs w:val="20"/>
              </w:rPr>
              <w:fldChar w:fldCharType="end"/>
            </w:r>
          </w:p>
          <w:p w14:paraId="7A860EA1" w14:textId="77777777" w:rsidR="00675A12" w:rsidRPr="00675A12" w:rsidRDefault="00675A12" w:rsidP="00293124">
            <w:pPr>
              <w:pStyle w:val="ListParagraph"/>
              <w:ind w:left="0"/>
              <w:rPr>
                <w:rFonts w:ascii="Arial" w:hAnsi="Arial" w:cs="Arial"/>
                <w:color w:val="000000" w:themeColor="text1"/>
                <w:sz w:val="20"/>
                <w:szCs w:val="20"/>
              </w:rPr>
            </w:pPr>
          </w:p>
        </w:tc>
        <w:tc>
          <w:tcPr>
            <w:tcW w:w="6480" w:type="dxa"/>
          </w:tcPr>
          <w:p w14:paraId="4786E4C5" w14:textId="437E6FC9" w:rsidR="00F43053" w:rsidRDefault="00A97A21" w:rsidP="00A97A21">
            <w:pPr>
              <w:rPr>
                <w:rFonts w:ascii="Arial" w:hAnsi="Arial" w:cs="Arial"/>
                <w:b/>
                <w:color w:val="000000" w:themeColor="text1"/>
                <w:sz w:val="20"/>
                <w:szCs w:val="20"/>
              </w:rPr>
            </w:pPr>
            <w:r>
              <w:rPr>
                <w:rFonts w:ascii="Arial" w:hAnsi="Arial" w:cs="Arial"/>
                <w:b/>
                <w:color w:val="000000" w:themeColor="text1"/>
                <w:sz w:val="20"/>
                <w:szCs w:val="20"/>
              </w:rPr>
              <w:t>As stated</w:t>
            </w:r>
            <w:r w:rsidR="00FD7A60">
              <w:rPr>
                <w:rFonts w:ascii="Arial" w:hAnsi="Arial" w:cs="Arial"/>
                <w:b/>
                <w:color w:val="000000" w:themeColor="text1"/>
                <w:sz w:val="20"/>
                <w:szCs w:val="20"/>
              </w:rPr>
              <w:t>,</w:t>
            </w:r>
            <w:r>
              <w:rPr>
                <w:rFonts w:ascii="Arial" w:hAnsi="Arial" w:cs="Arial"/>
                <w:b/>
                <w:color w:val="000000" w:themeColor="text1"/>
                <w:sz w:val="20"/>
                <w:szCs w:val="20"/>
              </w:rPr>
              <w:t xml:space="preserve"> the department </w:t>
            </w:r>
            <w:r w:rsidR="00FD7A60">
              <w:rPr>
                <w:rFonts w:ascii="Arial" w:hAnsi="Arial" w:cs="Arial"/>
                <w:b/>
                <w:color w:val="000000" w:themeColor="text1"/>
                <w:sz w:val="20"/>
                <w:szCs w:val="20"/>
              </w:rPr>
              <w:t>continues to accomplish a great deal of assessment throughout both programs. The department consistently discusses these assessments as a group, in many settings, including</w:t>
            </w:r>
            <w:r w:rsidR="00F43053">
              <w:rPr>
                <w:rFonts w:ascii="Arial" w:hAnsi="Arial" w:cs="Arial"/>
                <w:b/>
                <w:color w:val="000000" w:themeColor="text1"/>
                <w:sz w:val="20"/>
                <w:szCs w:val="20"/>
              </w:rPr>
              <w:t xml:space="preserve"> bi-weekly</w:t>
            </w:r>
            <w:r w:rsidR="00FD7A60">
              <w:rPr>
                <w:rFonts w:ascii="Arial" w:hAnsi="Arial" w:cs="Arial"/>
                <w:b/>
                <w:color w:val="000000" w:themeColor="text1"/>
                <w:sz w:val="20"/>
                <w:szCs w:val="20"/>
              </w:rPr>
              <w:t xml:space="preserve"> department meetings where we discuss </w:t>
            </w:r>
            <w:r w:rsidR="00F43053">
              <w:rPr>
                <w:rFonts w:ascii="Arial" w:hAnsi="Arial" w:cs="Arial"/>
                <w:b/>
                <w:color w:val="000000" w:themeColor="text1"/>
                <w:sz w:val="20"/>
                <w:szCs w:val="20"/>
              </w:rPr>
              <w:t>the</w:t>
            </w:r>
            <w:r w:rsidR="00FD7A60">
              <w:rPr>
                <w:rFonts w:ascii="Arial" w:hAnsi="Arial" w:cs="Arial"/>
                <w:b/>
                <w:color w:val="000000" w:themeColor="text1"/>
                <w:sz w:val="20"/>
                <w:szCs w:val="20"/>
              </w:rPr>
              <w:t xml:space="preserve"> success, completion and challenges</w:t>
            </w:r>
            <w:r w:rsidR="00F43053">
              <w:rPr>
                <w:rFonts w:ascii="Arial" w:hAnsi="Arial" w:cs="Arial"/>
                <w:b/>
                <w:color w:val="000000" w:themeColor="text1"/>
                <w:sz w:val="20"/>
                <w:szCs w:val="20"/>
              </w:rPr>
              <w:t xml:space="preserve"> of all our students</w:t>
            </w:r>
            <w:r w:rsidR="00FD7A60">
              <w:rPr>
                <w:rFonts w:ascii="Arial" w:hAnsi="Arial" w:cs="Arial"/>
                <w:b/>
                <w:color w:val="000000" w:themeColor="text1"/>
                <w:sz w:val="20"/>
                <w:szCs w:val="20"/>
              </w:rPr>
              <w:t>.</w:t>
            </w:r>
            <w:r w:rsidR="00F43053">
              <w:rPr>
                <w:rFonts w:ascii="Arial" w:hAnsi="Arial" w:cs="Arial"/>
                <w:b/>
                <w:color w:val="000000" w:themeColor="text1"/>
                <w:sz w:val="20"/>
                <w:szCs w:val="20"/>
              </w:rPr>
              <w:t xml:space="preserve"> From these discussions we look at trends across our classes, as well </w:t>
            </w:r>
            <w:r w:rsidR="0017143F">
              <w:rPr>
                <w:rFonts w:ascii="Arial" w:hAnsi="Arial" w:cs="Arial"/>
                <w:b/>
                <w:color w:val="000000" w:themeColor="text1"/>
                <w:sz w:val="20"/>
                <w:szCs w:val="20"/>
              </w:rPr>
              <w:t xml:space="preserve">as </w:t>
            </w:r>
            <w:r w:rsidR="00F43053">
              <w:rPr>
                <w:rFonts w:ascii="Arial" w:hAnsi="Arial" w:cs="Arial"/>
                <w:b/>
                <w:color w:val="000000" w:themeColor="text1"/>
                <w:sz w:val="20"/>
                <w:szCs w:val="20"/>
              </w:rPr>
              <w:t>theatre production work</w:t>
            </w:r>
            <w:r w:rsidR="00C15D33">
              <w:rPr>
                <w:rFonts w:ascii="Arial" w:hAnsi="Arial" w:cs="Arial"/>
                <w:b/>
                <w:color w:val="000000" w:themeColor="text1"/>
                <w:sz w:val="20"/>
                <w:szCs w:val="20"/>
              </w:rPr>
              <w:t>,</w:t>
            </w:r>
            <w:r w:rsidR="00F43053">
              <w:rPr>
                <w:rFonts w:ascii="Arial" w:hAnsi="Arial" w:cs="Arial"/>
                <w:b/>
                <w:color w:val="000000" w:themeColor="text1"/>
                <w:sz w:val="20"/>
                <w:szCs w:val="20"/>
              </w:rPr>
              <w:t xml:space="preserve"> and</w:t>
            </w:r>
            <w:r w:rsidR="0017143F">
              <w:rPr>
                <w:rFonts w:ascii="Arial" w:hAnsi="Arial" w:cs="Arial"/>
                <w:b/>
                <w:color w:val="000000" w:themeColor="text1"/>
                <w:sz w:val="20"/>
                <w:szCs w:val="20"/>
              </w:rPr>
              <w:t xml:space="preserve"> we make decisions to continue</w:t>
            </w:r>
            <w:r w:rsidR="00F43053">
              <w:rPr>
                <w:rFonts w:ascii="Arial" w:hAnsi="Arial" w:cs="Arial"/>
                <w:b/>
                <w:color w:val="000000" w:themeColor="text1"/>
                <w:sz w:val="20"/>
                <w:szCs w:val="20"/>
              </w:rPr>
              <w:t xml:space="preserve"> growing what is working and make changes to what needs improvement.</w:t>
            </w:r>
          </w:p>
          <w:p w14:paraId="3803D708" w14:textId="02B23E83" w:rsidR="009E720F" w:rsidRDefault="00C15D33" w:rsidP="009E720F">
            <w:pPr>
              <w:rPr>
                <w:rFonts w:ascii="Arial" w:hAnsi="Arial" w:cs="Arial"/>
                <w:b/>
                <w:color w:val="000000" w:themeColor="text1"/>
                <w:sz w:val="20"/>
                <w:szCs w:val="20"/>
              </w:rPr>
            </w:pPr>
            <w:r>
              <w:rPr>
                <w:rFonts w:ascii="Arial" w:hAnsi="Arial" w:cs="Arial"/>
                <w:b/>
                <w:color w:val="000000" w:themeColor="text1"/>
                <w:sz w:val="20"/>
                <w:szCs w:val="20"/>
              </w:rPr>
              <w:t>As one example</w:t>
            </w:r>
            <w:r w:rsidR="00F43053">
              <w:rPr>
                <w:rFonts w:ascii="Arial" w:hAnsi="Arial" w:cs="Arial"/>
                <w:b/>
                <w:color w:val="000000" w:themeColor="text1"/>
                <w:sz w:val="20"/>
                <w:szCs w:val="20"/>
              </w:rPr>
              <w:t xml:space="preserve">, </w:t>
            </w:r>
            <w:r w:rsidR="009E720F">
              <w:rPr>
                <w:rFonts w:ascii="Arial" w:hAnsi="Arial" w:cs="Arial"/>
                <w:b/>
                <w:color w:val="000000" w:themeColor="text1"/>
                <w:sz w:val="20"/>
                <w:szCs w:val="20"/>
              </w:rPr>
              <w:t>both programs have a specific Program Outcome that deals with demonstrating professionalism as a Perform</w:t>
            </w:r>
            <w:r w:rsidR="0017143F">
              <w:rPr>
                <w:rFonts w:ascii="Arial" w:hAnsi="Arial" w:cs="Arial"/>
                <w:b/>
                <w:color w:val="000000" w:themeColor="text1"/>
                <w:sz w:val="20"/>
                <w:szCs w:val="20"/>
              </w:rPr>
              <w:t>ance Major and as a Technology M</w:t>
            </w:r>
            <w:r w:rsidR="009E720F">
              <w:rPr>
                <w:rFonts w:ascii="Arial" w:hAnsi="Arial" w:cs="Arial"/>
                <w:b/>
                <w:color w:val="000000" w:themeColor="text1"/>
                <w:sz w:val="20"/>
                <w:szCs w:val="20"/>
              </w:rPr>
              <w:t xml:space="preserve">ajor. </w:t>
            </w:r>
          </w:p>
          <w:p w14:paraId="5750989C" w14:textId="77777777" w:rsidR="0017143F" w:rsidRDefault="009E720F" w:rsidP="00A97A21">
            <w:pPr>
              <w:rPr>
                <w:rFonts w:ascii="Arial" w:hAnsi="Arial" w:cs="Arial"/>
                <w:b/>
                <w:color w:val="000000" w:themeColor="text1"/>
                <w:sz w:val="20"/>
                <w:szCs w:val="20"/>
              </w:rPr>
            </w:pPr>
            <w:r>
              <w:rPr>
                <w:rFonts w:ascii="Arial" w:hAnsi="Arial" w:cs="Arial"/>
                <w:b/>
                <w:color w:val="000000" w:themeColor="text1"/>
                <w:sz w:val="20"/>
                <w:szCs w:val="20"/>
              </w:rPr>
              <w:lastRenderedPageBreak/>
              <w:t>We noticed students</w:t>
            </w:r>
            <w:r w:rsidR="00F43053">
              <w:rPr>
                <w:rFonts w:ascii="Arial" w:hAnsi="Arial" w:cs="Arial"/>
                <w:b/>
                <w:color w:val="000000" w:themeColor="text1"/>
                <w:sz w:val="20"/>
                <w:szCs w:val="20"/>
              </w:rPr>
              <w:t xml:space="preserve"> </w:t>
            </w:r>
            <w:r>
              <w:rPr>
                <w:rFonts w:ascii="Arial" w:hAnsi="Arial" w:cs="Arial"/>
                <w:b/>
                <w:color w:val="000000" w:themeColor="text1"/>
                <w:sz w:val="20"/>
                <w:szCs w:val="20"/>
              </w:rPr>
              <w:t>demonstrating</w:t>
            </w:r>
            <w:r w:rsidR="00F43053">
              <w:rPr>
                <w:rFonts w:ascii="Arial" w:hAnsi="Arial" w:cs="Arial"/>
                <w:b/>
                <w:color w:val="000000" w:themeColor="text1"/>
                <w:sz w:val="20"/>
                <w:szCs w:val="20"/>
              </w:rPr>
              <w:t xml:space="preserve"> a difficulty in understanding the importance of </w:t>
            </w:r>
            <w:r>
              <w:rPr>
                <w:rFonts w:ascii="Arial" w:hAnsi="Arial" w:cs="Arial"/>
                <w:b/>
                <w:color w:val="000000" w:themeColor="text1"/>
                <w:sz w:val="20"/>
                <w:szCs w:val="20"/>
              </w:rPr>
              <w:t xml:space="preserve">professional standards for </w:t>
            </w:r>
            <w:r w:rsidR="00F43053">
              <w:rPr>
                <w:rFonts w:ascii="Arial" w:hAnsi="Arial" w:cs="Arial"/>
                <w:b/>
                <w:color w:val="000000" w:themeColor="text1"/>
                <w:sz w:val="20"/>
                <w:szCs w:val="20"/>
              </w:rPr>
              <w:t>punctuality</w:t>
            </w:r>
            <w:r>
              <w:rPr>
                <w:rFonts w:ascii="Arial" w:hAnsi="Arial" w:cs="Arial"/>
                <w:b/>
                <w:color w:val="000000" w:themeColor="text1"/>
                <w:sz w:val="20"/>
                <w:szCs w:val="20"/>
              </w:rPr>
              <w:t xml:space="preserve">. We discussed what our classroom tardy and attendance policies needed to be as well as our theatre production tardy and attendance policies. We decided that our current classroom </w:t>
            </w:r>
            <w:r w:rsidR="0043451B">
              <w:rPr>
                <w:rFonts w:ascii="Arial" w:hAnsi="Arial" w:cs="Arial"/>
                <w:b/>
                <w:color w:val="000000" w:themeColor="text1"/>
                <w:sz w:val="20"/>
                <w:szCs w:val="20"/>
              </w:rPr>
              <w:t xml:space="preserve">polices needed to remain the same (where a limited number of </w:t>
            </w:r>
            <w:proofErr w:type="spellStart"/>
            <w:r w:rsidR="0043451B">
              <w:rPr>
                <w:rFonts w:ascii="Arial" w:hAnsi="Arial" w:cs="Arial"/>
                <w:b/>
                <w:color w:val="000000" w:themeColor="text1"/>
                <w:sz w:val="20"/>
                <w:szCs w:val="20"/>
              </w:rPr>
              <w:t>tardies</w:t>
            </w:r>
            <w:proofErr w:type="spellEnd"/>
            <w:r w:rsidR="0043451B">
              <w:rPr>
                <w:rFonts w:ascii="Arial" w:hAnsi="Arial" w:cs="Arial"/>
                <w:b/>
                <w:color w:val="000000" w:themeColor="text1"/>
                <w:sz w:val="20"/>
                <w:szCs w:val="20"/>
              </w:rPr>
              <w:t xml:space="preserve"> and absences are allowed), but we needed to create a more rigorous policy</w:t>
            </w:r>
            <w:r>
              <w:rPr>
                <w:rFonts w:ascii="Arial" w:hAnsi="Arial" w:cs="Arial"/>
                <w:b/>
                <w:color w:val="000000" w:themeColor="text1"/>
                <w:sz w:val="20"/>
                <w:szCs w:val="20"/>
              </w:rPr>
              <w:t xml:space="preserve"> </w:t>
            </w:r>
            <w:r w:rsidR="0043451B">
              <w:rPr>
                <w:rFonts w:ascii="Arial" w:hAnsi="Arial" w:cs="Arial"/>
                <w:b/>
                <w:color w:val="000000" w:themeColor="text1"/>
                <w:sz w:val="20"/>
                <w:szCs w:val="20"/>
              </w:rPr>
              <w:t>for theatre production work.</w:t>
            </w:r>
            <w:r w:rsidR="00C15D33">
              <w:rPr>
                <w:rFonts w:ascii="Arial" w:hAnsi="Arial" w:cs="Arial"/>
                <w:b/>
                <w:color w:val="000000" w:themeColor="text1"/>
                <w:sz w:val="20"/>
                <w:szCs w:val="20"/>
              </w:rPr>
              <w:t xml:space="preserve"> </w:t>
            </w:r>
          </w:p>
          <w:p w14:paraId="515E9AFD" w14:textId="560AB54F" w:rsidR="0017143F" w:rsidRDefault="0017143F" w:rsidP="00A97A21">
            <w:pPr>
              <w:rPr>
                <w:rFonts w:ascii="Arial" w:hAnsi="Arial" w:cs="Arial"/>
                <w:b/>
                <w:color w:val="000000" w:themeColor="text1"/>
                <w:sz w:val="20"/>
                <w:szCs w:val="20"/>
              </w:rPr>
            </w:pPr>
            <w:r>
              <w:rPr>
                <w:rFonts w:ascii="Arial" w:hAnsi="Arial" w:cs="Arial"/>
                <w:b/>
                <w:color w:val="000000" w:themeColor="text1"/>
                <w:sz w:val="20"/>
                <w:szCs w:val="20"/>
              </w:rPr>
              <w:t xml:space="preserve">For the Tech Production class (THE1194, 1196) the students are given the </w:t>
            </w:r>
            <w:r w:rsidR="00046296">
              <w:rPr>
                <w:rFonts w:ascii="Arial" w:hAnsi="Arial" w:cs="Arial"/>
                <w:b/>
                <w:color w:val="000000" w:themeColor="text1"/>
                <w:sz w:val="20"/>
                <w:szCs w:val="20"/>
              </w:rPr>
              <w:t xml:space="preserve">production </w:t>
            </w:r>
            <w:r>
              <w:rPr>
                <w:rFonts w:ascii="Arial" w:hAnsi="Arial" w:cs="Arial"/>
                <w:b/>
                <w:color w:val="000000" w:themeColor="text1"/>
                <w:sz w:val="20"/>
                <w:szCs w:val="20"/>
              </w:rPr>
              <w:t>calendar before t</w:t>
            </w:r>
            <w:r w:rsidR="00C8479A">
              <w:rPr>
                <w:rFonts w:ascii="Arial" w:hAnsi="Arial" w:cs="Arial"/>
                <w:b/>
                <w:color w:val="000000" w:themeColor="text1"/>
                <w:sz w:val="20"/>
                <w:szCs w:val="20"/>
              </w:rPr>
              <w:t>he semester begins and it is made</w:t>
            </w:r>
            <w:r>
              <w:rPr>
                <w:rFonts w:ascii="Arial" w:hAnsi="Arial" w:cs="Arial"/>
                <w:b/>
                <w:color w:val="000000" w:themeColor="text1"/>
                <w:sz w:val="20"/>
                <w:szCs w:val="20"/>
              </w:rPr>
              <w:t xml:space="preserve"> clear that absolutely no absences are allowed </w:t>
            </w:r>
            <w:r w:rsidR="00C8479A">
              <w:rPr>
                <w:rFonts w:ascii="Arial" w:hAnsi="Arial" w:cs="Arial"/>
                <w:b/>
                <w:color w:val="000000" w:themeColor="text1"/>
                <w:sz w:val="20"/>
                <w:szCs w:val="20"/>
              </w:rPr>
              <w:t xml:space="preserve">and any </w:t>
            </w:r>
            <w:proofErr w:type="spellStart"/>
            <w:r w:rsidR="00C8479A">
              <w:rPr>
                <w:rFonts w:ascii="Arial" w:hAnsi="Arial" w:cs="Arial"/>
                <w:b/>
                <w:color w:val="000000" w:themeColor="text1"/>
                <w:sz w:val="20"/>
                <w:szCs w:val="20"/>
              </w:rPr>
              <w:t>tardies</w:t>
            </w:r>
            <w:proofErr w:type="spellEnd"/>
            <w:r w:rsidR="00C8479A">
              <w:rPr>
                <w:rFonts w:ascii="Arial" w:hAnsi="Arial" w:cs="Arial"/>
                <w:b/>
                <w:color w:val="000000" w:themeColor="text1"/>
                <w:sz w:val="20"/>
                <w:szCs w:val="20"/>
              </w:rPr>
              <w:t xml:space="preserve"> will lower the overall</w:t>
            </w:r>
            <w:r>
              <w:rPr>
                <w:rFonts w:ascii="Arial" w:hAnsi="Arial" w:cs="Arial"/>
                <w:b/>
                <w:color w:val="000000" w:themeColor="text1"/>
                <w:sz w:val="20"/>
                <w:szCs w:val="20"/>
              </w:rPr>
              <w:t xml:space="preserve"> grade. They are able to pick from a variety of production positions allowing them to pick the position that works with their schedule. Then potential cast members are given the calendar at auditions and have the opportunity to list conflicts, but only very few conflicts will be allowed, if there are too many conflicts, they will not be cast.  </w:t>
            </w:r>
          </w:p>
          <w:p w14:paraId="03EC247D" w14:textId="1F3C6A72" w:rsidR="006662D2" w:rsidRPr="00443F34" w:rsidRDefault="0017143F" w:rsidP="00C8479A">
            <w:pPr>
              <w:rPr>
                <w:rFonts w:ascii="Arial" w:hAnsi="Arial" w:cs="Arial"/>
                <w:b/>
                <w:color w:val="000000" w:themeColor="text1"/>
                <w:sz w:val="20"/>
                <w:szCs w:val="20"/>
              </w:rPr>
            </w:pPr>
            <w:r>
              <w:rPr>
                <w:rFonts w:ascii="Arial" w:hAnsi="Arial" w:cs="Arial"/>
                <w:b/>
                <w:color w:val="000000" w:themeColor="text1"/>
                <w:sz w:val="20"/>
                <w:szCs w:val="20"/>
              </w:rPr>
              <w:t xml:space="preserve">During </w:t>
            </w:r>
            <w:r w:rsidR="00046296">
              <w:rPr>
                <w:rFonts w:ascii="Arial" w:hAnsi="Arial" w:cs="Arial"/>
                <w:b/>
                <w:color w:val="000000" w:themeColor="text1"/>
                <w:sz w:val="20"/>
                <w:szCs w:val="20"/>
              </w:rPr>
              <w:t xml:space="preserve">the </w:t>
            </w:r>
            <w:r>
              <w:rPr>
                <w:rFonts w:ascii="Arial" w:hAnsi="Arial" w:cs="Arial"/>
                <w:b/>
                <w:color w:val="000000" w:themeColor="text1"/>
                <w:sz w:val="20"/>
                <w:szCs w:val="20"/>
              </w:rPr>
              <w:t>production</w:t>
            </w:r>
            <w:r w:rsidR="00046296">
              <w:rPr>
                <w:rFonts w:ascii="Arial" w:hAnsi="Arial" w:cs="Arial"/>
                <w:b/>
                <w:color w:val="000000" w:themeColor="text1"/>
                <w:sz w:val="20"/>
                <w:szCs w:val="20"/>
              </w:rPr>
              <w:t xml:space="preserve"> process (rehearsals, tech, performances)</w:t>
            </w:r>
            <w:r>
              <w:rPr>
                <w:rFonts w:ascii="Arial" w:hAnsi="Arial" w:cs="Arial"/>
                <w:b/>
                <w:color w:val="000000" w:themeColor="text1"/>
                <w:sz w:val="20"/>
                <w:szCs w:val="20"/>
              </w:rPr>
              <w:t xml:space="preserve"> w</w:t>
            </w:r>
            <w:r w:rsidR="00C15D33">
              <w:rPr>
                <w:rFonts w:ascii="Arial" w:hAnsi="Arial" w:cs="Arial"/>
                <w:b/>
                <w:color w:val="000000" w:themeColor="text1"/>
                <w:sz w:val="20"/>
                <w:szCs w:val="20"/>
              </w:rPr>
              <w:t>e began using</w:t>
            </w:r>
            <w:r w:rsidR="0043451B">
              <w:rPr>
                <w:rFonts w:ascii="Arial" w:hAnsi="Arial" w:cs="Arial"/>
                <w:b/>
                <w:color w:val="000000" w:themeColor="text1"/>
                <w:sz w:val="20"/>
                <w:szCs w:val="20"/>
              </w:rPr>
              <w:t xml:space="preserve"> Daily Rehearsal and Performance Reports as a form of assessment to track student behavior in this are</w:t>
            </w:r>
            <w:r w:rsidR="00B92D5A">
              <w:rPr>
                <w:rFonts w:ascii="Arial" w:hAnsi="Arial" w:cs="Arial"/>
                <w:b/>
                <w:color w:val="000000" w:themeColor="text1"/>
                <w:sz w:val="20"/>
                <w:szCs w:val="20"/>
              </w:rPr>
              <w:t xml:space="preserve">a. </w:t>
            </w:r>
            <w:r w:rsidR="00C15D33">
              <w:rPr>
                <w:rFonts w:ascii="Arial" w:hAnsi="Arial" w:cs="Arial"/>
                <w:b/>
                <w:color w:val="000000" w:themeColor="text1"/>
                <w:sz w:val="20"/>
                <w:szCs w:val="20"/>
              </w:rPr>
              <w:t>From this</w:t>
            </w:r>
            <w:r w:rsidR="00046296">
              <w:rPr>
                <w:rFonts w:ascii="Arial" w:hAnsi="Arial" w:cs="Arial"/>
                <w:b/>
                <w:color w:val="000000" w:themeColor="text1"/>
                <w:sz w:val="20"/>
                <w:szCs w:val="20"/>
              </w:rPr>
              <w:t>,</w:t>
            </w:r>
            <w:r w:rsidR="00C15D33">
              <w:rPr>
                <w:rFonts w:ascii="Arial" w:hAnsi="Arial" w:cs="Arial"/>
                <w:b/>
                <w:color w:val="000000" w:themeColor="text1"/>
                <w:sz w:val="20"/>
                <w:szCs w:val="20"/>
              </w:rPr>
              <w:t xml:space="preserve"> </w:t>
            </w:r>
            <w:r w:rsidR="00046296">
              <w:rPr>
                <w:rFonts w:ascii="Arial" w:hAnsi="Arial" w:cs="Arial"/>
                <w:b/>
                <w:color w:val="000000" w:themeColor="text1"/>
                <w:sz w:val="20"/>
                <w:szCs w:val="20"/>
              </w:rPr>
              <w:t xml:space="preserve">for the cast members, </w:t>
            </w:r>
            <w:r w:rsidR="00C15D33">
              <w:rPr>
                <w:rFonts w:ascii="Arial" w:hAnsi="Arial" w:cs="Arial"/>
                <w:b/>
                <w:color w:val="000000" w:themeColor="text1"/>
                <w:sz w:val="20"/>
                <w:szCs w:val="20"/>
              </w:rPr>
              <w:t xml:space="preserve">we developed a policy that allowed for very few </w:t>
            </w:r>
            <w:proofErr w:type="spellStart"/>
            <w:r w:rsidR="00C15D33">
              <w:rPr>
                <w:rFonts w:ascii="Arial" w:hAnsi="Arial" w:cs="Arial"/>
                <w:b/>
                <w:color w:val="000000" w:themeColor="text1"/>
                <w:sz w:val="20"/>
                <w:szCs w:val="20"/>
              </w:rPr>
              <w:t>tard</w:t>
            </w:r>
            <w:r w:rsidR="00046296">
              <w:rPr>
                <w:rFonts w:ascii="Arial" w:hAnsi="Arial" w:cs="Arial"/>
                <w:b/>
                <w:color w:val="000000" w:themeColor="text1"/>
                <w:sz w:val="20"/>
                <w:szCs w:val="20"/>
              </w:rPr>
              <w:t>ies</w:t>
            </w:r>
            <w:proofErr w:type="spellEnd"/>
            <w:r w:rsidR="00046296">
              <w:rPr>
                <w:rFonts w:ascii="Arial" w:hAnsi="Arial" w:cs="Arial"/>
                <w:b/>
                <w:color w:val="000000" w:themeColor="text1"/>
                <w:sz w:val="20"/>
                <w:szCs w:val="20"/>
              </w:rPr>
              <w:t xml:space="preserve"> and abso</w:t>
            </w:r>
            <w:r w:rsidR="00C8479A">
              <w:rPr>
                <w:rFonts w:ascii="Arial" w:hAnsi="Arial" w:cs="Arial"/>
                <w:b/>
                <w:color w:val="000000" w:themeColor="text1"/>
                <w:sz w:val="20"/>
                <w:szCs w:val="20"/>
              </w:rPr>
              <w:t>lutely no absences (beyond the</w:t>
            </w:r>
            <w:r w:rsidR="00046296">
              <w:rPr>
                <w:rFonts w:ascii="Arial" w:hAnsi="Arial" w:cs="Arial"/>
                <w:b/>
                <w:color w:val="000000" w:themeColor="text1"/>
                <w:sz w:val="20"/>
                <w:szCs w:val="20"/>
              </w:rPr>
              <w:t xml:space="preserve"> few approved listed conflicts).</w:t>
            </w:r>
          </w:p>
        </w:tc>
      </w:tr>
      <w:tr w:rsidR="00675A12" w:rsidRPr="00675A12" w14:paraId="3441A1A1" w14:textId="77777777" w:rsidTr="00293124">
        <w:tc>
          <w:tcPr>
            <w:tcW w:w="3708" w:type="dxa"/>
          </w:tcPr>
          <w:p w14:paraId="32F773C9" w14:textId="2648CF84" w:rsidR="00675A12" w:rsidRPr="00443F34" w:rsidRDefault="00675A12" w:rsidP="00443F34">
            <w:pPr>
              <w:autoSpaceDE w:val="0"/>
              <w:autoSpaceDN w:val="0"/>
              <w:adjustRightInd w:val="0"/>
              <w:rPr>
                <w:rFonts w:ascii="Arial" w:hAnsi="Arial" w:cs="Arial"/>
                <w:color w:val="000000"/>
                <w:sz w:val="20"/>
                <w:szCs w:val="20"/>
              </w:rPr>
            </w:pPr>
            <w:r w:rsidRPr="00675A12">
              <w:rPr>
                <w:rFonts w:ascii="Arial" w:hAnsi="Arial" w:cs="Arial"/>
                <w:color w:val="000000"/>
                <w:sz w:val="20"/>
                <w:szCs w:val="20"/>
              </w:rPr>
              <w:lastRenderedPageBreak/>
              <w:t xml:space="preserve">In the self-study and in the review team discussion the department mentioned that tracking graduates and former students is a challenge.  Graduates spoke highly of the department, but there may be feedback from other former students that the department isn’t getting that would be useful for making improvements.   The department is encouraged to explore efforts for increasing its ability to get feedback from a more comprehensive sample of graduates and former students.  Social media may provide one avenue for accomplishing this to a greater extent, but there may be other avenues that could also be explored.  The department should examine some of the new techniques being employed by </w:t>
            </w:r>
            <w:r w:rsidRPr="00675A12">
              <w:rPr>
                <w:rFonts w:ascii="Arial" w:hAnsi="Arial" w:cs="Arial"/>
                <w:color w:val="000000"/>
                <w:sz w:val="20"/>
                <w:szCs w:val="20"/>
              </w:rPr>
              <w:lastRenderedPageBreak/>
              <w:t>Research, Analytics, and Reporting to increase response rates for its graduate surveys.</w:t>
            </w:r>
          </w:p>
        </w:tc>
        <w:tc>
          <w:tcPr>
            <w:tcW w:w="2700" w:type="dxa"/>
          </w:tcPr>
          <w:p w14:paraId="5A21BD89" w14:textId="77777777" w:rsidR="00675A12" w:rsidRPr="00675A12" w:rsidRDefault="00675A12" w:rsidP="00293124">
            <w:pPr>
              <w:pStyle w:val="ListParagraph"/>
              <w:ind w:left="0"/>
              <w:rPr>
                <w:rFonts w:ascii="Arial" w:hAnsi="Arial" w:cs="Arial"/>
                <w:color w:val="000000" w:themeColor="text1"/>
                <w:sz w:val="20"/>
                <w:szCs w:val="20"/>
              </w:rPr>
            </w:pPr>
          </w:p>
          <w:p w14:paraId="5B71109A" w14:textId="77777777" w:rsidR="00675A12" w:rsidRPr="00675A12" w:rsidRDefault="00675A12" w:rsidP="00293124">
            <w:pPr>
              <w:pStyle w:val="ListParagraph"/>
              <w:ind w:left="0"/>
              <w:rPr>
                <w:rFonts w:ascii="Arial" w:hAnsi="Arial" w:cs="Arial"/>
                <w:color w:val="000000" w:themeColor="text1"/>
                <w:sz w:val="20"/>
                <w:szCs w:val="20"/>
              </w:rPr>
            </w:pPr>
            <w:r w:rsidRPr="00675A12">
              <w:rPr>
                <w:rFonts w:ascii="Arial" w:hAnsi="Arial" w:cs="Arial"/>
                <w:color w:val="000000" w:themeColor="text1"/>
                <w:sz w:val="20"/>
                <w:szCs w:val="20"/>
              </w:rPr>
              <w:t xml:space="preserve">In progress </w:t>
            </w:r>
            <w:r w:rsidRPr="00675A12">
              <w:rPr>
                <w:sz w:val="20"/>
                <w:szCs w:val="20"/>
              </w:rPr>
              <w:fldChar w:fldCharType="begin">
                <w:ffData>
                  <w:name w:val=""/>
                  <w:enabled/>
                  <w:calcOnExit w:val="0"/>
                  <w:checkBox>
                    <w:sizeAuto/>
                    <w:default w:val="0"/>
                  </w:checkBox>
                </w:ffData>
              </w:fldChar>
            </w:r>
            <w:r w:rsidRPr="00675A12">
              <w:rPr>
                <w:sz w:val="20"/>
                <w:szCs w:val="20"/>
              </w:rPr>
              <w:instrText xml:space="preserve"> FORMCHECKBOX </w:instrText>
            </w:r>
            <w:r w:rsidR="00D04816">
              <w:rPr>
                <w:sz w:val="20"/>
                <w:szCs w:val="20"/>
              </w:rPr>
            </w:r>
            <w:r w:rsidR="00D04816">
              <w:rPr>
                <w:sz w:val="20"/>
                <w:szCs w:val="20"/>
              </w:rPr>
              <w:fldChar w:fldCharType="separate"/>
            </w:r>
            <w:r w:rsidRPr="00675A12">
              <w:rPr>
                <w:sz w:val="20"/>
                <w:szCs w:val="20"/>
              </w:rPr>
              <w:fldChar w:fldCharType="end"/>
            </w:r>
          </w:p>
          <w:p w14:paraId="1B96CA00" w14:textId="77777777" w:rsidR="00675A12" w:rsidRPr="00675A12" w:rsidRDefault="00675A12" w:rsidP="00293124">
            <w:pPr>
              <w:pStyle w:val="ListParagraph"/>
              <w:ind w:left="0"/>
              <w:rPr>
                <w:rFonts w:ascii="Arial" w:hAnsi="Arial" w:cs="Arial"/>
                <w:color w:val="000000" w:themeColor="text1"/>
                <w:sz w:val="20"/>
                <w:szCs w:val="20"/>
              </w:rPr>
            </w:pPr>
          </w:p>
          <w:p w14:paraId="02D0249E" w14:textId="289AADC0" w:rsidR="00675A12" w:rsidRPr="00675A12" w:rsidRDefault="00675A12" w:rsidP="00293124">
            <w:pPr>
              <w:pStyle w:val="ListParagraph"/>
              <w:ind w:left="0"/>
              <w:rPr>
                <w:rFonts w:ascii="Arial" w:hAnsi="Arial" w:cs="Arial"/>
                <w:color w:val="000000" w:themeColor="text1"/>
                <w:sz w:val="20"/>
                <w:szCs w:val="20"/>
              </w:rPr>
            </w:pPr>
            <w:r w:rsidRPr="00675A12">
              <w:rPr>
                <w:rFonts w:ascii="Arial" w:hAnsi="Arial" w:cs="Arial"/>
                <w:color w:val="000000" w:themeColor="text1"/>
                <w:sz w:val="20"/>
                <w:szCs w:val="20"/>
              </w:rPr>
              <w:t xml:space="preserve">Completed </w:t>
            </w:r>
            <w:r w:rsidR="008606F7">
              <w:rPr>
                <w:sz w:val="20"/>
                <w:szCs w:val="20"/>
              </w:rPr>
              <w:fldChar w:fldCharType="begin">
                <w:ffData>
                  <w:name w:val=""/>
                  <w:enabled/>
                  <w:calcOnExit w:val="0"/>
                  <w:checkBox>
                    <w:sizeAuto/>
                    <w:default w:val="1"/>
                  </w:checkBox>
                </w:ffData>
              </w:fldChar>
            </w:r>
            <w:r w:rsidR="008606F7">
              <w:rPr>
                <w:sz w:val="20"/>
                <w:szCs w:val="20"/>
              </w:rPr>
              <w:instrText xml:space="preserve"> FORMCHECKBOX </w:instrText>
            </w:r>
            <w:r w:rsidR="008606F7">
              <w:rPr>
                <w:sz w:val="20"/>
                <w:szCs w:val="20"/>
              </w:rPr>
            </w:r>
            <w:r w:rsidR="008606F7">
              <w:rPr>
                <w:sz w:val="20"/>
                <w:szCs w:val="20"/>
              </w:rPr>
              <w:fldChar w:fldCharType="end"/>
            </w:r>
          </w:p>
          <w:p w14:paraId="061960DF" w14:textId="77777777" w:rsidR="00675A12" w:rsidRPr="00675A12" w:rsidRDefault="00675A12" w:rsidP="00293124">
            <w:pPr>
              <w:pStyle w:val="ListParagraph"/>
              <w:ind w:left="0"/>
              <w:rPr>
                <w:rFonts w:ascii="Arial" w:hAnsi="Arial" w:cs="Arial"/>
                <w:color w:val="000000" w:themeColor="text1"/>
                <w:sz w:val="20"/>
                <w:szCs w:val="20"/>
              </w:rPr>
            </w:pPr>
          </w:p>
          <w:p w14:paraId="16A60995" w14:textId="1061B6EE" w:rsidR="00675A12" w:rsidRPr="00675A12" w:rsidRDefault="00675A12" w:rsidP="008606F7">
            <w:pPr>
              <w:pStyle w:val="ListParagraph"/>
              <w:ind w:left="0"/>
              <w:rPr>
                <w:rFonts w:ascii="Arial" w:hAnsi="Arial" w:cs="Arial"/>
                <w:color w:val="000000" w:themeColor="text1"/>
                <w:sz w:val="20"/>
                <w:szCs w:val="20"/>
              </w:rPr>
            </w:pPr>
            <w:r w:rsidRPr="00675A12">
              <w:rPr>
                <w:rFonts w:ascii="Arial" w:hAnsi="Arial" w:cs="Arial"/>
                <w:color w:val="000000" w:themeColor="text1"/>
                <w:sz w:val="20"/>
                <w:szCs w:val="20"/>
              </w:rPr>
              <w:t xml:space="preserve">No longer applicable </w:t>
            </w:r>
            <w:r w:rsidR="008606F7">
              <w:rPr>
                <w:sz w:val="20"/>
                <w:szCs w:val="20"/>
              </w:rPr>
              <w:fldChar w:fldCharType="begin">
                <w:ffData>
                  <w:name w:val=""/>
                  <w:enabled/>
                  <w:calcOnExit w:val="0"/>
                  <w:checkBox>
                    <w:sizeAuto/>
                    <w:default w:val="0"/>
                  </w:checkBox>
                </w:ffData>
              </w:fldChar>
            </w:r>
            <w:r w:rsidR="008606F7">
              <w:rPr>
                <w:sz w:val="20"/>
                <w:szCs w:val="20"/>
              </w:rPr>
              <w:instrText xml:space="preserve"> FORMCHECKBOX </w:instrText>
            </w:r>
            <w:r w:rsidR="008606F7">
              <w:rPr>
                <w:sz w:val="20"/>
                <w:szCs w:val="20"/>
              </w:rPr>
            </w:r>
            <w:r w:rsidR="008606F7">
              <w:rPr>
                <w:sz w:val="20"/>
                <w:szCs w:val="20"/>
              </w:rPr>
              <w:fldChar w:fldCharType="end"/>
            </w:r>
          </w:p>
        </w:tc>
        <w:tc>
          <w:tcPr>
            <w:tcW w:w="6480" w:type="dxa"/>
          </w:tcPr>
          <w:p w14:paraId="7ACA56EF" w14:textId="48E5D058" w:rsidR="00675A12" w:rsidRPr="00675A12" w:rsidRDefault="00675A12" w:rsidP="00293124">
            <w:pPr>
              <w:rPr>
                <w:rFonts w:ascii="Arial" w:hAnsi="Arial" w:cs="Arial"/>
                <w:b/>
                <w:color w:val="000000" w:themeColor="text1"/>
                <w:sz w:val="20"/>
                <w:szCs w:val="20"/>
              </w:rPr>
            </w:pPr>
            <w:r w:rsidRPr="00675A12">
              <w:rPr>
                <w:rFonts w:ascii="Arial" w:hAnsi="Arial" w:cs="Arial"/>
                <w:b/>
                <w:color w:val="000000" w:themeColor="text1"/>
                <w:sz w:val="20"/>
                <w:szCs w:val="20"/>
              </w:rPr>
              <w:t>Yes, this is a challenge. But we identified how we have overcome this challenge and thus this is one of our strengths and this recommendation is no</w:t>
            </w:r>
            <w:r w:rsidR="008606F7">
              <w:rPr>
                <w:rFonts w:ascii="Arial" w:hAnsi="Arial" w:cs="Arial"/>
                <w:b/>
                <w:color w:val="000000" w:themeColor="text1"/>
                <w:sz w:val="20"/>
                <w:szCs w:val="20"/>
              </w:rPr>
              <w:t>t</w:t>
            </w:r>
            <w:r w:rsidRPr="00675A12">
              <w:rPr>
                <w:rFonts w:ascii="Arial" w:hAnsi="Arial" w:cs="Arial"/>
                <w:b/>
                <w:color w:val="000000" w:themeColor="text1"/>
                <w:sz w:val="20"/>
                <w:szCs w:val="20"/>
              </w:rPr>
              <w:t xml:space="preserve"> applicable. The Sinclair survey that is sent to graduates just does not seem to reach our students. So we already employ social media and we simply stay in touch with former students, constantly asking them for feedback and often bringing them back to talk to current students about their post-Sinclair experiences (both transfer to 4year universities and employment). In our program review we had 26pages of feedback from former students (22 students represented) and 7pages that listed the employment and transfer information of former students. Of course there is feedback and information from former students that we are not getting, but what we are getting is significant. </w:t>
            </w:r>
          </w:p>
          <w:p w14:paraId="3F75FA29" w14:textId="77777777" w:rsidR="00675A12" w:rsidRPr="00675A12" w:rsidRDefault="00675A12" w:rsidP="00293124">
            <w:pPr>
              <w:rPr>
                <w:rFonts w:ascii="Arial" w:hAnsi="Arial" w:cs="Arial"/>
                <w:b/>
                <w:color w:val="000000" w:themeColor="text1"/>
                <w:sz w:val="20"/>
                <w:szCs w:val="20"/>
              </w:rPr>
            </w:pPr>
          </w:p>
          <w:p w14:paraId="2C0AC559" w14:textId="77777777" w:rsidR="00675A12" w:rsidRPr="00675A12" w:rsidRDefault="00675A12" w:rsidP="00293124">
            <w:pPr>
              <w:rPr>
                <w:rFonts w:ascii="Arial" w:hAnsi="Arial" w:cs="Arial"/>
                <w:b/>
                <w:color w:val="000000" w:themeColor="text1"/>
                <w:sz w:val="20"/>
                <w:szCs w:val="20"/>
              </w:rPr>
            </w:pPr>
          </w:p>
        </w:tc>
      </w:tr>
      <w:tr w:rsidR="00675A12" w:rsidRPr="00675A12" w14:paraId="64A6EA4C" w14:textId="77777777" w:rsidTr="00293124">
        <w:tc>
          <w:tcPr>
            <w:tcW w:w="3708" w:type="dxa"/>
          </w:tcPr>
          <w:p w14:paraId="0B1A9074" w14:textId="6E1E950C" w:rsidR="00675A12" w:rsidRPr="00443F34" w:rsidRDefault="00675A12" w:rsidP="00443F34">
            <w:pPr>
              <w:autoSpaceDE w:val="0"/>
              <w:autoSpaceDN w:val="0"/>
              <w:adjustRightInd w:val="0"/>
              <w:rPr>
                <w:rFonts w:ascii="Arial" w:hAnsi="Arial" w:cs="Arial"/>
                <w:color w:val="000000"/>
                <w:sz w:val="20"/>
                <w:szCs w:val="20"/>
              </w:rPr>
            </w:pPr>
            <w:r w:rsidRPr="00675A12">
              <w:rPr>
                <w:rFonts w:ascii="Arial" w:hAnsi="Arial" w:cs="Arial"/>
                <w:color w:val="000000"/>
                <w:sz w:val="20"/>
                <w:szCs w:val="20"/>
              </w:rPr>
              <w:lastRenderedPageBreak/>
              <w:t>The previous Program Review included recommendations to track outside work of students both while at Sinclair and after they graduate.  It is recommended that the department explore ways to better capture what productions outside of Sinclair their students are involved in while in the program and what productions they are involved with once they leave Sinclair.</w:t>
            </w:r>
          </w:p>
        </w:tc>
        <w:tc>
          <w:tcPr>
            <w:tcW w:w="2700" w:type="dxa"/>
          </w:tcPr>
          <w:p w14:paraId="15247C19" w14:textId="77777777" w:rsidR="00675A12" w:rsidRPr="00675A12" w:rsidRDefault="00675A12" w:rsidP="00293124">
            <w:pPr>
              <w:rPr>
                <w:rFonts w:ascii="Arial" w:hAnsi="Arial" w:cs="Arial"/>
                <w:color w:val="000000" w:themeColor="text1"/>
                <w:sz w:val="20"/>
                <w:szCs w:val="20"/>
              </w:rPr>
            </w:pPr>
          </w:p>
          <w:p w14:paraId="33B98946" w14:textId="77777777" w:rsidR="00675A12" w:rsidRPr="00675A12" w:rsidRDefault="00675A12" w:rsidP="00293124">
            <w:pPr>
              <w:rPr>
                <w:rFonts w:ascii="Arial" w:hAnsi="Arial" w:cs="Arial"/>
                <w:color w:val="000000" w:themeColor="text1"/>
                <w:sz w:val="20"/>
                <w:szCs w:val="20"/>
              </w:rPr>
            </w:pPr>
            <w:r w:rsidRPr="00675A12">
              <w:rPr>
                <w:rFonts w:ascii="Arial" w:hAnsi="Arial" w:cs="Arial"/>
                <w:color w:val="000000" w:themeColor="text1"/>
                <w:sz w:val="20"/>
                <w:szCs w:val="20"/>
              </w:rPr>
              <w:t xml:space="preserve">In progress </w:t>
            </w:r>
            <w:r w:rsidRPr="00675A12">
              <w:rPr>
                <w:sz w:val="20"/>
                <w:szCs w:val="20"/>
              </w:rPr>
              <w:fldChar w:fldCharType="begin">
                <w:ffData>
                  <w:name w:val=""/>
                  <w:enabled/>
                  <w:calcOnExit w:val="0"/>
                  <w:checkBox>
                    <w:sizeAuto/>
                    <w:default w:val="0"/>
                  </w:checkBox>
                </w:ffData>
              </w:fldChar>
            </w:r>
            <w:r w:rsidRPr="00675A12">
              <w:rPr>
                <w:sz w:val="20"/>
                <w:szCs w:val="20"/>
              </w:rPr>
              <w:instrText xml:space="preserve"> FORMCHECKBOX </w:instrText>
            </w:r>
            <w:r w:rsidR="00D04816">
              <w:rPr>
                <w:sz w:val="20"/>
                <w:szCs w:val="20"/>
              </w:rPr>
            </w:r>
            <w:r w:rsidR="00D04816">
              <w:rPr>
                <w:sz w:val="20"/>
                <w:szCs w:val="20"/>
              </w:rPr>
              <w:fldChar w:fldCharType="separate"/>
            </w:r>
            <w:r w:rsidRPr="00675A12">
              <w:rPr>
                <w:sz w:val="20"/>
                <w:szCs w:val="20"/>
              </w:rPr>
              <w:fldChar w:fldCharType="end"/>
            </w:r>
          </w:p>
          <w:p w14:paraId="6FD41320" w14:textId="77777777" w:rsidR="00675A12" w:rsidRPr="00675A12" w:rsidRDefault="00675A12" w:rsidP="00293124">
            <w:pPr>
              <w:pStyle w:val="ListParagraph"/>
              <w:ind w:left="0"/>
              <w:rPr>
                <w:rFonts w:ascii="Arial" w:hAnsi="Arial" w:cs="Arial"/>
                <w:color w:val="000000" w:themeColor="text1"/>
                <w:sz w:val="20"/>
                <w:szCs w:val="20"/>
              </w:rPr>
            </w:pPr>
          </w:p>
          <w:p w14:paraId="35EEA484" w14:textId="01B1CA6A" w:rsidR="00675A12" w:rsidRPr="00675A12" w:rsidRDefault="00675A12" w:rsidP="00293124">
            <w:pPr>
              <w:pStyle w:val="ListParagraph"/>
              <w:ind w:left="0"/>
              <w:rPr>
                <w:rFonts w:ascii="Arial" w:hAnsi="Arial" w:cs="Arial"/>
                <w:color w:val="000000" w:themeColor="text1"/>
                <w:sz w:val="20"/>
                <w:szCs w:val="20"/>
              </w:rPr>
            </w:pPr>
            <w:r w:rsidRPr="00675A12">
              <w:rPr>
                <w:rFonts w:ascii="Arial" w:hAnsi="Arial" w:cs="Arial"/>
                <w:color w:val="000000" w:themeColor="text1"/>
                <w:sz w:val="20"/>
                <w:szCs w:val="20"/>
              </w:rPr>
              <w:t xml:space="preserve">Completed </w:t>
            </w:r>
            <w:r w:rsidR="008606F7">
              <w:rPr>
                <w:sz w:val="20"/>
                <w:szCs w:val="20"/>
              </w:rPr>
              <w:fldChar w:fldCharType="begin">
                <w:ffData>
                  <w:name w:val=""/>
                  <w:enabled/>
                  <w:calcOnExit w:val="0"/>
                  <w:checkBox>
                    <w:sizeAuto/>
                    <w:default w:val="1"/>
                  </w:checkBox>
                </w:ffData>
              </w:fldChar>
            </w:r>
            <w:r w:rsidR="008606F7">
              <w:rPr>
                <w:sz w:val="20"/>
                <w:szCs w:val="20"/>
              </w:rPr>
              <w:instrText xml:space="preserve"> FORMCHECKBOX </w:instrText>
            </w:r>
            <w:r w:rsidR="008606F7">
              <w:rPr>
                <w:sz w:val="20"/>
                <w:szCs w:val="20"/>
              </w:rPr>
            </w:r>
            <w:r w:rsidR="008606F7">
              <w:rPr>
                <w:sz w:val="20"/>
                <w:szCs w:val="20"/>
              </w:rPr>
              <w:fldChar w:fldCharType="end"/>
            </w:r>
          </w:p>
          <w:p w14:paraId="1F2A3964" w14:textId="77777777" w:rsidR="00675A12" w:rsidRPr="00675A12" w:rsidRDefault="00675A12" w:rsidP="00293124">
            <w:pPr>
              <w:pStyle w:val="ListParagraph"/>
              <w:ind w:left="0"/>
              <w:rPr>
                <w:rFonts w:ascii="Arial" w:hAnsi="Arial" w:cs="Arial"/>
                <w:color w:val="000000" w:themeColor="text1"/>
                <w:sz w:val="20"/>
                <w:szCs w:val="20"/>
              </w:rPr>
            </w:pPr>
          </w:p>
          <w:p w14:paraId="31E87836" w14:textId="7953D92F" w:rsidR="00675A12" w:rsidRPr="00675A12" w:rsidRDefault="00675A12" w:rsidP="008606F7">
            <w:pPr>
              <w:pStyle w:val="ListParagraph"/>
              <w:ind w:left="0"/>
              <w:rPr>
                <w:rFonts w:ascii="Arial" w:hAnsi="Arial" w:cs="Arial"/>
                <w:color w:val="000000" w:themeColor="text1"/>
                <w:sz w:val="20"/>
                <w:szCs w:val="20"/>
              </w:rPr>
            </w:pPr>
            <w:r w:rsidRPr="00675A12">
              <w:rPr>
                <w:rFonts w:ascii="Arial" w:hAnsi="Arial" w:cs="Arial"/>
                <w:color w:val="000000" w:themeColor="text1"/>
                <w:sz w:val="20"/>
                <w:szCs w:val="20"/>
              </w:rPr>
              <w:t xml:space="preserve">No longer applicable </w:t>
            </w:r>
            <w:r w:rsidR="008606F7">
              <w:rPr>
                <w:sz w:val="20"/>
                <w:szCs w:val="20"/>
              </w:rPr>
              <w:fldChar w:fldCharType="begin">
                <w:ffData>
                  <w:name w:val=""/>
                  <w:enabled/>
                  <w:calcOnExit w:val="0"/>
                  <w:checkBox>
                    <w:sizeAuto/>
                    <w:default w:val="0"/>
                  </w:checkBox>
                </w:ffData>
              </w:fldChar>
            </w:r>
            <w:r w:rsidR="008606F7">
              <w:rPr>
                <w:sz w:val="20"/>
                <w:szCs w:val="20"/>
              </w:rPr>
              <w:instrText xml:space="preserve"> FORMCHECKBOX </w:instrText>
            </w:r>
            <w:r w:rsidR="008606F7">
              <w:rPr>
                <w:sz w:val="20"/>
                <w:szCs w:val="20"/>
              </w:rPr>
            </w:r>
            <w:r w:rsidR="008606F7">
              <w:rPr>
                <w:sz w:val="20"/>
                <w:szCs w:val="20"/>
              </w:rPr>
              <w:fldChar w:fldCharType="end"/>
            </w:r>
          </w:p>
        </w:tc>
        <w:tc>
          <w:tcPr>
            <w:tcW w:w="6480" w:type="dxa"/>
          </w:tcPr>
          <w:p w14:paraId="3E588303" w14:textId="3BFAD630" w:rsidR="00675A12" w:rsidRPr="00675A12" w:rsidRDefault="00675A12" w:rsidP="008606F7">
            <w:pPr>
              <w:rPr>
                <w:sz w:val="20"/>
                <w:szCs w:val="20"/>
              </w:rPr>
            </w:pPr>
            <w:r w:rsidRPr="00675A12">
              <w:rPr>
                <w:rFonts w:ascii="Arial" w:hAnsi="Arial" w:cs="Arial"/>
                <w:b/>
                <w:color w:val="000000" w:themeColor="text1"/>
                <w:sz w:val="20"/>
                <w:szCs w:val="20"/>
              </w:rPr>
              <w:t xml:space="preserve">This </w:t>
            </w:r>
            <w:r w:rsidR="008606F7">
              <w:rPr>
                <w:rFonts w:ascii="Arial" w:hAnsi="Arial" w:cs="Arial"/>
                <w:b/>
                <w:color w:val="000000" w:themeColor="text1"/>
                <w:sz w:val="20"/>
                <w:szCs w:val="20"/>
              </w:rPr>
              <w:t>was for a previous Program Review, it is not relevant to this Program Review, as clearly evidenced by the student work, outside of Sinclair, that was listed with the Program Review. And both the above and below recommendations address this same issue.</w:t>
            </w:r>
          </w:p>
        </w:tc>
      </w:tr>
      <w:tr w:rsidR="00675A12" w:rsidRPr="00675A12" w14:paraId="20ED98D3" w14:textId="77777777" w:rsidTr="00293124">
        <w:tc>
          <w:tcPr>
            <w:tcW w:w="3708" w:type="dxa"/>
          </w:tcPr>
          <w:p w14:paraId="72774823" w14:textId="77777777" w:rsidR="00675A12" w:rsidRPr="00675A12" w:rsidRDefault="00675A12" w:rsidP="00293124">
            <w:pPr>
              <w:rPr>
                <w:rFonts w:ascii="Arial" w:hAnsi="Arial" w:cs="Arial"/>
                <w:sz w:val="20"/>
                <w:szCs w:val="20"/>
              </w:rPr>
            </w:pPr>
            <w:r w:rsidRPr="00675A12">
              <w:rPr>
                <w:rFonts w:ascii="Arial" w:hAnsi="Arial" w:cs="Arial"/>
                <w:color w:val="000000"/>
                <w:sz w:val="20"/>
                <w:szCs w:val="20"/>
              </w:rPr>
              <w:t>Similarly, the successes of Sinclair graduates once they leave the program should be more widely disseminated to the public.  Where appropriate - and with permission - highlighting the successes of former students in promotional materials may be an effective means of doing this.</w:t>
            </w:r>
          </w:p>
          <w:p w14:paraId="65176172" w14:textId="77777777" w:rsidR="00675A12" w:rsidRPr="00675A12" w:rsidRDefault="00675A12" w:rsidP="00293124">
            <w:pPr>
              <w:pStyle w:val="ListParagraph"/>
              <w:ind w:left="0"/>
              <w:rPr>
                <w:rFonts w:ascii="Arial" w:hAnsi="Arial" w:cs="Arial"/>
                <w:color w:val="000000" w:themeColor="text1"/>
                <w:sz w:val="20"/>
                <w:szCs w:val="20"/>
              </w:rPr>
            </w:pPr>
          </w:p>
        </w:tc>
        <w:tc>
          <w:tcPr>
            <w:tcW w:w="2700" w:type="dxa"/>
          </w:tcPr>
          <w:p w14:paraId="4D0240A2" w14:textId="77777777" w:rsidR="00675A12" w:rsidRPr="00675A12" w:rsidRDefault="00675A12" w:rsidP="00293124">
            <w:pPr>
              <w:pStyle w:val="ListParagraph"/>
              <w:ind w:left="0"/>
              <w:rPr>
                <w:rFonts w:ascii="Arial" w:hAnsi="Arial" w:cs="Arial"/>
                <w:color w:val="000000" w:themeColor="text1"/>
                <w:sz w:val="20"/>
                <w:szCs w:val="20"/>
              </w:rPr>
            </w:pPr>
          </w:p>
          <w:p w14:paraId="6A76681B" w14:textId="77777777" w:rsidR="00675A12" w:rsidRPr="00675A12" w:rsidRDefault="00675A12" w:rsidP="00293124">
            <w:pPr>
              <w:pStyle w:val="ListParagraph"/>
              <w:ind w:left="0"/>
              <w:rPr>
                <w:rFonts w:ascii="Arial" w:hAnsi="Arial" w:cs="Arial"/>
                <w:color w:val="000000" w:themeColor="text1"/>
                <w:sz w:val="20"/>
                <w:szCs w:val="20"/>
              </w:rPr>
            </w:pPr>
            <w:r w:rsidRPr="00675A12">
              <w:rPr>
                <w:rFonts w:ascii="Arial" w:hAnsi="Arial" w:cs="Arial"/>
                <w:color w:val="000000" w:themeColor="text1"/>
                <w:sz w:val="20"/>
                <w:szCs w:val="20"/>
              </w:rPr>
              <w:t xml:space="preserve">In progress </w:t>
            </w:r>
            <w:r w:rsidRPr="00675A12">
              <w:rPr>
                <w:sz w:val="20"/>
                <w:szCs w:val="20"/>
              </w:rPr>
              <w:fldChar w:fldCharType="begin">
                <w:ffData>
                  <w:name w:val=""/>
                  <w:enabled/>
                  <w:calcOnExit w:val="0"/>
                  <w:checkBox>
                    <w:sizeAuto/>
                    <w:default w:val="0"/>
                  </w:checkBox>
                </w:ffData>
              </w:fldChar>
            </w:r>
            <w:r w:rsidRPr="00675A12">
              <w:rPr>
                <w:sz w:val="20"/>
                <w:szCs w:val="20"/>
              </w:rPr>
              <w:instrText xml:space="preserve"> FORMCHECKBOX </w:instrText>
            </w:r>
            <w:r w:rsidR="00D04816">
              <w:rPr>
                <w:sz w:val="20"/>
                <w:szCs w:val="20"/>
              </w:rPr>
            </w:r>
            <w:r w:rsidR="00D04816">
              <w:rPr>
                <w:sz w:val="20"/>
                <w:szCs w:val="20"/>
              </w:rPr>
              <w:fldChar w:fldCharType="separate"/>
            </w:r>
            <w:r w:rsidRPr="00675A12">
              <w:rPr>
                <w:sz w:val="20"/>
                <w:szCs w:val="20"/>
              </w:rPr>
              <w:fldChar w:fldCharType="end"/>
            </w:r>
          </w:p>
          <w:p w14:paraId="5B84CB2B" w14:textId="77777777" w:rsidR="00675A12" w:rsidRPr="00675A12" w:rsidRDefault="00675A12" w:rsidP="00293124">
            <w:pPr>
              <w:pStyle w:val="ListParagraph"/>
              <w:ind w:left="0"/>
              <w:rPr>
                <w:rFonts w:ascii="Arial" w:hAnsi="Arial" w:cs="Arial"/>
                <w:color w:val="000000" w:themeColor="text1"/>
                <w:sz w:val="20"/>
                <w:szCs w:val="20"/>
              </w:rPr>
            </w:pPr>
          </w:p>
          <w:p w14:paraId="10731806" w14:textId="77777777" w:rsidR="00675A12" w:rsidRPr="00675A12" w:rsidRDefault="00675A12" w:rsidP="00293124">
            <w:pPr>
              <w:pStyle w:val="ListParagraph"/>
              <w:ind w:left="0"/>
              <w:rPr>
                <w:rFonts w:ascii="Arial" w:hAnsi="Arial" w:cs="Arial"/>
                <w:color w:val="000000" w:themeColor="text1"/>
                <w:sz w:val="20"/>
                <w:szCs w:val="20"/>
              </w:rPr>
            </w:pPr>
            <w:r w:rsidRPr="00675A12">
              <w:rPr>
                <w:rFonts w:ascii="Arial" w:hAnsi="Arial" w:cs="Arial"/>
                <w:color w:val="000000" w:themeColor="text1"/>
                <w:sz w:val="20"/>
                <w:szCs w:val="20"/>
              </w:rPr>
              <w:t xml:space="preserve">Completed </w:t>
            </w:r>
            <w:r w:rsidRPr="00675A12">
              <w:rPr>
                <w:sz w:val="20"/>
                <w:szCs w:val="20"/>
              </w:rPr>
              <w:fldChar w:fldCharType="begin">
                <w:ffData>
                  <w:name w:val=""/>
                  <w:enabled/>
                  <w:calcOnExit w:val="0"/>
                  <w:checkBox>
                    <w:sizeAuto/>
                    <w:default w:val="1"/>
                  </w:checkBox>
                </w:ffData>
              </w:fldChar>
            </w:r>
            <w:r w:rsidRPr="00675A12">
              <w:rPr>
                <w:sz w:val="20"/>
                <w:szCs w:val="20"/>
              </w:rPr>
              <w:instrText xml:space="preserve"> FORMCHECKBOX </w:instrText>
            </w:r>
            <w:r w:rsidR="00D04816">
              <w:rPr>
                <w:sz w:val="20"/>
                <w:szCs w:val="20"/>
              </w:rPr>
            </w:r>
            <w:r w:rsidR="00D04816">
              <w:rPr>
                <w:sz w:val="20"/>
                <w:szCs w:val="20"/>
              </w:rPr>
              <w:fldChar w:fldCharType="separate"/>
            </w:r>
            <w:r w:rsidRPr="00675A12">
              <w:rPr>
                <w:sz w:val="20"/>
                <w:szCs w:val="20"/>
              </w:rPr>
              <w:fldChar w:fldCharType="end"/>
            </w:r>
          </w:p>
          <w:p w14:paraId="2A6D6B22" w14:textId="77777777" w:rsidR="00675A12" w:rsidRPr="00675A12" w:rsidRDefault="00675A12" w:rsidP="00293124">
            <w:pPr>
              <w:pStyle w:val="ListParagraph"/>
              <w:ind w:left="0"/>
              <w:rPr>
                <w:rFonts w:ascii="Arial" w:hAnsi="Arial" w:cs="Arial"/>
                <w:color w:val="000000" w:themeColor="text1"/>
                <w:sz w:val="20"/>
                <w:szCs w:val="20"/>
              </w:rPr>
            </w:pPr>
          </w:p>
          <w:p w14:paraId="42B3BFBC" w14:textId="77777777" w:rsidR="00675A12" w:rsidRPr="00675A12" w:rsidRDefault="00675A12" w:rsidP="00293124">
            <w:pPr>
              <w:pStyle w:val="ListParagraph"/>
              <w:ind w:left="0"/>
              <w:rPr>
                <w:rFonts w:ascii="Arial" w:hAnsi="Arial" w:cs="Arial"/>
                <w:color w:val="000000" w:themeColor="text1"/>
                <w:sz w:val="20"/>
                <w:szCs w:val="20"/>
              </w:rPr>
            </w:pPr>
            <w:r w:rsidRPr="00675A12">
              <w:rPr>
                <w:rFonts w:ascii="Arial" w:hAnsi="Arial" w:cs="Arial"/>
                <w:color w:val="000000" w:themeColor="text1"/>
                <w:sz w:val="20"/>
                <w:szCs w:val="20"/>
              </w:rPr>
              <w:t xml:space="preserve">No longer applicable </w:t>
            </w:r>
            <w:r w:rsidRPr="00675A12">
              <w:rPr>
                <w:sz w:val="20"/>
                <w:szCs w:val="20"/>
              </w:rPr>
              <w:fldChar w:fldCharType="begin">
                <w:ffData>
                  <w:name w:val="Check1"/>
                  <w:enabled/>
                  <w:calcOnExit w:val="0"/>
                  <w:checkBox>
                    <w:sizeAuto/>
                    <w:default w:val="0"/>
                  </w:checkBox>
                </w:ffData>
              </w:fldChar>
            </w:r>
            <w:r w:rsidRPr="00675A12">
              <w:rPr>
                <w:sz w:val="20"/>
                <w:szCs w:val="20"/>
              </w:rPr>
              <w:instrText xml:space="preserve"> FORMCHECKBOX </w:instrText>
            </w:r>
            <w:r w:rsidR="00D04816">
              <w:rPr>
                <w:sz w:val="20"/>
                <w:szCs w:val="20"/>
              </w:rPr>
            </w:r>
            <w:r w:rsidR="00D04816">
              <w:rPr>
                <w:sz w:val="20"/>
                <w:szCs w:val="20"/>
              </w:rPr>
              <w:fldChar w:fldCharType="separate"/>
            </w:r>
            <w:r w:rsidRPr="00675A12">
              <w:rPr>
                <w:sz w:val="20"/>
                <w:szCs w:val="20"/>
              </w:rPr>
              <w:fldChar w:fldCharType="end"/>
            </w:r>
          </w:p>
        </w:tc>
        <w:tc>
          <w:tcPr>
            <w:tcW w:w="6480" w:type="dxa"/>
          </w:tcPr>
          <w:p w14:paraId="04CF549C" w14:textId="68F56C8D" w:rsidR="00675A12" w:rsidRPr="00675A12" w:rsidRDefault="00675A12" w:rsidP="00293124">
            <w:pPr>
              <w:rPr>
                <w:sz w:val="20"/>
                <w:szCs w:val="20"/>
              </w:rPr>
            </w:pPr>
            <w:r w:rsidRPr="00675A12">
              <w:rPr>
                <w:rFonts w:ascii="Arial" w:hAnsi="Arial" w:cs="Arial"/>
                <w:b/>
                <w:color w:val="000000" w:themeColor="text1"/>
                <w:sz w:val="20"/>
                <w:szCs w:val="20"/>
              </w:rPr>
              <w:t>This is complete, and in place to continue and grow, thanks mostly to our Marketing Specialist, Patti Celek. This is something we have always done,</w:t>
            </w:r>
            <w:r w:rsidR="008606F7">
              <w:rPr>
                <w:rFonts w:ascii="Arial" w:hAnsi="Arial" w:cs="Arial"/>
                <w:b/>
                <w:color w:val="000000" w:themeColor="text1"/>
                <w:sz w:val="20"/>
                <w:szCs w:val="20"/>
              </w:rPr>
              <w:t xml:space="preserve"> and most recently, this has</w:t>
            </w:r>
            <w:r w:rsidRPr="00675A12">
              <w:rPr>
                <w:rFonts w:ascii="Arial" w:hAnsi="Arial" w:cs="Arial"/>
                <w:b/>
                <w:color w:val="000000" w:themeColor="text1"/>
                <w:sz w:val="20"/>
                <w:szCs w:val="20"/>
              </w:rPr>
              <w:t xml:space="preserve"> been accomplished through: Sinclair Foundation brochures that highlight former students, The Vintage Affair, </w:t>
            </w:r>
            <w:r w:rsidR="008606F7">
              <w:rPr>
                <w:rFonts w:ascii="Arial" w:hAnsi="Arial" w:cs="Arial"/>
                <w:b/>
                <w:color w:val="000000" w:themeColor="text1"/>
                <w:sz w:val="20"/>
                <w:szCs w:val="20"/>
              </w:rPr>
              <w:t xml:space="preserve">The State of the College, </w:t>
            </w:r>
            <w:r w:rsidRPr="00675A12">
              <w:rPr>
                <w:rFonts w:ascii="Arial" w:hAnsi="Arial" w:cs="Arial"/>
                <w:b/>
                <w:color w:val="000000" w:themeColor="text1"/>
                <w:sz w:val="20"/>
                <w:szCs w:val="20"/>
              </w:rPr>
              <w:t xml:space="preserve">constant press releases, theatre production programs from other theatres where Sinclair is mentioned by current and former students, involvement with the </w:t>
            </w:r>
            <w:proofErr w:type="spellStart"/>
            <w:r w:rsidRPr="00675A12">
              <w:rPr>
                <w:rFonts w:ascii="Arial" w:hAnsi="Arial" w:cs="Arial"/>
                <w:b/>
                <w:color w:val="000000" w:themeColor="text1"/>
                <w:sz w:val="20"/>
                <w:szCs w:val="20"/>
              </w:rPr>
              <w:t>DayTony</w:t>
            </w:r>
            <w:proofErr w:type="spellEnd"/>
            <w:r w:rsidRPr="00675A12">
              <w:rPr>
                <w:rFonts w:ascii="Arial" w:hAnsi="Arial" w:cs="Arial"/>
                <w:b/>
                <w:color w:val="000000" w:themeColor="text1"/>
                <w:sz w:val="20"/>
                <w:szCs w:val="20"/>
              </w:rPr>
              <w:t xml:space="preserve"> organization where our students have won awards that are published through several media venues, our presence on Facebook and YouTube also disseminates this information, etc…</w:t>
            </w:r>
          </w:p>
        </w:tc>
      </w:tr>
      <w:tr w:rsidR="00675A12" w:rsidRPr="00675A12" w14:paraId="1D56B55A" w14:textId="77777777" w:rsidTr="00293124">
        <w:tc>
          <w:tcPr>
            <w:tcW w:w="3708" w:type="dxa"/>
          </w:tcPr>
          <w:p w14:paraId="560C9A50" w14:textId="77777777" w:rsidR="00675A12" w:rsidRPr="00675A12" w:rsidRDefault="00675A12" w:rsidP="00293124">
            <w:pPr>
              <w:autoSpaceDE w:val="0"/>
              <w:autoSpaceDN w:val="0"/>
              <w:adjustRightInd w:val="0"/>
              <w:rPr>
                <w:rFonts w:ascii="Arial" w:hAnsi="Arial" w:cs="Arial"/>
                <w:color w:val="000000"/>
                <w:sz w:val="20"/>
                <w:szCs w:val="20"/>
              </w:rPr>
            </w:pPr>
            <w:r w:rsidRPr="00675A12">
              <w:rPr>
                <w:rFonts w:ascii="Arial" w:hAnsi="Arial" w:cs="Arial"/>
                <w:color w:val="000000"/>
                <w:sz w:val="20"/>
                <w:szCs w:val="20"/>
              </w:rPr>
              <w:t xml:space="preserve">The department needs to ensure that its resources are not overextended – in terms of the number of productions the department tackles every year, in terms of the level of engagement with the students, or in terms of follow-up with graduates and former students, the department should work to maintain the delicate balance between meeting the needs of a high-quality program and spreading its resources too thin. </w:t>
            </w:r>
          </w:p>
          <w:p w14:paraId="3C88C9BA" w14:textId="77777777" w:rsidR="00675A12" w:rsidRPr="00675A12" w:rsidRDefault="00675A12" w:rsidP="00293124">
            <w:pPr>
              <w:rPr>
                <w:rFonts w:ascii="Arial" w:hAnsi="Arial" w:cs="Arial"/>
                <w:sz w:val="20"/>
                <w:szCs w:val="20"/>
              </w:rPr>
            </w:pPr>
          </w:p>
        </w:tc>
        <w:tc>
          <w:tcPr>
            <w:tcW w:w="2700" w:type="dxa"/>
          </w:tcPr>
          <w:p w14:paraId="66AFB62A" w14:textId="77777777" w:rsidR="00675A12" w:rsidRPr="00675A12" w:rsidRDefault="00675A12" w:rsidP="00293124">
            <w:pPr>
              <w:pStyle w:val="ListParagraph"/>
              <w:ind w:left="0"/>
              <w:rPr>
                <w:rFonts w:ascii="Arial" w:hAnsi="Arial" w:cs="Arial"/>
                <w:color w:val="000000" w:themeColor="text1"/>
                <w:sz w:val="20"/>
                <w:szCs w:val="20"/>
              </w:rPr>
            </w:pPr>
          </w:p>
          <w:p w14:paraId="7DEC620A" w14:textId="77777777" w:rsidR="00675A12" w:rsidRPr="00675A12" w:rsidRDefault="00675A12" w:rsidP="00293124">
            <w:pPr>
              <w:pStyle w:val="ListParagraph"/>
              <w:ind w:left="0"/>
              <w:rPr>
                <w:rFonts w:ascii="Arial" w:hAnsi="Arial" w:cs="Arial"/>
                <w:color w:val="000000" w:themeColor="text1"/>
                <w:sz w:val="20"/>
                <w:szCs w:val="20"/>
              </w:rPr>
            </w:pPr>
            <w:r w:rsidRPr="00675A12">
              <w:rPr>
                <w:rFonts w:ascii="Arial" w:hAnsi="Arial" w:cs="Arial"/>
                <w:color w:val="000000" w:themeColor="text1"/>
                <w:sz w:val="20"/>
                <w:szCs w:val="20"/>
              </w:rPr>
              <w:t xml:space="preserve">In progress </w:t>
            </w:r>
            <w:r w:rsidRPr="00675A12">
              <w:rPr>
                <w:sz w:val="20"/>
                <w:szCs w:val="20"/>
              </w:rPr>
              <w:fldChar w:fldCharType="begin">
                <w:ffData>
                  <w:name w:val=""/>
                  <w:enabled/>
                  <w:calcOnExit w:val="0"/>
                  <w:checkBox>
                    <w:sizeAuto/>
                    <w:default w:val="0"/>
                  </w:checkBox>
                </w:ffData>
              </w:fldChar>
            </w:r>
            <w:r w:rsidRPr="00675A12">
              <w:rPr>
                <w:sz w:val="20"/>
                <w:szCs w:val="20"/>
              </w:rPr>
              <w:instrText xml:space="preserve"> FORMCHECKBOX </w:instrText>
            </w:r>
            <w:r w:rsidR="00D04816">
              <w:rPr>
                <w:sz w:val="20"/>
                <w:szCs w:val="20"/>
              </w:rPr>
            </w:r>
            <w:r w:rsidR="00D04816">
              <w:rPr>
                <w:sz w:val="20"/>
                <w:szCs w:val="20"/>
              </w:rPr>
              <w:fldChar w:fldCharType="separate"/>
            </w:r>
            <w:r w:rsidRPr="00675A12">
              <w:rPr>
                <w:sz w:val="20"/>
                <w:szCs w:val="20"/>
              </w:rPr>
              <w:fldChar w:fldCharType="end"/>
            </w:r>
          </w:p>
          <w:p w14:paraId="707A1257" w14:textId="77777777" w:rsidR="00675A12" w:rsidRPr="00675A12" w:rsidRDefault="00675A12" w:rsidP="00293124">
            <w:pPr>
              <w:pStyle w:val="ListParagraph"/>
              <w:ind w:left="0"/>
              <w:rPr>
                <w:rFonts w:ascii="Arial" w:hAnsi="Arial" w:cs="Arial"/>
                <w:color w:val="000000" w:themeColor="text1"/>
                <w:sz w:val="20"/>
                <w:szCs w:val="20"/>
              </w:rPr>
            </w:pPr>
          </w:p>
          <w:p w14:paraId="161E856D" w14:textId="13D0F027" w:rsidR="00675A12" w:rsidRPr="00675A12" w:rsidRDefault="00675A12" w:rsidP="00293124">
            <w:pPr>
              <w:pStyle w:val="ListParagraph"/>
              <w:ind w:left="0"/>
              <w:rPr>
                <w:rFonts w:ascii="Arial" w:hAnsi="Arial" w:cs="Arial"/>
                <w:color w:val="000000" w:themeColor="text1"/>
                <w:sz w:val="20"/>
                <w:szCs w:val="20"/>
              </w:rPr>
            </w:pPr>
            <w:r w:rsidRPr="00675A12">
              <w:rPr>
                <w:rFonts w:ascii="Arial" w:hAnsi="Arial" w:cs="Arial"/>
                <w:color w:val="000000" w:themeColor="text1"/>
                <w:sz w:val="20"/>
                <w:szCs w:val="20"/>
              </w:rPr>
              <w:t xml:space="preserve">Completed </w:t>
            </w:r>
            <w:r w:rsidR="0012696E">
              <w:rPr>
                <w:sz w:val="20"/>
                <w:szCs w:val="20"/>
              </w:rPr>
              <w:fldChar w:fldCharType="begin">
                <w:ffData>
                  <w:name w:val=""/>
                  <w:enabled/>
                  <w:calcOnExit w:val="0"/>
                  <w:checkBox>
                    <w:sizeAuto/>
                    <w:default w:val="1"/>
                  </w:checkBox>
                </w:ffData>
              </w:fldChar>
            </w:r>
            <w:r w:rsidR="0012696E">
              <w:rPr>
                <w:sz w:val="20"/>
                <w:szCs w:val="20"/>
              </w:rPr>
              <w:instrText xml:space="preserve"> FORMCHECKBOX </w:instrText>
            </w:r>
            <w:r w:rsidR="0012696E">
              <w:rPr>
                <w:sz w:val="20"/>
                <w:szCs w:val="20"/>
              </w:rPr>
            </w:r>
            <w:r w:rsidR="0012696E">
              <w:rPr>
                <w:sz w:val="20"/>
                <w:szCs w:val="20"/>
              </w:rPr>
              <w:fldChar w:fldCharType="end"/>
            </w:r>
          </w:p>
          <w:p w14:paraId="2BF156C7" w14:textId="77777777" w:rsidR="00675A12" w:rsidRPr="00675A12" w:rsidRDefault="00675A12" w:rsidP="00293124">
            <w:pPr>
              <w:pStyle w:val="ListParagraph"/>
              <w:ind w:left="0"/>
              <w:rPr>
                <w:rFonts w:ascii="Arial" w:hAnsi="Arial" w:cs="Arial"/>
                <w:color w:val="000000" w:themeColor="text1"/>
                <w:sz w:val="20"/>
                <w:szCs w:val="20"/>
              </w:rPr>
            </w:pPr>
          </w:p>
          <w:p w14:paraId="649AE243" w14:textId="2184BB1D" w:rsidR="00675A12" w:rsidRPr="00675A12" w:rsidRDefault="00675A12" w:rsidP="0012696E">
            <w:pPr>
              <w:pStyle w:val="ListParagraph"/>
              <w:ind w:left="0"/>
              <w:rPr>
                <w:rFonts w:ascii="Arial" w:hAnsi="Arial" w:cs="Arial"/>
                <w:color w:val="000000" w:themeColor="text1"/>
                <w:sz w:val="20"/>
                <w:szCs w:val="20"/>
              </w:rPr>
            </w:pPr>
            <w:r w:rsidRPr="00675A12">
              <w:rPr>
                <w:rFonts w:ascii="Arial" w:hAnsi="Arial" w:cs="Arial"/>
                <w:color w:val="000000" w:themeColor="text1"/>
                <w:sz w:val="20"/>
                <w:szCs w:val="20"/>
              </w:rPr>
              <w:t xml:space="preserve">No longer applicable </w:t>
            </w:r>
            <w:r w:rsidR="0012696E">
              <w:rPr>
                <w:sz w:val="20"/>
                <w:szCs w:val="20"/>
              </w:rPr>
              <w:fldChar w:fldCharType="begin">
                <w:ffData>
                  <w:name w:val=""/>
                  <w:enabled/>
                  <w:calcOnExit w:val="0"/>
                  <w:checkBox>
                    <w:sizeAuto/>
                    <w:default w:val="0"/>
                  </w:checkBox>
                </w:ffData>
              </w:fldChar>
            </w:r>
            <w:r w:rsidR="0012696E">
              <w:rPr>
                <w:sz w:val="20"/>
                <w:szCs w:val="20"/>
              </w:rPr>
              <w:instrText xml:space="preserve"> FORMCHECKBOX </w:instrText>
            </w:r>
            <w:r w:rsidR="0012696E">
              <w:rPr>
                <w:sz w:val="20"/>
                <w:szCs w:val="20"/>
              </w:rPr>
            </w:r>
            <w:r w:rsidR="0012696E">
              <w:rPr>
                <w:sz w:val="20"/>
                <w:szCs w:val="20"/>
              </w:rPr>
              <w:fldChar w:fldCharType="end"/>
            </w:r>
          </w:p>
        </w:tc>
        <w:tc>
          <w:tcPr>
            <w:tcW w:w="6480" w:type="dxa"/>
          </w:tcPr>
          <w:p w14:paraId="24E7199B" w14:textId="2372B796" w:rsidR="00675A12" w:rsidRPr="00675A12" w:rsidRDefault="00675A12" w:rsidP="00293124">
            <w:pPr>
              <w:rPr>
                <w:rFonts w:ascii="Arial" w:hAnsi="Arial" w:cs="Arial"/>
                <w:b/>
                <w:color w:val="000000" w:themeColor="text1"/>
                <w:sz w:val="20"/>
                <w:szCs w:val="20"/>
              </w:rPr>
            </w:pPr>
            <w:r w:rsidRPr="00675A12">
              <w:rPr>
                <w:rFonts w:ascii="Arial" w:hAnsi="Arial" w:cs="Arial"/>
                <w:b/>
                <w:color w:val="000000" w:themeColor="text1"/>
                <w:sz w:val="20"/>
                <w:szCs w:val="20"/>
              </w:rPr>
              <w:t xml:space="preserve">This </w:t>
            </w:r>
            <w:r w:rsidR="0012696E">
              <w:rPr>
                <w:rFonts w:ascii="Arial" w:hAnsi="Arial" w:cs="Arial"/>
                <w:b/>
                <w:color w:val="000000" w:themeColor="text1"/>
                <w:sz w:val="20"/>
                <w:szCs w:val="20"/>
              </w:rPr>
              <w:t>recommendation</w:t>
            </w:r>
            <w:r w:rsidRPr="00675A12">
              <w:rPr>
                <w:rFonts w:ascii="Arial" w:hAnsi="Arial" w:cs="Arial"/>
                <w:b/>
                <w:color w:val="000000" w:themeColor="text1"/>
                <w:sz w:val="20"/>
                <w:szCs w:val="20"/>
              </w:rPr>
              <w:t xml:space="preserve"> is something that is already achieved: this balance is part of nearly every decision we make.</w:t>
            </w:r>
          </w:p>
          <w:p w14:paraId="50CE0D0C" w14:textId="77777777" w:rsidR="00675A12" w:rsidRPr="00675A12" w:rsidRDefault="00675A12" w:rsidP="00293124">
            <w:pPr>
              <w:rPr>
                <w:rFonts w:ascii="Arial" w:hAnsi="Arial" w:cs="Arial"/>
                <w:b/>
                <w:color w:val="000000" w:themeColor="text1"/>
                <w:sz w:val="20"/>
                <w:szCs w:val="20"/>
              </w:rPr>
            </w:pPr>
            <w:r w:rsidRPr="00675A12">
              <w:rPr>
                <w:rFonts w:ascii="Arial" w:hAnsi="Arial" w:cs="Arial"/>
                <w:b/>
                <w:color w:val="000000" w:themeColor="text1"/>
                <w:sz w:val="20"/>
                <w:szCs w:val="20"/>
              </w:rPr>
              <w:t xml:space="preserve">It will </w:t>
            </w:r>
            <w:r w:rsidRPr="00675A12">
              <w:rPr>
                <w:rFonts w:ascii="Arial" w:hAnsi="Arial" w:cs="Arial"/>
                <w:b/>
                <w:color w:val="000000" w:themeColor="text1"/>
                <w:sz w:val="20"/>
                <w:szCs w:val="20"/>
                <w:u w:val="single"/>
              </w:rPr>
              <w:t>always</w:t>
            </w:r>
            <w:r w:rsidRPr="00675A12">
              <w:rPr>
                <w:rFonts w:ascii="Arial" w:hAnsi="Arial" w:cs="Arial"/>
                <w:b/>
                <w:color w:val="000000" w:themeColor="text1"/>
                <w:sz w:val="20"/>
                <w:szCs w:val="20"/>
              </w:rPr>
              <w:t xml:space="preserve"> be a delicate balance and the make-up of this balance will </w:t>
            </w:r>
            <w:r w:rsidRPr="00675A12">
              <w:rPr>
                <w:rFonts w:ascii="Arial" w:hAnsi="Arial" w:cs="Arial"/>
                <w:b/>
                <w:color w:val="000000" w:themeColor="text1"/>
                <w:sz w:val="20"/>
                <w:szCs w:val="20"/>
                <w:u w:val="single"/>
              </w:rPr>
              <w:t>always</w:t>
            </w:r>
            <w:r w:rsidRPr="00675A12">
              <w:rPr>
                <w:rFonts w:ascii="Arial" w:hAnsi="Arial" w:cs="Arial"/>
                <w:b/>
                <w:color w:val="000000" w:themeColor="text1"/>
                <w:sz w:val="20"/>
                <w:szCs w:val="20"/>
              </w:rPr>
              <w:t xml:space="preserve"> be changing and we will </w:t>
            </w:r>
            <w:r w:rsidRPr="00675A12">
              <w:rPr>
                <w:rFonts w:ascii="Arial" w:hAnsi="Arial" w:cs="Arial"/>
                <w:b/>
                <w:color w:val="000000" w:themeColor="text1"/>
                <w:sz w:val="20"/>
                <w:szCs w:val="20"/>
                <w:u w:val="single"/>
              </w:rPr>
              <w:t>always</w:t>
            </w:r>
            <w:r w:rsidRPr="00675A12">
              <w:rPr>
                <w:rFonts w:ascii="Arial" w:hAnsi="Arial" w:cs="Arial"/>
                <w:b/>
                <w:color w:val="000000" w:themeColor="text1"/>
                <w:sz w:val="20"/>
                <w:szCs w:val="20"/>
              </w:rPr>
              <w:t xml:space="preserve"> be striving for a high quality program while attempting to not spread our resources too thin: this is just what we do.</w:t>
            </w:r>
          </w:p>
          <w:p w14:paraId="0BD778FA" w14:textId="77777777" w:rsidR="00675A12" w:rsidRPr="00675A12" w:rsidRDefault="00675A12" w:rsidP="00293124">
            <w:pPr>
              <w:rPr>
                <w:rFonts w:ascii="Arial" w:hAnsi="Arial" w:cs="Arial"/>
                <w:b/>
                <w:color w:val="000000" w:themeColor="text1"/>
                <w:sz w:val="20"/>
                <w:szCs w:val="20"/>
              </w:rPr>
            </w:pPr>
          </w:p>
          <w:p w14:paraId="6448CCB6" w14:textId="77777777" w:rsidR="00675A12" w:rsidRPr="00675A12" w:rsidRDefault="00675A12" w:rsidP="00293124">
            <w:pPr>
              <w:rPr>
                <w:rFonts w:ascii="Arial" w:hAnsi="Arial" w:cs="Arial"/>
                <w:b/>
                <w:color w:val="000000" w:themeColor="text1"/>
                <w:sz w:val="20"/>
                <w:szCs w:val="20"/>
              </w:rPr>
            </w:pPr>
          </w:p>
          <w:p w14:paraId="57E23D4E" w14:textId="77777777" w:rsidR="00675A12" w:rsidRPr="00675A12" w:rsidRDefault="00675A12" w:rsidP="00293124">
            <w:pPr>
              <w:rPr>
                <w:sz w:val="20"/>
                <w:szCs w:val="20"/>
              </w:rPr>
            </w:pPr>
          </w:p>
        </w:tc>
      </w:tr>
    </w:tbl>
    <w:p w14:paraId="2277F345" w14:textId="77777777" w:rsidR="00E24D49" w:rsidRDefault="00E24D49">
      <w:r>
        <w:br w:type="page"/>
      </w:r>
    </w:p>
    <w:p w14:paraId="4F18CFFD" w14:textId="77777777" w:rsidR="00C60A65" w:rsidRDefault="00C60A65" w:rsidP="00C60A65">
      <w:pPr>
        <w:rPr>
          <w:rFonts w:ascii="Arial" w:hAnsi="Arial" w:cs="Arial"/>
          <w:b/>
          <w:sz w:val="20"/>
          <w:szCs w:val="20"/>
          <w:u w:val="single"/>
        </w:rPr>
      </w:pPr>
      <w:r>
        <w:rPr>
          <w:rFonts w:ascii="Arial" w:hAnsi="Arial" w:cs="Arial"/>
          <w:b/>
          <w:sz w:val="20"/>
          <w:szCs w:val="20"/>
          <w:u w:val="single"/>
        </w:rPr>
        <w:lastRenderedPageBreak/>
        <w:t>Section II: Assessment of General Education &amp; Degree Program Outcomes</w:t>
      </w:r>
    </w:p>
    <w:p w14:paraId="05F00537" w14:textId="77777777" w:rsidR="00C60A65" w:rsidRDefault="00C60A65" w:rsidP="00C60A65">
      <w:pPr>
        <w:rPr>
          <w:rFonts w:ascii="Arial" w:hAnsi="Arial" w:cs="Arial"/>
          <w:b/>
          <w:sz w:val="20"/>
          <w:szCs w:val="20"/>
          <w:u w:val="single"/>
        </w:rPr>
      </w:pPr>
    </w:p>
    <w:p w14:paraId="6404BC76" w14:textId="77777777" w:rsidR="00C60A65" w:rsidRDefault="00C60A65" w:rsidP="00C60A65">
      <w:pPr>
        <w:rPr>
          <w:rFonts w:ascii="Arial" w:hAnsi="Arial" w:cs="Arial"/>
          <w:sz w:val="20"/>
          <w:szCs w:val="20"/>
        </w:rPr>
      </w:pPr>
      <w:r>
        <w:rPr>
          <w:rFonts w:ascii="Arial" w:hAnsi="Arial" w:cs="Arial"/>
          <w:sz w:val="20"/>
          <w:szCs w:val="20"/>
        </w:rPr>
        <w:t xml:space="preserve">For the FY 2016-17 Annual Update, departments are asked to provide assessment results for </w:t>
      </w:r>
      <w:r>
        <w:rPr>
          <w:rFonts w:ascii="Arial" w:hAnsi="Arial" w:cs="Arial"/>
          <w:b/>
          <w:sz w:val="20"/>
          <w:szCs w:val="20"/>
          <w:u w:val="single"/>
        </w:rPr>
        <w:t>Information Literacy</w:t>
      </w:r>
      <w:r>
        <w:rPr>
          <w:rFonts w:ascii="Arial" w:hAnsi="Arial" w:cs="Arial"/>
          <w:sz w:val="20"/>
          <w:szCs w:val="20"/>
        </w:rPr>
        <w:t>.</w:t>
      </w:r>
    </w:p>
    <w:p w14:paraId="24BEDE86" w14:textId="77777777" w:rsidR="00C60A65" w:rsidRDefault="00C60A65" w:rsidP="00C60A65">
      <w:pPr>
        <w:rPr>
          <w:rFonts w:ascii="Arial" w:hAnsi="Arial" w:cs="Arial"/>
          <w:sz w:val="20"/>
          <w:szCs w:val="20"/>
        </w:rPr>
      </w:pPr>
    </w:p>
    <w:tbl>
      <w:tblPr>
        <w:tblStyle w:val="TableGrid"/>
        <w:tblW w:w="13530" w:type="dxa"/>
        <w:tblInd w:w="-365" w:type="dxa"/>
        <w:shd w:val="clear" w:color="auto" w:fill="FFFFFF"/>
        <w:tblLayout w:type="fixed"/>
        <w:tblCellMar>
          <w:left w:w="115" w:type="dxa"/>
          <w:right w:w="115" w:type="dxa"/>
        </w:tblCellMar>
        <w:tblLook w:val="01E0" w:firstRow="1" w:lastRow="1" w:firstColumn="1" w:lastColumn="1" w:noHBand="0" w:noVBand="0"/>
      </w:tblPr>
      <w:tblGrid>
        <w:gridCol w:w="4075"/>
        <w:gridCol w:w="1743"/>
        <w:gridCol w:w="1431"/>
        <w:gridCol w:w="2251"/>
        <w:gridCol w:w="4030"/>
      </w:tblGrid>
      <w:tr w:rsidR="00C60A65" w14:paraId="3F984B56" w14:textId="77777777">
        <w:trPr>
          <w:divId w:val="765811284"/>
          <w:trHeight w:val="72"/>
        </w:trPr>
        <w:tc>
          <w:tcPr>
            <w:tcW w:w="40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14:paraId="496B847C" w14:textId="77777777" w:rsidR="00C60A65" w:rsidRDefault="00C60A65" w:rsidP="00C60A65">
            <w:pPr>
              <w:jc w:val="center"/>
              <w:rPr>
                <w:rFonts w:asciiTheme="minorHAnsi" w:hAnsiTheme="minorHAnsi"/>
                <w:b/>
                <w:color w:val="000000" w:themeColor="text1"/>
              </w:rPr>
            </w:pPr>
            <w:r>
              <w:rPr>
                <w:rFonts w:asciiTheme="minorHAnsi" w:hAnsiTheme="minorHAnsi"/>
                <w:b/>
                <w:color w:val="000000" w:themeColor="text1"/>
              </w:rPr>
              <w:t>General Education Outcomes</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3CC65FAA" w14:textId="77777777" w:rsidR="00C60A65" w:rsidRDefault="00C60A65" w:rsidP="00C60A65">
            <w:pPr>
              <w:jc w:val="center"/>
              <w:rPr>
                <w:rFonts w:asciiTheme="minorHAnsi" w:hAnsiTheme="minorHAnsi" w:cs="Arial"/>
                <w:color w:val="000000" w:themeColor="text1"/>
                <w:sz w:val="20"/>
              </w:rPr>
            </w:pPr>
            <w:r>
              <w:rPr>
                <w:rFonts w:asciiTheme="minorHAnsi" w:hAnsiTheme="minorHAnsi" w:cs="Arial"/>
                <w:color w:val="000000" w:themeColor="text1"/>
                <w:sz w:val="20"/>
              </w:rPr>
              <w:t>Year assessed or to be assessed.</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2150D5B3" w14:textId="77777777" w:rsidR="00C60A65" w:rsidRDefault="00C60A65" w:rsidP="00C60A65">
            <w:pPr>
              <w:jc w:val="center"/>
              <w:rPr>
                <w:rFonts w:asciiTheme="minorHAnsi" w:hAnsiTheme="minorHAnsi" w:cs="Arial"/>
                <w:color w:val="000000" w:themeColor="text1"/>
                <w:sz w:val="20"/>
              </w:rPr>
            </w:pPr>
            <w:r>
              <w:rPr>
                <w:rFonts w:asciiTheme="minorHAnsi" w:hAnsiTheme="minorHAnsi" w:cs="Arial"/>
                <w:color w:val="000000" w:themeColor="text1"/>
                <w:sz w:val="20"/>
              </w:rPr>
              <w:t>Course identified by the department where this outcome could be assessed</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22FECF" w14:textId="77777777" w:rsidR="00C60A65" w:rsidRDefault="00C60A65" w:rsidP="00C60A65">
            <w:pPr>
              <w:jc w:val="center"/>
              <w:rPr>
                <w:rFonts w:asciiTheme="minorHAnsi" w:hAnsiTheme="minorHAnsi" w:cs="Arial"/>
                <w:color w:val="000000" w:themeColor="text1"/>
                <w:sz w:val="20"/>
              </w:rPr>
            </w:pPr>
            <w:r>
              <w:rPr>
                <w:rFonts w:asciiTheme="minorHAnsi" w:hAnsiTheme="minorHAnsi" w:cs="Arial"/>
                <w:color w:val="000000" w:themeColor="text1"/>
                <w:sz w:val="20"/>
              </w:rPr>
              <w:t>Assessment Methods</w:t>
            </w:r>
          </w:p>
          <w:p w14:paraId="1A960951" w14:textId="77777777" w:rsidR="00C60A65" w:rsidRDefault="00C60A65" w:rsidP="00C60A65">
            <w:pPr>
              <w:jc w:val="center"/>
              <w:rPr>
                <w:rFonts w:asciiTheme="minorHAnsi" w:hAnsiTheme="minorHAnsi" w:cs="Arial"/>
                <w:color w:val="000000" w:themeColor="text1"/>
                <w:sz w:val="20"/>
              </w:rPr>
            </w:pPr>
            <w:r>
              <w:rPr>
                <w:rFonts w:asciiTheme="minorHAnsi" w:hAnsiTheme="minorHAnsi" w:cs="Arial"/>
                <w:color w:val="000000" w:themeColor="text1"/>
                <w:sz w:val="20"/>
              </w:rPr>
              <w:t>Used</w:t>
            </w:r>
          </w:p>
          <w:p w14:paraId="08F03229" w14:textId="77777777" w:rsidR="00C60A65" w:rsidRDefault="00C60A65" w:rsidP="00C60A65">
            <w:pPr>
              <w:jc w:val="center"/>
              <w:rPr>
                <w:rFonts w:asciiTheme="minorHAnsi" w:hAnsiTheme="minorHAnsi" w:cs="Arial"/>
                <w:color w:val="000000" w:themeColor="text1"/>
                <w:sz w:val="20"/>
              </w:rPr>
            </w:pP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01C0F82F" w14:textId="77777777" w:rsidR="00C60A65" w:rsidRDefault="00C60A65" w:rsidP="00C60A65">
            <w:pPr>
              <w:jc w:val="center"/>
              <w:rPr>
                <w:rFonts w:asciiTheme="minorHAnsi" w:hAnsiTheme="minorHAnsi" w:cs="Arial"/>
                <w:color w:val="000000" w:themeColor="text1"/>
                <w:sz w:val="20"/>
              </w:rPr>
            </w:pPr>
            <w:r>
              <w:rPr>
                <w:rFonts w:asciiTheme="minorHAnsi" w:hAnsiTheme="minorHAnsi" w:cs="Arial"/>
                <w:color w:val="000000" w:themeColor="text1"/>
                <w:sz w:val="20"/>
              </w:rPr>
              <w:t>What were the assessment results?</w:t>
            </w:r>
          </w:p>
          <w:p w14:paraId="62FDD9C5" w14:textId="77777777" w:rsidR="00C60A65" w:rsidRDefault="00C60A65" w:rsidP="00C60A65">
            <w:pPr>
              <w:jc w:val="center"/>
              <w:rPr>
                <w:rFonts w:asciiTheme="minorHAnsi" w:hAnsiTheme="minorHAnsi" w:cs="Arial"/>
                <w:color w:val="000000" w:themeColor="text1"/>
                <w:sz w:val="20"/>
              </w:rPr>
            </w:pPr>
            <w:r>
              <w:rPr>
                <w:rFonts w:asciiTheme="minorHAnsi" w:hAnsiTheme="minorHAnsi" w:cs="Arial"/>
                <w:color w:val="000000" w:themeColor="text1"/>
                <w:sz w:val="20"/>
              </w:rPr>
              <w:t xml:space="preserve"> (Please provide </w:t>
            </w:r>
            <w:r>
              <w:rPr>
                <w:rFonts w:asciiTheme="minorHAnsi" w:hAnsiTheme="minorHAnsi" w:cs="Arial"/>
                <w:color w:val="000000" w:themeColor="text1"/>
                <w:sz w:val="20"/>
                <w:u w:val="single"/>
              </w:rPr>
              <w:t>brief</w:t>
            </w:r>
            <w:r>
              <w:rPr>
                <w:rFonts w:asciiTheme="minorHAnsi" w:hAnsiTheme="minorHAnsi" w:cs="Arial"/>
                <w:color w:val="000000" w:themeColor="text1"/>
                <w:sz w:val="20"/>
              </w:rPr>
              <w:t xml:space="preserve"> summary data)</w:t>
            </w:r>
          </w:p>
        </w:tc>
      </w:tr>
      <w:tr w:rsidR="00C60A65" w14:paraId="17BC91F2" w14:textId="77777777">
        <w:trPr>
          <w:divId w:val="765811284"/>
          <w:trHeight w:val="274"/>
        </w:trPr>
        <w:tc>
          <w:tcPr>
            <w:tcW w:w="40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14:paraId="508EFAE2" w14:textId="77777777" w:rsidR="00C60A65" w:rsidRDefault="00C60A65" w:rsidP="00C60A65">
            <w:pPr>
              <w:tabs>
                <w:tab w:val="left" w:pos="5040"/>
              </w:tabs>
              <w:rPr>
                <w:rFonts w:asciiTheme="minorHAnsi" w:hAnsiTheme="minorHAnsi" w:cs="Arial"/>
                <w:color w:val="000000" w:themeColor="text1"/>
              </w:rPr>
            </w:pPr>
            <w:r>
              <w:rPr>
                <w:rFonts w:asciiTheme="minorHAnsi" w:hAnsiTheme="minorHAnsi" w:cs="Arial"/>
                <w:color w:val="000000" w:themeColor="text1"/>
              </w:rPr>
              <w:t>Information Literacy</w:t>
            </w:r>
          </w:p>
        </w:tc>
        <w:tc>
          <w:tcPr>
            <w:tcW w:w="1742" w:type="dxa"/>
            <w:tcBorders>
              <w:top w:val="single" w:sz="4" w:space="0" w:color="auto"/>
              <w:left w:val="single" w:sz="4" w:space="0" w:color="auto"/>
              <w:bottom w:val="single" w:sz="4" w:space="0" w:color="auto"/>
              <w:right w:val="single" w:sz="4" w:space="0" w:color="auto"/>
            </w:tcBorders>
            <w:shd w:val="clear" w:color="auto" w:fill="auto"/>
            <w:hideMark/>
          </w:tcPr>
          <w:p w14:paraId="183B855F" w14:textId="77777777" w:rsidR="00C60A65" w:rsidRDefault="00C60A65" w:rsidP="00C60A65">
            <w:pPr>
              <w:jc w:val="center"/>
              <w:rPr>
                <w:rFonts w:asciiTheme="minorHAnsi" w:hAnsiTheme="minorHAnsi"/>
              </w:rPr>
            </w:pPr>
            <w:r>
              <w:rPr>
                <w:rFonts w:asciiTheme="minorHAnsi" w:hAnsiTheme="minorHAnsi" w:cs="Arial"/>
                <w:b/>
                <w:color w:val="000000" w:themeColor="text1"/>
              </w:rPr>
              <w:t>2016-2017</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052652" w14:textId="77777777" w:rsidR="00C60A65" w:rsidRDefault="00C60A65" w:rsidP="00C60A65">
            <w:pPr>
              <w:jc w:val="center"/>
              <w:rPr>
                <w:rFonts w:ascii="Verdana" w:hAnsi="Verdana"/>
                <w:b/>
                <w:bCs/>
                <w:color w:val="333333"/>
                <w:sz w:val="16"/>
                <w:szCs w:val="16"/>
              </w:rPr>
            </w:pPr>
            <w:r>
              <w:rPr>
                <w:rFonts w:ascii="Verdana" w:hAnsi="Verdana"/>
                <w:b/>
                <w:bCs/>
                <w:color w:val="333333"/>
                <w:sz w:val="16"/>
                <w:szCs w:val="16"/>
              </w:rPr>
              <w:t>THE2206</w:t>
            </w:r>
            <w:r>
              <w:rPr>
                <w:rFonts w:ascii="Verdana" w:hAnsi="Verdana"/>
                <w:color w:val="333333"/>
                <w:sz w:val="16"/>
                <w:szCs w:val="16"/>
              </w:rPr>
              <w:t xml:space="preserve"> - Script Analysis</w:t>
            </w:r>
          </w:p>
          <w:p w14:paraId="3E785C1D" w14:textId="77777777" w:rsidR="00C60A65" w:rsidRDefault="00C60A65" w:rsidP="00C60A65">
            <w:pPr>
              <w:jc w:val="center"/>
              <w:rPr>
                <w:rFonts w:asciiTheme="minorHAnsi" w:hAnsiTheme="minorHAnsi" w:cs="Arial"/>
                <w:color w:val="000000" w:themeColor="text1"/>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7676B9" w14:textId="74B58712" w:rsidR="002774F3" w:rsidRDefault="002774F3" w:rsidP="00445194">
            <w:pPr>
              <w:pStyle w:val="ListParagraph"/>
              <w:numPr>
                <w:ilvl w:val="0"/>
                <w:numId w:val="26"/>
              </w:numPr>
              <w:ind w:left="196" w:hanging="180"/>
              <w:rPr>
                <w:rFonts w:asciiTheme="minorHAnsi" w:hAnsiTheme="minorHAnsi" w:cs="Arial"/>
                <w:color w:val="000000" w:themeColor="text1"/>
              </w:rPr>
            </w:pPr>
            <w:r>
              <w:rPr>
                <w:rFonts w:asciiTheme="minorHAnsi" w:hAnsiTheme="minorHAnsi" w:cs="Arial"/>
                <w:color w:val="000000" w:themeColor="text1"/>
              </w:rPr>
              <w:t>3-Essay Tests</w:t>
            </w:r>
          </w:p>
          <w:p w14:paraId="19A64521" w14:textId="77777777" w:rsidR="00C60A65" w:rsidRPr="00445194" w:rsidRDefault="003303DB" w:rsidP="00445194">
            <w:pPr>
              <w:pStyle w:val="ListParagraph"/>
              <w:numPr>
                <w:ilvl w:val="0"/>
                <w:numId w:val="26"/>
              </w:numPr>
              <w:ind w:left="196" w:hanging="180"/>
              <w:rPr>
                <w:rFonts w:asciiTheme="minorHAnsi" w:hAnsiTheme="minorHAnsi" w:cs="Arial"/>
                <w:color w:val="000000" w:themeColor="text1"/>
              </w:rPr>
            </w:pPr>
            <w:r w:rsidRPr="00445194">
              <w:rPr>
                <w:rFonts w:asciiTheme="minorHAnsi" w:hAnsiTheme="minorHAnsi" w:cs="Arial"/>
                <w:color w:val="000000" w:themeColor="text1"/>
              </w:rPr>
              <w:t>Buried Child Research paper</w:t>
            </w:r>
          </w:p>
          <w:p w14:paraId="2A728CC5" w14:textId="6E4387BF" w:rsidR="003303DB" w:rsidRPr="00445194" w:rsidRDefault="003303DB" w:rsidP="00445194">
            <w:pPr>
              <w:pStyle w:val="ListParagraph"/>
              <w:numPr>
                <w:ilvl w:val="0"/>
                <w:numId w:val="26"/>
              </w:numPr>
              <w:ind w:left="196" w:hanging="146"/>
              <w:rPr>
                <w:rFonts w:asciiTheme="minorHAnsi" w:hAnsiTheme="minorHAnsi" w:cs="Arial"/>
                <w:color w:val="000000" w:themeColor="text1"/>
              </w:rPr>
            </w:pPr>
            <w:r w:rsidRPr="00445194">
              <w:rPr>
                <w:rFonts w:asciiTheme="minorHAnsi" w:hAnsiTheme="minorHAnsi" w:cs="Arial"/>
                <w:color w:val="000000" w:themeColor="text1"/>
              </w:rPr>
              <w:t>Angels in America Research Binder</w:t>
            </w: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78F18F1" w14:textId="7095D5F4" w:rsidR="00C60A65" w:rsidRPr="002774F3" w:rsidRDefault="002774F3" w:rsidP="00C60A65">
            <w:pPr>
              <w:ind w:left="72"/>
              <w:rPr>
                <w:rFonts w:asciiTheme="minorHAnsi" w:hAnsiTheme="minorHAnsi" w:cs="Arial"/>
                <w:b/>
                <w:color w:val="000000" w:themeColor="text1"/>
              </w:rPr>
            </w:pPr>
            <w:r>
              <w:rPr>
                <w:rFonts w:asciiTheme="minorHAnsi" w:hAnsiTheme="minorHAnsi" w:cs="Arial"/>
                <w:b/>
                <w:color w:val="000000" w:themeColor="text1"/>
              </w:rPr>
              <w:t>See attachment: “GEN ED OUTCOME – Info Literacy”</w:t>
            </w:r>
          </w:p>
        </w:tc>
      </w:tr>
      <w:tr w:rsidR="00C60A65" w14:paraId="4BFA875C" w14:textId="77777777">
        <w:trPr>
          <w:divId w:val="765811284"/>
          <w:trHeight w:val="274"/>
        </w:trPr>
        <w:tc>
          <w:tcPr>
            <w:tcW w:w="135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center"/>
            <w:hideMark/>
          </w:tcPr>
          <w:p w14:paraId="3837B3D3" w14:textId="1AB6B4D1" w:rsidR="00C60A65" w:rsidRDefault="00C60A65" w:rsidP="00C60A65">
            <w:pPr>
              <w:ind w:left="72"/>
              <w:rPr>
                <w:rFonts w:asciiTheme="minorHAnsi" w:hAnsiTheme="minorHAnsi" w:cs="Arial"/>
                <w:b/>
                <w:color w:val="FFFFFF" w:themeColor="background1"/>
              </w:rPr>
            </w:pPr>
            <w:r>
              <w:rPr>
                <w:rFonts w:asciiTheme="minorHAnsi" w:hAnsiTheme="minorHAnsi" w:cs="Arial"/>
                <w:b/>
                <w:color w:val="FFFFFF" w:themeColor="background1"/>
              </w:rPr>
              <w:t>NEXT YEAR:</w:t>
            </w:r>
          </w:p>
        </w:tc>
      </w:tr>
      <w:tr w:rsidR="00C60A65" w14:paraId="3ED8ABC5" w14:textId="77777777">
        <w:trPr>
          <w:divId w:val="765811284"/>
          <w:trHeight w:val="274"/>
        </w:trPr>
        <w:tc>
          <w:tcPr>
            <w:tcW w:w="40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14:paraId="6527A8DD" w14:textId="77777777" w:rsidR="00C60A65" w:rsidRDefault="00C60A65" w:rsidP="00C60A65">
            <w:pPr>
              <w:tabs>
                <w:tab w:val="left" w:pos="5040"/>
              </w:tabs>
              <w:rPr>
                <w:rFonts w:asciiTheme="minorHAnsi" w:hAnsiTheme="minorHAnsi" w:cs="Arial"/>
                <w:color w:val="000000" w:themeColor="text1"/>
              </w:rPr>
            </w:pPr>
            <w:r>
              <w:rPr>
                <w:rFonts w:asciiTheme="minorHAnsi" w:hAnsiTheme="minorHAnsi" w:cs="Arial"/>
                <w:color w:val="000000" w:themeColor="text1"/>
              </w:rPr>
              <w:t>Computer Literacy</w:t>
            </w:r>
          </w:p>
        </w:tc>
        <w:tc>
          <w:tcPr>
            <w:tcW w:w="1742" w:type="dxa"/>
            <w:tcBorders>
              <w:top w:val="single" w:sz="4" w:space="0" w:color="auto"/>
              <w:left w:val="single" w:sz="4" w:space="0" w:color="auto"/>
              <w:bottom w:val="single" w:sz="4" w:space="0" w:color="auto"/>
              <w:right w:val="single" w:sz="4" w:space="0" w:color="auto"/>
            </w:tcBorders>
            <w:shd w:val="clear" w:color="auto" w:fill="auto"/>
            <w:hideMark/>
          </w:tcPr>
          <w:p w14:paraId="3D861B53" w14:textId="77777777" w:rsidR="00C60A65" w:rsidRDefault="00C60A65" w:rsidP="00C60A65">
            <w:pPr>
              <w:jc w:val="center"/>
              <w:rPr>
                <w:rFonts w:asciiTheme="minorHAnsi" w:hAnsiTheme="minorHAnsi" w:cs="Arial"/>
                <w:b/>
                <w:color w:val="000000" w:themeColor="text1"/>
              </w:rPr>
            </w:pPr>
            <w:r>
              <w:rPr>
                <w:rFonts w:asciiTheme="minorHAnsi" w:hAnsiTheme="minorHAnsi" w:cs="Arial"/>
                <w:b/>
                <w:color w:val="000000" w:themeColor="text1"/>
              </w:rPr>
              <w:t>2017-2018</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30D2D1" w14:textId="77777777" w:rsidR="00C60A65" w:rsidRDefault="00C60A65" w:rsidP="00C60A65">
            <w:pPr>
              <w:jc w:val="center"/>
              <w:rPr>
                <w:rFonts w:ascii="Verdana" w:hAnsi="Verdana"/>
                <w:b/>
                <w:bCs/>
                <w:color w:val="333333"/>
                <w:sz w:val="16"/>
                <w:szCs w:val="16"/>
              </w:rPr>
            </w:pPr>
            <w:r>
              <w:rPr>
                <w:rFonts w:ascii="Verdana" w:hAnsi="Verdana"/>
                <w:b/>
                <w:bCs/>
                <w:color w:val="333333"/>
                <w:sz w:val="16"/>
                <w:szCs w:val="16"/>
              </w:rPr>
              <w:t>THE2206</w:t>
            </w:r>
            <w:r>
              <w:rPr>
                <w:rFonts w:ascii="Verdana" w:hAnsi="Verdana"/>
                <w:color w:val="333333"/>
                <w:sz w:val="16"/>
                <w:szCs w:val="16"/>
              </w:rPr>
              <w:t xml:space="preserve"> - Script Analysis</w:t>
            </w:r>
          </w:p>
          <w:p w14:paraId="5CD30E5A" w14:textId="77777777" w:rsidR="00C60A65" w:rsidRDefault="00C60A65" w:rsidP="00C60A65">
            <w:pPr>
              <w:jc w:val="center"/>
              <w:rPr>
                <w:rFonts w:ascii="Verdana" w:hAnsi="Verdana"/>
                <w:b/>
                <w:bCs/>
                <w:color w:val="333333"/>
                <w:sz w:val="16"/>
                <w:szCs w:val="16"/>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DA6C50" w14:textId="77777777" w:rsidR="00C60A65" w:rsidRDefault="00C60A65" w:rsidP="00C60A65">
            <w:pPr>
              <w:ind w:left="72"/>
              <w:rPr>
                <w:rFonts w:asciiTheme="minorHAnsi" w:hAnsiTheme="minorHAnsi" w:cs="Arial"/>
                <w:color w:val="000000" w:themeColor="text1"/>
              </w:rPr>
            </w:pP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79F5D5" w14:textId="77777777" w:rsidR="00C60A65" w:rsidRDefault="00C60A65" w:rsidP="00C60A65">
            <w:pPr>
              <w:ind w:left="72"/>
              <w:rPr>
                <w:rFonts w:asciiTheme="minorHAnsi" w:hAnsiTheme="minorHAnsi" w:cs="Arial"/>
                <w:color w:val="000000" w:themeColor="text1"/>
              </w:rPr>
            </w:pPr>
          </w:p>
        </w:tc>
      </w:tr>
    </w:tbl>
    <w:p w14:paraId="194271AC" w14:textId="77777777" w:rsidR="00C60A65" w:rsidRDefault="00C60A65" w:rsidP="00C60A65">
      <w:pPr>
        <w:rPr>
          <w:rFonts w:ascii="Arial" w:hAnsi="Arial" w:cs="Arial"/>
          <w:sz w:val="20"/>
          <w:szCs w:val="20"/>
        </w:rPr>
      </w:pPr>
    </w:p>
    <w:p w14:paraId="250F8EE8" w14:textId="77777777" w:rsidR="00C60A65" w:rsidRDefault="00C60A65" w:rsidP="00C60A65">
      <w:pPr>
        <w:rPr>
          <w:rFonts w:ascii="Arial" w:hAnsi="Arial" w:cs="Arial"/>
          <w:sz w:val="20"/>
          <w:szCs w:val="20"/>
        </w:rPr>
      </w:pPr>
    </w:p>
    <w:p w14:paraId="60EA0F54" w14:textId="77777777" w:rsidR="00C60A65" w:rsidRDefault="00C60A65" w:rsidP="00C60A65">
      <w:pPr>
        <w:rPr>
          <w:rFonts w:ascii="Arial" w:hAnsi="Arial" w:cs="Arial"/>
          <w:sz w:val="20"/>
          <w:szCs w:val="20"/>
        </w:rPr>
      </w:pPr>
    </w:p>
    <w:p w14:paraId="0E5AFA70" w14:textId="77777777" w:rsidR="00C60A65" w:rsidRDefault="00C60A65" w:rsidP="00C60A65">
      <w:pPr>
        <w:rPr>
          <w:rFonts w:ascii="Arial" w:hAnsi="Arial" w:cs="Arial"/>
          <w:sz w:val="20"/>
          <w:szCs w:val="20"/>
        </w:rPr>
      </w:pPr>
      <w:r>
        <w:rPr>
          <w:rFonts w:ascii="Arial" w:hAnsi="Arial" w:cs="Arial"/>
          <w:sz w:val="20"/>
          <w:szCs w:val="20"/>
        </w:rPr>
        <w:t xml:space="preserve">The Program Outcomes for the degrees are listed below.  Responses from previous years are provided below.  </w:t>
      </w:r>
      <w:r>
        <w:rPr>
          <w:rFonts w:ascii="Arial" w:hAnsi="Arial" w:cs="Arial"/>
          <w:b/>
          <w:sz w:val="20"/>
          <w:szCs w:val="20"/>
        </w:rPr>
        <w:t>All program outcomes must be assessed at least once during the 5 year Program Review cycle, and assessment of program outcomes must occur each year</w:t>
      </w:r>
      <w:r>
        <w:rPr>
          <w:rFonts w:ascii="Arial" w:hAnsi="Arial" w:cs="Arial"/>
          <w:sz w:val="20"/>
          <w:szCs w:val="20"/>
        </w:rPr>
        <w:t xml:space="preserve">. </w:t>
      </w:r>
    </w:p>
    <w:p w14:paraId="534643E6" w14:textId="77777777" w:rsidR="00C60A65" w:rsidRDefault="00C60A65" w:rsidP="00C60A65">
      <w:pPr>
        <w:rPr>
          <w:rFonts w:ascii="Arial" w:hAnsi="Arial" w:cs="Arial"/>
          <w:b/>
          <w:color w:val="000000" w:themeColor="text1"/>
          <w:u w:val="single"/>
        </w:rPr>
      </w:pPr>
    </w:p>
    <w:tbl>
      <w:tblPr>
        <w:tblStyle w:val="TableGrid"/>
        <w:tblW w:w="13158" w:type="dxa"/>
        <w:shd w:val="clear" w:color="auto" w:fill="FFFFFF"/>
        <w:tblLayout w:type="fixed"/>
        <w:tblCellMar>
          <w:left w:w="115" w:type="dxa"/>
          <w:right w:w="115" w:type="dxa"/>
        </w:tblCellMar>
        <w:tblLook w:val="01E0" w:firstRow="1" w:lastRow="1" w:firstColumn="1" w:lastColumn="1" w:noHBand="0" w:noVBand="0"/>
      </w:tblPr>
      <w:tblGrid>
        <w:gridCol w:w="3708"/>
        <w:gridCol w:w="1742"/>
        <w:gridCol w:w="1430"/>
        <w:gridCol w:w="2250"/>
        <w:gridCol w:w="4028"/>
      </w:tblGrid>
      <w:tr w:rsidR="00675A12" w:rsidRPr="004C52FC" w14:paraId="038D3CB0" w14:textId="77777777" w:rsidTr="00293124">
        <w:trPr>
          <w:trHeight w:val="274"/>
        </w:trPr>
        <w:tc>
          <w:tcPr>
            <w:tcW w:w="3708" w:type="dxa"/>
            <w:shd w:val="clear" w:color="auto" w:fill="FFFFFF"/>
            <w:vAlign w:val="center"/>
          </w:tcPr>
          <w:p w14:paraId="0437EA03" w14:textId="77777777" w:rsidR="00675A12" w:rsidRPr="004C52FC" w:rsidRDefault="00675A12" w:rsidP="00293124">
            <w:pPr>
              <w:jc w:val="center"/>
              <w:rPr>
                <w:rFonts w:asciiTheme="minorHAnsi" w:hAnsiTheme="minorHAnsi"/>
                <w:b/>
              </w:rPr>
            </w:pPr>
            <w:r w:rsidRPr="004C52FC">
              <w:rPr>
                <w:rFonts w:asciiTheme="minorHAnsi" w:hAnsiTheme="minorHAnsi"/>
                <w:b/>
              </w:rPr>
              <w:t>Program Outcomes</w:t>
            </w:r>
          </w:p>
        </w:tc>
        <w:tc>
          <w:tcPr>
            <w:tcW w:w="1742" w:type="dxa"/>
          </w:tcPr>
          <w:p w14:paraId="70192E1C" w14:textId="77777777" w:rsidR="00675A12" w:rsidRPr="004C52FC" w:rsidRDefault="00675A12" w:rsidP="00293124">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To which </w:t>
            </w:r>
            <w:r>
              <w:rPr>
                <w:rFonts w:asciiTheme="minorHAnsi" w:hAnsiTheme="minorHAnsi" w:cs="Arial"/>
                <w:color w:val="000000" w:themeColor="text1"/>
                <w:sz w:val="20"/>
              </w:rPr>
              <w:t>course(</w:t>
            </w:r>
            <w:r w:rsidRPr="004C52FC">
              <w:rPr>
                <w:rFonts w:asciiTheme="minorHAnsi" w:hAnsiTheme="minorHAnsi" w:cs="Arial"/>
                <w:color w:val="000000" w:themeColor="text1"/>
                <w:sz w:val="20"/>
              </w:rPr>
              <w:t>s) is this program outcome related?</w:t>
            </w:r>
          </w:p>
        </w:tc>
        <w:tc>
          <w:tcPr>
            <w:tcW w:w="1430" w:type="dxa"/>
            <w:shd w:val="clear" w:color="auto" w:fill="auto"/>
          </w:tcPr>
          <w:p w14:paraId="110ACAC8" w14:textId="77777777" w:rsidR="00675A12" w:rsidRPr="004C52FC" w:rsidRDefault="00675A12" w:rsidP="00293124">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Pr>
          <w:p w14:paraId="66120FA1" w14:textId="77777777" w:rsidR="00675A12" w:rsidRPr="004C52FC" w:rsidRDefault="00675A12" w:rsidP="00293124">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14:paraId="5DEE7D6F" w14:textId="77777777" w:rsidR="00675A12" w:rsidRPr="004C52FC" w:rsidRDefault="00675A12" w:rsidP="00293124">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14:paraId="214F0562" w14:textId="77777777" w:rsidR="00675A12" w:rsidRPr="004C52FC" w:rsidRDefault="00675A12" w:rsidP="00293124">
            <w:pPr>
              <w:jc w:val="center"/>
              <w:rPr>
                <w:rFonts w:asciiTheme="minorHAnsi" w:hAnsiTheme="minorHAnsi" w:cs="Arial"/>
                <w:color w:val="000000" w:themeColor="text1"/>
                <w:sz w:val="20"/>
              </w:rPr>
            </w:pPr>
          </w:p>
        </w:tc>
        <w:tc>
          <w:tcPr>
            <w:tcW w:w="4028" w:type="dxa"/>
          </w:tcPr>
          <w:p w14:paraId="6F8E5651" w14:textId="77777777" w:rsidR="00675A12" w:rsidRPr="004C52FC" w:rsidRDefault="00675A12" w:rsidP="00293124">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14:paraId="429259D6" w14:textId="77777777" w:rsidR="00675A12" w:rsidRPr="004C52FC" w:rsidRDefault="00675A12" w:rsidP="00293124">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3E4889" w:rsidRPr="004C52FC" w14:paraId="0FA014D1" w14:textId="77777777" w:rsidTr="00293124">
        <w:trPr>
          <w:trHeight w:val="274"/>
        </w:trPr>
        <w:tc>
          <w:tcPr>
            <w:tcW w:w="3708" w:type="dxa"/>
            <w:shd w:val="clear" w:color="auto" w:fill="FFFFFF"/>
          </w:tcPr>
          <w:p w14:paraId="08FCA587" w14:textId="77777777" w:rsidR="003E4889" w:rsidRDefault="003E4889" w:rsidP="005D14AB">
            <w:pPr>
              <w:rPr>
                <w:rFonts w:ascii="Calibri" w:hAnsi="Calibri" w:cs="Calibri"/>
                <w:color w:val="000000"/>
                <w:sz w:val="22"/>
                <w:szCs w:val="22"/>
              </w:rPr>
            </w:pPr>
            <w:r>
              <w:rPr>
                <w:rFonts w:ascii="Calibri" w:hAnsi="Calibri" w:cs="Calibri"/>
                <w:color w:val="000000"/>
                <w:sz w:val="22"/>
                <w:szCs w:val="22"/>
              </w:rPr>
              <w:t>Analyze a play's structure, character, themes and production values.</w:t>
            </w:r>
          </w:p>
        </w:tc>
        <w:tc>
          <w:tcPr>
            <w:tcW w:w="1742" w:type="dxa"/>
          </w:tcPr>
          <w:p w14:paraId="5F66E97C" w14:textId="77777777" w:rsidR="003E4889" w:rsidRDefault="003E4889" w:rsidP="005D14AB">
            <w:pPr>
              <w:rPr>
                <w:rFonts w:ascii="Calibri" w:hAnsi="Calibri" w:cs="Calibri"/>
                <w:color w:val="000000"/>
                <w:sz w:val="22"/>
                <w:szCs w:val="22"/>
              </w:rPr>
            </w:pPr>
            <w:r>
              <w:rPr>
                <w:rFonts w:ascii="Calibri" w:hAnsi="Calibri" w:cs="Calibri"/>
                <w:color w:val="000000"/>
                <w:sz w:val="22"/>
                <w:szCs w:val="22"/>
              </w:rPr>
              <w:t xml:space="preserve">THE-1105  </w:t>
            </w:r>
          </w:p>
          <w:p w14:paraId="0A1811CB" w14:textId="77777777" w:rsidR="003E4889" w:rsidRDefault="003E4889" w:rsidP="005D14AB">
            <w:pPr>
              <w:rPr>
                <w:rFonts w:ascii="Calibri" w:hAnsi="Calibri" w:cs="Calibri"/>
                <w:color w:val="000000"/>
                <w:sz w:val="22"/>
                <w:szCs w:val="22"/>
              </w:rPr>
            </w:pPr>
            <w:r>
              <w:rPr>
                <w:rFonts w:ascii="Calibri" w:hAnsi="Calibri" w:cs="Calibri"/>
                <w:color w:val="000000"/>
                <w:sz w:val="22"/>
                <w:szCs w:val="22"/>
              </w:rPr>
              <w:t xml:space="preserve">THE-1106/07 THE-1111 </w:t>
            </w:r>
          </w:p>
          <w:p w14:paraId="586F40C2" w14:textId="77777777" w:rsidR="003E4889" w:rsidRDefault="003E4889" w:rsidP="005D14AB">
            <w:pPr>
              <w:rPr>
                <w:rFonts w:ascii="Calibri" w:hAnsi="Calibri" w:cs="Calibri"/>
                <w:color w:val="000000"/>
                <w:sz w:val="22"/>
                <w:szCs w:val="22"/>
              </w:rPr>
            </w:pPr>
            <w:r>
              <w:rPr>
                <w:rFonts w:ascii="Calibri" w:hAnsi="Calibri" w:cs="Calibri"/>
                <w:color w:val="000000"/>
                <w:sz w:val="22"/>
                <w:szCs w:val="22"/>
              </w:rPr>
              <w:t xml:space="preserve">THE-1194 </w:t>
            </w:r>
          </w:p>
          <w:p w14:paraId="3F142C2B" w14:textId="77777777" w:rsidR="003E4889" w:rsidRDefault="003E4889" w:rsidP="005D14AB">
            <w:pPr>
              <w:rPr>
                <w:rFonts w:ascii="Calibri" w:hAnsi="Calibri" w:cs="Calibri"/>
                <w:color w:val="000000"/>
                <w:sz w:val="22"/>
                <w:szCs w:val="22"/>
              </w:rPr>
            </w:pPr>
            <w:r>
              <w:rPr>
                <w:rFonts w:ascii="Calibri" w:hAnsi="Calibri" w:cs="Calibri"/>
                <w:color w:val="000000"/>
                <w:sz w:val="22"/>
                <w:szCs w:val="22"/>
              </w:rPr>
              <w:t xml:space="preserve">THE-1199 </w:t>
            </w:r>
          </w:p>
          <w:p w14:paraId="03EF315C" w14:textId="77777777" w:rsidR="003E4889" w:rsidRDefault="003E4889" w:rsidP="005D14AB">
            <w:pPr>
              <w:rPr>
                <w:rFonts w:ascii="Calibri" w:hAnsi="Calibri" w:cs="Calibri"/>
                <w:color w:val="000000"/>
                <w:sz w:val="22"/>
                <w:szCs w:val="22"/>
              </w:rPr>
            </w:pPr>
            <w:r>
              <w:rPr>
                <w:rFonts w:ascii="Calibri" w:hAnsi="Calibri" w:cs="Calibri"/>
                <w:color w:val="000000"/>
                <w:sz w:val="22"/>
                <w:szCs w:val="22"/>
              </w:rPr>
              <w:t xml:space="preserve">THE-1213 </w:t>
            </w:r>
          </w:p>
          <w:p w14:paraId="0A4551B2" w14:textId="77777777" w:rsidR="003E4889" w:rsidRDefault="003E4889" w:rsidP="005D14AB">
            <w:pPr>
              <w:rPr>
                <w:rFonts w:ascii="Calibri" w:hAnsi="Calibri" w:cs="Calibri"/>
                <w:color w:val="000000"/>
                <w:sz w:val="22"/>
                <w:szCs w:val="22"/>
              </w:rPr>
            </w:pPr>
            <w:r>
              <w:rPr>
                <w:rFonts w:ascii="Calibri" w:hAnsi="Calibri" w:cs="Calibri"/>
                <w:color w:val="000000"/>
                <w:sz w:val="22"/>
                <w:szCs w:val="22"/>
              </w:rPr>
              <w:t xml:space="preserve">THE-2114 </w:t>
            </w:r>
          </w:p>
          <w:p w14:paraId="205BC0C7" w14:textId="77777777" w:rsidR="003E4889" w:rsidRDefault="003E4889" w:rsidP="005D14AB">
            <w:pPr>
              <w:rPr>
                <w:rFonts w:ascii="Calibri" w:hAnsi="Calibri" w:cs="Calibri"/>
                <w:color w:val="000000"/>
                <w:sz w:val="22"/>
                <w:szCs w:val="22"/>
              </w:rPr>
            </w:pPr>
            <w:r>
              <w:rPr>
                <w:rFonts w:ascii="Calibri" w:hAnsi="Calibri" w:cs="Calibri"/>
                <w:color w:val="000000"/>
                <w:sz w:val="22"/>
                <w:szCs w:val="22"/>
              </w:rPr>
              <w:t xml:space="preserve">THE-2201  </w:t>
            </w:r>
          </w:p>
          <w:p w14:paraId="7AFF6516" w14:textId="77777777" w:rsidR="003E4889" w:rsidRDefault="003E4889" w:rsidP="005D14AB">
            <w:pPr>
              <w:rPr>
                <w:rFonts w:ascii="Calibri" w:hAnsi="Calibri" w:cs="Calibri"/>
                <w:color w:val="000000"/>
                <w:sz w:val="22"/>
                <w:szCs w:val="22"/>
              </w:rPr>
            </w:pPr>
            <w:r>
              <w:rPr>
                <w:rFonts w:ascii="Calibri" w:hAnsi="Calibri" w:cs="Calibri"/>
                <w:color w:val="000000"/>
                <w:sz w:val="22"/>
                <w:szCs w:val="22"/>
              </w:rPr>
              <w:lastRenderedPageBreak/>
              <w:t xml:space="preserve">THE-2202  </w:t>
            </w:r>
          </w:p>
          <w:p w14:paraId="32D5F22E" w14:textId="77777777" w:rsidR="003E4889" w:rsidRDefault="003E4889" w:rsidP="005D14AB">
            <w:pPr>
              <w:rPr>
                <w:rFonts w:ascii="Calibri" w:hAnsi="Calibri" w:cs="Calibri"/>
                <w:color w:val="000000"/>
                <w:sz w:val="22"/>
                <w:szCs w:val="22"/>
              </w:rPr>
            </w:pPr>
            <w:r>
              <w:rPr>
                <w:rFonts w:ascii="Calibri" w:hAnsi="Calibri" w:cs="Calibri"/>
                <w:color w:val="000000"/>
                <w:sz w:val="22"/>
                <w:szCs w:val="22"/>
              </w:rPr>
              <w:t xml:space="preserve">THE-2206 </w:t>
            </w:r>
          </w:p>
          <w:p w14:paraId="54B8ABD9" w14:textId="77777777" w:rsidR="003E4889" w:rsidRDefault="003E4889" w:rsidP="005D14AB">
            <w:pPr>
              <w:rPr>
                <w:rFonts w:ascii="Calibri" w:hAnsi="Calibri" w:cs="Calibri"/>
                <w:color w:val="000000"/>
                <w:sz w:val="22"/>
                <w:szCs w:val="22"/>
              </w:rPr>
            </w:pPr>
            <w:r>
              <w:rPr>
                <w:rFonts w:ascii="Calibri" w:hAnsi="Calibri" w:cs="Calibri"/>
                <w:color w:val="000000"/>
                <w:sz w:val="22"/>
                <w:szCs w:val="22"/>
              </w:rPr>
              <w:t xml:space="preserve">THE-2216                        </w:t>
            </w:r>
          </w:p>
        </w:tc>
        <w:tc>
          <w:tcPr>
            <w:tcW w:w="1430" w:type="dxa"/>
            <w:shd w:val="clear" w:color="auto" w:fill="auto"/>
          </w:tcPr>
          <w:p w14:paraId="4BA57534" w14:textId="77777777" w:rsidR="003E4889" w:rsidRPr="004C52FC" w:rsidRDefault="003E4889" w:rsidP="005D14AB">
            <w:pPr>
              <w:rPr>
                <w:rFonts w:asciiTheme="minorHAnsi" w:hAnsiTheme="minorHAnsi" w:cs="Arial"/>
                <w:color w:val="000000" w:themeColor="text1"/>
              </w:rPr>
            </w:pPr>
            <w:r>
              <w:rPr>
                <w:rFonts w:asciiTheme="minorHAnsi" w:hAnsiTheme="minorHAnsi" w:cs="Arial"/>
                <w:color w:val="000000" w:themeColor="text1"/>
              </w:rPr>
              <w:lastRenderedPageBreak/>
              <w:t>2012-13</w:t>
            </w:r>
          </w:p>
        </w:tc>
        <w:tc>
          <w:tcPr>
            <w:tcW w:w="2250" w:type="dxa"/>
          </w:tcPr>
          <w:p w14:paraId="258E2FC6" w14:textId="77777777" w:rsidR="003E4889" w:rsidRDefault="003E4889" w:rsidP="00532AF6">
            <w:pPr>
              <w:pStyle w:val="ListParagraph"/>
              <w:tabs>
                <w:tab w:val="left" w:pos="5040"/>
              </w:tabs>
              <w:ind w:left="0"/>
              <w:rPr>
                <w:rFonts w:ascii="Arial" w:hAnsi="Arial" w:cs="Arial"/>
                <w:color w:val="000000" w:themeColor="text1"/>
              </w:rPr>
            </w:pPr>
            <w:r>
              <w:rPr>
                <w:rFonts w:ascii="Arial" w:hAnsi="Arial" w:cs="Arial"/>
                <w:b/>
                <w:color w:val="000000" w:themeColor="text1"/>
                <w:sz w:val="20"/>
                <w:szCs w:val="20"/>
              </w:rPr>
              <w:t>See Attachment: “Program Outcomes Play Structure” to see the assignments in major classes that look at this outcome</w:t>
            </w:r>
          </w:p>
          <w:p w14:paraId="5ACB7746" w14:textId="77777777" w:rsidR="003E4889" w:rsidRPr="004C52FC" w:rsidRDefault="003E4889" w:rsidP="005D14AB">
            <w:pPr>
              <w:pStyle w:val="ListParagraph"/>
              <w:tabs>
                <w:tab w:val="left" w:pos="5040"/>
              </w:tabs>
              <w:ind w:left="0"/>
              <w:rPr>
                <w:rFonts w:asciiTheme="minorHAnsi" w:hAnsiTheme="minorHAnsi" w:cs="Arial"/>
                <w:color w:val="000000" w:themeColor="text1"/>
              </w:rPr>
            </w:pPr>
          </w:p>
        </w:tc>
        <w:tc>
          <w:tcPr>
            <w:tcW w:w="4028" w:type="dxa"/>
          </w:tcPr>
          <w:p w14:paraId="4AABA90C" w14:textId="77777777" w:rsidR="003E4889" w:rsidRDefault="003E4889" w:rsidP="005D14AB">
            <w:pPr>
              <w:pStyle w:val="ListParagraph"/>
              <w:tabs>
                <w:tab w:val="left" w:pos="5040"/>
              </w:tabs>
              <w:ind w:left="0"/>
              <w:rPr>
                <w:rFonts w:ascii="Arial" w:hAnsi="Arial" w:cs="Arial"/>
                <w:color w:val="000000" w:themeColor="text1"/>
              </w:rPr>
            </w:pPr>
            <w:r w:rsidRPr="005A2AE5">
              <w:rPr>
                <w:rFonts w:asciiTheme="minorHAnsi" w:hAnsiTheme="minorHAnsi" w:cs="Arial"/>
                <w:b/>
                <w:color w:val="000000" w:themeColor="text1"/>
                <w:sz w:val="20"/>
                <w:szCs w:val="20"/>
              </w:rPr>
              <w:t xml:space="preserve">See Attachment: “Section III Assessment of Gen Ed - Degree </w:t>
            </w:r>
            <w:proofErr w:type="spellStart"/>
            <w:r w:rsidRPr="005A2AE5">
              <w:rPr>
                <w:rFonts w:asciiTheme="minorHAnsi" w:hAnsiTheme="minorHAnsi" w:cs="Arial"/>
                <w:b/>
                <w:color w:val="000000" w:themeColor="text1"/>
                <w:sz w:val="20"/>
                <w:szCs w:val="20"/>
              </w:rPr>
              <w:t>Prog</w:t>
            </w:r>
            <w:proofErr w:type="spellEnd"/>
            <w:r w:rsidRPr="005A2AE5">
              <w:rPr>
                <w:rFonts w:asciiTheme="minorHAnsi" w:hAnsiTheme="minorHAnsi" w:cs="Arial"/>
                <w:b/>
                <w:color w:val="000000" w:themeColor="text1"/>
                <w:sz w:val="20"/>
                <w:szCs w:val="20"/>
              </w:rPr>
              <w:t xml:space="preserve"> Outcomes”</w:t>
            </w:r>
          </w:p>
          <w:p w14:paraId="36810B6D" w14:textId="77777777" w:rsidR="003E4889" w:rsidRPr="004C52FC" w:rsidRDefault="003E4889" w:rsidP="005D14AB">
            <w:pPr>
              <w:pStyle w:val="ListParagraph"/>
              <w:tabs>
                <w:tab w:val="left" w:pos="5040"/>
              </w:tabs>
              <w:ind w:left="0"/>
              <w:rPr>
                <w:rFonts w:asciiTheme="minorHAnsi" w:hAnsiTheme="minorHAnsi" w:cs="Arial"/>
                <w:color w:val="000000" w:themeColor="text1"/>
              </w:rPr>
            </w:pPr>
          </w:p>
        </w:tc>
      </w:tr>
      <w:tr w:rsidR="003E4889" w:rsidRPr="004C52FC" w14:paraId="1D78323A" w14:textId="77777777" w:rsidTr="00293124">
        <w:trPr>
          <w:trHeight w:val="72"/>
        </w:trPr>
        <w:tc>
          <w:tcPr>
            <w:tcW w:w="3708" w:type="dxa"/>
            <w:shd w:val="clear" w:color="auto" w:fill="FFFFFF"/>
          </w:tcPr>
          <w:p w14:paraId="7AA3D8E6" w14:textId="77777777" w:rsidR="003E4889" w:rsidRDefault="003E4889" w:rsidP="005D14AB">
            <w:pPr>
              <w:rPr>
                <w:rFonts w:ascii="Calibri" w:hAnsi="Calibri" w:cs="Calibri"/>
                <w:color w:val="000000"/>
                <w:sz w:val="22"/>
                <w:szCs w:val="22"/>
              </w:rPr>
            </w:pPr>
            <w:r>
              <w:rPr>
                <w:rFonts w:ascii="Calibri" w:hAnsi="Calibri" w:cs="Calibri"/>
                <w:color w:val="000000"/>
                <w:sz w:val="22"/>
                <w:szCs w:val="22"/>
              </w:rPr>
              <w:lastRenderedPageBreak/>
              <w:t>Demonstrate competency in at least two different areas within the field of theatre (Acting; Directing; Costume Design; Set Design; Lighting Design; Stage Management; Technical Direction)</w:t>
            </w:r>
          </w:p>
        </w:tc>
        <w:tc>
          <w:tcPr>
            <w:tcW w:w="1742" w:type="dxa"/>
          </w:tcPr>
          <w:p w14:paraId="7AC4D8E7" w14:textId="77777777" w:rsidR="003E4889" w:rsidRDefault="003E4889" w:rsidP="005D14AB">
            <w:pPr>
              <w:rPr>
                <w:rFonts w:ascii="Calibri" w:hAnsi="Calibri" w:cs="Calibri"/>
                <w:color w:val="000000"/>
                <w:sz w:val="22"/>
                <w:szCs w:val="22"/>
              </w:rPr>
            </w:pPr>
            <w:r>
              <w:rPr>
                <w:rFonts w:ascii="Calibri" w:hAnsi="Calibri" w:cs="Calibri"/>
                <w:color w:val="000000"/>
                <w:sz w:val="22"/>
                <w:szCs w:val="22"/>
              </w:rPr>
              <w:t xml:space="preserve">THE-1105  </w:t>
            </w:r>
          </w:p>
          <w:p w14:paraId="6CC1FEBE" w14:textId="77777777" w:rsidR="003E4889" w:rsidRDefault="003E4889" w:rsidP="005D14AB">
            <w:pPr>
              <w:rPr>
                <w:rFonts w:ascii="Calibri" w:hAnsi="Calibri" w:cs="Calibri"/>
                <w:color w:val="000000"/>
                <w:sz w:val="22"/>
                <w:szCs w:val="22"/>
              </w:rPr>
            </w:pPr>
            <w:r>
              <w:rPr>
                <w:rFonts w:ascii="Calibri" w:hAnsi="Calibri" w:cs="Calibri"/>
                <w:color w:val="000000"/>
                <w:sz w:val="22"/>
                <w:szCs w:val="22"/>
              </w:rPr>
              <w:t xml:space="preserve">THE-1106/07 </w:t>
            </w:r>
          </w:p>
          <w:p w14:paraId="69569D5B" w14:textId="77777777" w:rsidR="003E4889" w:rsidRDefault="003E4889" w:rsidP="005D14AB">
            <w:pPr>
              <w:rPr>
                <w:rFonts w:ascii="Calibri" w:hAnsi="Calibri" w:cs="Calibri"/>
                <w:color w:val="000000"/>
                <w:sz w:val="22"/>
                <w:szCs w:val="22"/>
              </w:rPr>
            </w:pPr>
            <w:r>
              <w:rPr>
                <w:rFonts w:ascii="Calibri" w:hAnsi="Calibri" w:cs="Calibri"/>
                <w:color w:val="000000"/>
                <w:sz w:val="22"/>
                <w:szCs w:val="22"/>
              </w:rPr>
              <w:t xml:space="preserve">THE-2206 </w:t>
            </w:r>
          </w:p>
          <w:p w14:paraId="3ADFA046" w14:textId="77777777" w:rsidR="003E4889" w:rsidRDefault="003E4889" w:rsidP="005D14AB">
            <w:pPr>
              <w:rPr>
                <w:rFonts w:ascii="Calibri" w:hAnsi="Calibri" w:cs="Calibri"/>
                <w:color w:val="000000"/>
                <w:sz w:val="22"/>
                <w:szCs w:val="22"/>
              </w:rPr>
            </w:pPr>
            <w:r>
              <w:rPr>
                <w:rFonts w:ascii="Calibri" w:hAnsi="Calibri" w:cs="Calibri"/>
                <w:color w:val="000000"/>
                <w:sz w:val="22"/>
                <w:szCs w:val="22"/>
              </w:rPr>
              <w:t xml:space="preserve">THE-1194/6                          </w:t>
            </w:r>
          </w:p>
        </w:tc>
        <w:tc>
          <w:tcPr>
            <w:tcW w:w="1430" w:type="dxa"/>
            <w:shd w:val="clear" w:color="auto" w:fill="auto"/>
          </w:tcPr>
          <w:p w14:paraId="30146CB5" w14:textId="77777777" w:rsidR="003E4889" w:rsidRPr="004C52FC" w:rsidRDefault="003E4889" w:rsidP="005D14AB">
            <w:pPr>
              <w:rPr>
                <w:rFonts w:asciiTheme="minorHAnsi" w:hAnsiTheme="minorHAnsi" w:cs="Arial"/>
                <w:color w:val="000000" w:themeColor="text1"/>
              </w:rPr>
            </w:pPr>
            <w:r>
              <w:rPr>
                <w:rFonts w:asciiTheme="minorHAnsi" w:hAnsiTheme="minorHAnsi" w:cs="Arial"/>
                <w:color w:val="000000" w:themeColor="text1"/>
              </w:rPr>
              <w:t>2013-14</w:t>
            </w:r>
          </w:p>
        </w:tc>
        <w:tc>
          <w:tcPr>
            <w:tcW w:w="2250" w:type="dxa"/>
          </w:tcPr>
          <w:p w14:paraId="1A9B15FA" w14:textId="77777777" w:rsidR="003E4889" w:rsidRDefault="003E4889" w:rsidP="005D14AB">
            <w:pPr>
              <w:pStyle w:val="ListParagraph"/>
              <w:tabs>
                <w:tab w:val="left" w:pos="5040"/>
              </w:tabs>
              <w:ind w:left="0"/>
              <w:rPr>
                <w:rFonts w:ascii="Arial" w:hAnsi="Arial" w:cs="Arial"/>
                <w:color w:val="000000" w:themeColor="text1"/>
              </w:rPr>
            </w:pPr>
            <w:r>
              <w:rPr>
                <w:rFonts w:ascii="Arial" w:hAnsi="Arial" w:cs="Arial"/>
                <w:b/>
                <w:color w:val="000000" w:themeColor="text1"/>
                <w:sz w:val="20"/>
                <w:szCs w:val="20"/>
              </w:rPr>
              <w:t xml:space="preserve">See Attachment: “Links to Program Outcome: Competency in 2 areas” </w:t>
            </w:r>
          </w:p>
          <w:p w14:paraId="4AA6D077" w14:textId="77777777" w:rsidR="003E4889" w:rsidRPr="004C52FC" w:rsidRDefault="003E4889" w:rsidP="005D14AB">
            <w:pPr>
              <w:ind w:left="72"/>
              <w:rPr>
                <w:rFonts w:asciiTheme="minorHAnsi" w:hAnsiTheme="minorHAnsi" w:cs="Arial"/>
                <w:color w:val="000000" w:themeColor="text1"/>
              </w:rPr>
            </w:pPr>
          </w:p>
        </w:tc>
        <w:tc>
          <w:tcPr>
            <w:tcW w:w="4028" w:type="dxa"/>
          </w:tcPr>
          <w:p w14:paraId="7C984B5B" w14:textId="77777777" w:rsidR="003E4889" w:rsidRDefault="003E4889" w:rsidP="005D14AB">
            <w:pPr>
              <w:pStyle w:val="ListParagraph"/>
              <w:tabs>
                <w:tab w:val="left" w:pos="5040"/>
              </w:tabs>
              <w:ind w:left="0"/>
              <w:rPr>
                <w:rFonts w:ascii="Arial" w:hAnsi="Arial" w:cs="Arial"/>
                <w:color w:val="000000" w:themeColor="text1"/>
              </w:rPr>
            </w:pPr>
            <w:r>
              <w:rPr>
                <w:rFonts w:ascii="Arial" w:hAnsi="Arial" w:cs="Arial"/>
                <w:b/>
                <w:color w:val="000000" w:themeColor="text1"/>
                <w:sz w:val="20"/>
                <w:szCs w:val="20"/>
              </w:rPr>
              <w:t xml:space="preserve">See Attachment: “Links to Program Outcome: Competency in 2 areas” </w:t>
            </w:r>
          </w:p>
          <w:p w14:paraId="798FD200" w14:textId="77777777" w:rsidR="003E4889" w:rsidRPr="004C52FC" w:rsidRDefault="003E4889" w:rsidP="005D14AB">
            <w:pPr>
              <w:ind w:left="72"/>
              <w:rPr>
                <w:rFonts w:asciiTheme="minorHAnsi" w:hAnsiTheme="minorHAnsi" w:cs="Arial"/>
                <w:color w:val="000000" w:themeColor="text1"/>
              </w:rPr>
            </w:pPr>
          </w:p>
        </w:tc>
      </w:tr>
      <w:tr w:rsidR="003E4889" w:rsidRPr="004C52FC" w14:paraId="228ED8F5" w14:textId="77777777" w:rsidTr="00293124">
        <w:trPr>
          <w:trHeight w:val="72"/>
        </w:trPr>
        <w:tc>
          <w:tcPr>
            <w:tcW w:w="3708" w:type="dxa"/>
            <w:shd w:val="clear" w:color="auto" w:fill="FFFFFF"/>
          </w:tcPr>
          <w:p w14:paraId="715E1465" w14:textId="77777777" w:rsidR="003E4889" w:rsidRDefault="003E4889" w:rsidP="005D14AB">
            <w:pPr>
              <w:rPr>
                <w:rFonts w:ascii="Calibri" w:hAnsi="Calibri" w:cs="Calibri"/>
                <w:color w:val="000000"/>
                <w:sz w:val="22"/>
                <w:szCs w:val="22"/>
              </w:rPr>
            </w:pPr>
            <w:r>
              <w:rPr>
                <w:rFonts w:ascii="Calibri" w:hAnsi="Calibri" w:cs="Calibri"/>
                <w:color w:val="000000"/>
                <w:sz w:val="22"/>
                <w:szCs w:val="22"/>
              </w:rPr>
              <w:t>Demonstrate competency with basic audition and performance techniques.</w:t>
            </w:r>
          </w:p>
          <w:p w14:paraId="670F1187" w14:textId="41415D3A" w:rsidR="001D0506" w:rsidRDefault="001D0506" w:rsidP="005D14AB">
            <w:pPr>
              <w:rPr>
                <w:rFonts w:ascii="Calibri" w:hAnsi="Calibri" w:cs="Calibri"/>
                <w:color w:val="000000"/>
                <w:sz w:val="22"/>
                <w:szCs w:val="22"/>
              </w:rPr>
            </w:pPr>
            <w:r>
              <w:rPr>
                <w:rFonts w:ascii="Calibri" w:hAnsi="Calibri" w:cs="Calibri"/>
                <w:color w:val="000000"/>
                <w:sz w:val="22"/>
                <w:szCs w:val="22"/>
              </w:rPr>
              <w:t>Performance Majors ONLY</w:t>
            </w:r>
          </w:p>
        </w:tc>
        <w:tc>
          <w:tcPr>
            <w:tcW w:w="1742" w:type="dxa"/>
          </w:tcPr>
          <w:p w14:paraId="48206805" w14:textId="77777777" w:rsidR="003E4889" w:rsidRDefault="003E4889" w:rsidP="005D14AB">
            <w:pPr>
              <w:rPr>
                <w:rFonts w:ascii="Calibri" w:hAnsi="Calibri" w:cs="Calibri"/>
                <w:color w:val="000000"/>
                <w:sz w:val="22"/>
                <w:szCs w:val="22"/>
              </w:rPr>
            </w:pPr>
            <w:r>
              <w:rPr>
                <w:rFonts w:ascii="Calibri" w:hAnsi="Calibri" w:cs="Calibri"/>
                <w:color w:val="000000"/>
                <w:sz w:val="22"/>
                <w:szCs w:val="22"/>
              </w:rPr>
              <w:t xml:space="preserve">THE-1111 </w:t>
            </w:r>
          </w:p>
          <w:p w14:paraId="1E436AF3" w14:textId="77777777" w:rsidR="003E4889" w:rsidRDefault="003E4889" w:rsidP="005D14AB">
            <w:pPr>
              <w:rPr>
                <w:rFonts w:ascii="Calibri" w:hAnsi="Calibri" w:cs="Calibri"/>
                <w:color w:val="000000"/>
                <w:sz w:val="22"/>
                <w:szCs w:val="22"/>
              </w:rPr>
            </w:pPr>
            <w:r>
              <w:rPr>
                <w:rFonts w:ascii="Calibri" w:hAnsi="Calibri" w:cs="Calibri"/>
                <w:color w:val="000000"/>
                <w:sz w:val="22"/>
                <w:szCs w:val="22"/>
              </w:rPr>
              <w:t xml:space="preserve">THE-1199 </w:t>
            </w:r>
          </w:p>
          <w:p w14:paraId="1B6AABAB" w14:textId="77777777" w:rsidR="003E4889" w:rsidRDefault="003E4889" w:rsidP="005D14AB">
            <w:pPr>
              <w:rPr>
                <w:rFonts w:ascii="Calibri" w:hAnsi="Calibri" w:cs="Calibri"/>
                <w:color w:val="000000"/>
                <w:sz w:val="22"/>
                <w:szCs w:val="22"/>
              </w:rPr>
            </w:pPr>
            <w:r>
              <w:rPr>
                <w:rFonts w:ascii="Calibri" w:hAnsi="Calibri" w:cs="Calibri"/>
                <w:color w:val="000000"/>
                <w:sz w:val="22"/>
                <w:szCs w:val="22"/>
              </w:rPr>
              <w:t xml:space="preserve">THE-1213 </w:t>
            </w:r>
          </w:p>
          <w:p w14:paraId="66488C38" w14:textId="77777777" w:rsidR="003E4889" w:rsidRDefault="003E4889" w:rsidP="005D14AB">
            <w:pPr>
              <w:rPr>
                <w:rFonts w:ascii="Calibri" w:hAnsi="Calibri" w:cs="Calibri"/>
                <w:color w:val="000000"/>
                <w:sz w:val="22"/>
                <w:szCs w:val="22"/>
              </w:rPr>
            </w:pPr>
            <w:r>
              <w:rPr>
                <w:rFonts w:ascii="Calibri" w:hAnsi="Calibri" w:cs="Calibri"/>
                <w:color w:val="000000"/>
                <w:sz w:val="22"/>
                <w:szCs w:val="22"/>
              </w:rPr>
              <w:t>THE-2114</w:t>
            </w:r>
          </w:p>
          <w:p w14:paraId="08383D07" w14:textId="77777777" w:rsidR="003E4889" w:rsidRDefault="003E4889" w:rsidP="005D14AB">
            <w:pPr>
              <w:rPr>
                <w:rFonts w:ascii="Calibri" w:hAnsi="Calibri" w:cs="Calibri"/>
                <w:color w:val="000000"/>
                <w:sz w:val="22"/>
                <w:szCs w:val="22"/>
              </w:rPr>
            </w:pPr>
            <w:r>
              <w:rPr>
                <w:rFonts w:ascii="Calibri" w:hAnsi="Calibri" w:cs="Calibri"/>
                <w:color w:val="000000"/>
                <w:sz w:val="22"/>
                <w:szCs w:val="22"/>
              </w:rPr>
              <w:t xml:space="preserve">THE-2216                               </w:t>
            </w:r>
          </w:p>
        </w:tc>
        <w:tc>
          <w:tcPr>
            <w:tcW w:w="1430" w:type="dxa"/>
            <w:shd w:val="clear" w:color="auto" w:fill="auto"/>
          </w:tcPr>
          <w:p w14:paraId="7089F29B" w14:textId="77777777" w:rsidR="003E4889" w:rsidRPr="004C52FC" w:rsidRDefault="003E4889" w:rsidP="005D14AB">
            <w:pPr>
              <w:rPr>
                <w:rFonts w:asciiTheme="minorHAnsi" w:hAnsiTheme="minorHAnsi" w:cs="Arial"/>
                <w:color w:val="000000" w:themeColor="text1"/>
              </w:rPr>
            </w:pPr>
            <w:r>
              <w:rPr>
                <w:rFonts w:asciiTheme="minorHAnsi" w:hAnsiTheme="minorHAnsi" w:cs="Arial"/>
                <w:color w:val="000000" w:themeColor="text1"/>
              </w:rPr>
              <w:t>2016-17</w:t>
            </w:r>
          </w:p>
        </w:tc>
        <w:tc>
          <w:tcPr>
            <w:tcW w:w="2250" w:type="dxa"/>
          </w:tcPr>
          <w:p w14:paraId="772D25EE" w14:textId="77777777" w:rsidR="003E4889" w:rsidRDefault="003E4889" w:rsidP="005D14A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p w14:paraId="1A1524F5" w14:textId="77777777" w:rsidR="003E4889" w:rsidRPr="004C52FC" w:rsidRDefault="003E4889" w:rsidP="005D14AB">
            <w:pPr>
              <w:ind w:left="72"/>
              <w:rPr>
                <w:rFonts w:asciiTheme="minorHAnsi" w:hAnsiTheme="minorHAnsi" w:cs="Arial"/>
                <w:color w:val="000000" w:themeColor="text1"/>
              </w:rPr>
            </w:pPr>
          </w:p>
        </w:tc>
        <w:tc>
          <w:tcPr>
            <w:tcW w:w="4028" w:type="dxa"/>
          </w:tcPr>
          <w:p w14:paraId="38378A78" w14:textId="77777777" w:rsidR="003E4889" w:rsidRDefault="003E4889" w:rsidP="005D14A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p w14:paraId="45C7F1AA" w14:textId="77777777" w:rsidR="003E4889" w:rsidRPr="004C52FC" w:rsidRDefault="003E4889" w:rsidP="005D14AB">
            <w:pPr>
              <w:ind w:left="72"/>
              <w:rPr>
                <w:rFonts w:asciiTheme="minorHAnsi" w:hAnsiTheme="minorHAnsi" w:cs="Arial"/>
                <w:color w:val="000000" w:themeColor="text1"/>
              </w:rPr>
            </w:pPr>
          </w:p>
        </w:tc>
      </w:tr>
      <w:tr w:rsidR="003E4889" w:rsidRPr="004C52FC" w14:paraId="47D7A276" w14:textId="77777777" w:rsidTr="00293124">
        <w:tblPrEx>
          <w:shd w:val="clear" w:color="auto" w:fill="auto"/>
          <w:tblLook w:val="04A0" w:firstRow="1" w:lastRow="0" w:firstColumn="1" w:lastColumn="0" w:noHBand="0" w:noVBand="1"/>
        </w:tblPrEx>
        <w:trPr>
          <w:trHeight w:val="72"/>
        </w:trPr>
        <w:tc>
          <w:tcPr>
            <w:tcW w:w="3708" w:type="dxa"/>
          </w:tcPr>
          <w:p w14:paraId="078ACB86" w14:textId="72AE8FB2" w:rsidR="003E4889" w:rsidRDefault="003E4889" w:rsidP="005D14AB">
            <w:pPr>
              <w:rPr>
                <w:rFonts w:ascii="Calibri" w:hAnsi="Calibri" w:cs="Calibri"/>
                <w:color w:val="000000"/>
                <w:sz w:val="22"/>
                <w:szCs w:val="22"/>
              </w:rPr>
            </w:pPr>
            <w:r>
              <w:rPr>
                <w:rFonts w:ascii="Calibri" w:hAnsi="Calibri" w:cs="Calibri"/>
                <w:color w:val="000000"/>
                <w:sz w:val="22"/>
                <w:szCs w:val="22"/>
              </w:rPr>
              <w:t>Demonstrate competency with the basic skills needed in theatre technology</w:t>
            </w:r>
            <w:r w:rsidR="001D0506">
              <w:rPr>
                <w:rFonts w:ascii="Calibri" w:hAnsi="Calibri" w:cs="Calibri"/>
                <w:color w:val="000000"/>
                <w:sz w:val="22"/>
                <w:szCs w:val="22"/>
              </w:rPr>
              <w:t xml:space="preserve"> as a technician or crew member.</w:t>
            </w:r>
          </w:p>
          <w:p w14:paraId="5D25EC72" w14:textId="2DCB8C76" w:rsidR="001D0506" w:rsidRDefault="001D0506" w:rsidP="005D14AB">
            <w:pPr>
              <w:rPr>
                <w:rFonts w:ascii="Calibri" w:hAnsi="Calibri" w:cs="Calibri"/>
                <w:color w:val="000000"/>
                <w:sz w:val="22"/>
                <w:szCs w:val="22"/>
              </w:rPr>
            </w:pPr>
            <w:r>
              <w:rPr>
                <w:rFonts w:ascii="Calibri" w:hAnsi="Calibri" w:cs="Calibri"/>
                <w:color w:val="000000"/>
                <w:sz w:val="22"/>
                <w:szCs w:val="22"/>
              </w:rPr>
              <w:t>Technology Majors ONLY</w:t>
            </w:r>
          </w:p>
        </w:tc>
        <w:tc>
          <w:tcPr>
            <w:tcW w:w="1742" w:type="dxa"/>
          </w:tcPr>
          <w:p w14:paraId="12ECA928" w14:textId="77777777" w:rsidR="003E4889" w:rsidRDefault="003E4889" w:rsidP="005D14AB">
            <w:pPr>
              <w:rPr>
                <w:rFonts w:ascii="Calibri" w:hAnsi="Calibri" w:cs="Calibri"/>
                <w:color w:val="000000"/>
                <w:sz w:val="22"/>
                <w:szCs w:val="22"/>
              </w:rPr>
            </w:pPr>
            <w:r>
              <w:rPr>
                <w:rFonts w:ascii="Calibri" w:hAnsi="Calibri" w:cs="Calibri"/>
                <w:color w:val="000000"/>
                <w:sz w:val="22"/>
                <w:szCs w:val="22"/>
              </w:rPr>
              <w:t xml:space="preserve">THE-1106/07  </w:t>
            </w:r>
          </w:p>
          <w:p w14:paraId="1C2231E9" w14:textId="77777777" w:rsidR="003E4889" w:rsidRDefault="003E4889" w:rsidP="005D14AB">
            <w:pPr>
              <w:rPr>
                <w:rFonts w:ascii="Calibri" w:hAnsi="Calibri" w:cs="Calibri"/>
                <w:color w:val="000000"/>
                <w:sz w:val="22"/>
                <w:szCs w:val="22"/>
              </w:rPr>
            </w:pPr>
            <w:r>
              <w:rPr>
                <w:rFonts w:ascii="Calibri" w:hAnsi="Calibri" w:cs="Calibri"/>
                <w:color w:val="000000"/>
                <w:sz w:val="22"/>
                <w:szCs w:val="22"/>
              </w:rPr>
              <w:t>THE-1116/17</w:t>
            </w:r>
          </w:p>
          <w:p w14:paraId="66E16AF8" w14:textId="77777777" w:rsidR="003E4889" w:rsidRDefault="003E4889" w:rsidP="005D14AB">
            <w:pPr>
              <w:rPr>
                <w:rFonts w:ascii="Calibri" w:hAnsi="Calibri" w:cs="Calibri"/>
                <w:color w:val="000000"/>
                <w:sz w:val="22"/>
                <w:szCs w:val="22"/>
              </w:rPr>
            </w:pPr>
            <w:r>
              <w:rPr>
                <w:rFonts w:ascii="Calibri" w:hAnsi="Calibri" w:cs="Calibri"/>
                <w:color w:val="000000"/>
                <w:sz w:val="22"/>
                <w:szCs w:val="22"/>
              </w:rPr>
              <w:t>THE-1118/19</w:t>
            </w:r>
          </w:p>
          <w:p w14:paraId="70D19631" w14:textId="77777777" w:rsidR="003E4889" w:rsidRDefault="003E4889" w:rsidP="005D14AB">
            <w:pPr>
              <w:rPr>
                <w:rFonts w:ascii="Calibri" w:hAnsi="Calibri" w:cs="Calibri"/>
                <w:color w:val="000000"/>
                <w:sz w:val="22"/>
                <w:szCs w:val="22"/>
              </w:rPr>
            </w:pPr>
            <w:r>
              <w:rPr>
                <w:rFonts w:ascii="Calibri" w:hAnsi="Calibri" w:cs="Calibri"/>
                <w:color w:val="000000"/>
                <w:sz w:val="22"/>
                <w:szCs w:val="22"/>
              </w:rPr>
              <w:t xml:space="preserve">THE-1196  </w:t>
            </w:r>
          </w:p>
          <w:p w14:paraId="337BB76F" w14:textId="77777777" w:rsidR="003E4889" w:rsidRDefault="003E4889" w:rsidP="005D14AB">
            <w:pPr>
              <w:rPr>
                <w:rFonts w:ascii="Calibri" w:hAnsi="Calibri" w:cs="Calibri"/>
                <w:color w:val="000000"/>
                <w:sz w:val="22"/>
                <w:szCs w:val="22"/>
              </w:rPr>
            </w:pPr>
            <w:r>
              <w:rPr>
                <w:rFonts w:ascii="Calibri" w:hAnsi="Calibri" w:cs="Calibri"/>
                <w:color w:val="000000"/>
                <w:sz w:val="22"/>
                <w:szCs w:val="22"/>
              </w:rPr>
              <w:t xml:space="preserve">THE-2220 </w:t>
            </w:r>
          </w:p>
          <w:p w14:paraId="2C38EAE0" w14:textId="77777777" w:rsidR="003E4889" w:rsidRDefault="003E4889" w:rsidP="005D14AB">
            <w:pPr>
              <w:rPr>
                <w:rFonts w:ascii="Calibri" w:hAnsi="Calibri" w:cs="Calibri"/>
                <w:color w:val="000000"/>
                <w:sz w:val="22"/>
                <w:szCs w:val="22"/>
              </w:rPr>
            </w:pPr>
            <w:r>
              <w:rPr>
                <w:rFonts w:ascii="Calibri" w:hAnsi="Calibri" w:cs="Calibri"/>
                <w:color w:val="000000"/>
                <w:sz w:val="22"/>
                <w:szCs w:val="22"/>
              </w:rPr>
              <w:t>THE-2240</w:t>
            </w:r>
          </w:p>
          <w:p w14:paraId="1E976D24" w14:textId="77777777" w:rsidR="003E4889" w:rsidRDefault="003E4889" w:rsidP="005D14AB">
            <w:pPr>
              <w:rPr>
                <w:rFonts w:ascii="Calibri" w:hAnsi="Calibri" w:cs="Calibri"/>
                <w:color w:val="000000"/>
                <w:sz w:val="22"/>
                <w:szCs w:val="22"/>
              </w:rPr>
            </w:pPr>
            <w:r>
              <w:rPr>
                <w:rFonts w:ascii="Calibri" w:hAnsi="Calibri" w:cs="Calibri"/>
                <w:color w:val="000000"/>
                <w:sz w:val="22"/>
                <w:szCs w:val="22"/>
              </w:rPr>
              <w:t xml:space="preserve">THE-2296                                </w:t>
            </w:r>
          </w:p>
        </w:tc>
        <w:tc>
          <w:tcPr>
            <w:tcW w:w="1430" w:type="dxa"/>
          </w:tcPr>
          <w:p w14:paraId="3242C8C8" w14:textId="77777777" w:rsidR="003E4889" w:rsidRPr="004C52FC" w:rsidRDefault="003E4889" w:rsidP="005D14AB">
            <w:pPr>
              <w:rPr>
                <w:rFonts w:asciiTheme="minorHAnsi" w:hAnsiTheme="minorHAnsi" w:cs="Arial"/>
                <w:color w:val="000000" w:themeColor="text1"/>
              </w:rPr>
            </w:pPr>
            <w:r>
              <w:rPr>
                <w:rFonts w:asciiTheme="minorHAnsi" w:hAnsiTheme="minorHAnsi" w:cs="Arial"/>
                <w:color w:val="000000" w:themeColor="text1"/>
              </w:rPr>
              <w:t>2016-17</w:t>
            </w:r>
          </w:p>
        </w:tc>
        <w:tc>
          <w:tcPr>
            <w:tcW w:w="2250" w:type="dxa"/>
          </w:tcPr>
          <w:p w14:paraId="471D7E2B" w14:textId="77777777" w:rsidR="003E4889" w:rsidRDefault="003E4889" w:rsidP="005D14A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p w14:paraId="517E0579" w14:textId="77777777" w:rsidR="003E4889" w:rsidRPr="004C52FC" w:rsidRDefault="003E4889" w:rsidP="005D14AB">
            <w:pPr>
              <w:ind w:left="72"/>
              <w:rPr>
                <w:rFonts w:asciiTheme="minorHAnsi" w:hAnsiTheme="minorHAnsi" w:cs="Arial"/>
                <w:color w:val="000000" w:themeColor="text1"/>
              </w:rPr>
            </w:pPr>
          </w:p>
        </w:tc>
        <w:tc>
          <w:tcPr>
            <w:tcW w:w="4028" w:type="dxa"/>
          </w:tcPr>
          <w:p w14:paraId="6AA4C23B" w14:textId="77777777" w:rsidR="003E4889" w:rsidRDefault="003E4889" w:rsidP="005D14A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p w14:paraId="4DBC3204" w14:textId="77777777" w:rsidR="003E4889" w:rsidRPr="004C52FC" w:rsidRDefault="003E4889" w:rsidP="005D14AB">
            <w:pPr>
              <w:ind w:left="72"/>
              <w:rPr>
                <w:rFonts w:asciiTheme="minorHAnsi" w:hAnsiTheme="minorHAnsi" w:cs="Arial"/>
                <w:color w:val="000000" w:themeColor="text1"/>
              </w:rPr>
            </w:pPr>
          </w:p>
        </w:tc>
      </w:tr>
      <w:tr w:rsidR="003E4889" w:rsidRPr="004C52FC" w14:paraId="5F081B4D" w14:textId="77777777" w:rsidTr="00293124">
        <w:tblPrEx>
          <w:shd w:val="clear" w:color="auto" w:fill="auto"/>
          <w:tblLook w:val="04A0" w:firstRow="1" w:lastRow="0" w:firstColumn="1" w:lastColumn="0" w:noHBand="0" w:noVBand="1"/>
        </w:tblPrEx>
        <w:trPr>
          <w:trHeight w:val="72"/>
        </w:trPr>
        <w:tc>
          <w:tcPr>
            <w:tcW w:w="3708" w:type="dxa"/>
          </w:tcPr>
          <w:p w14:paraId="36806EFF" w14:textId="77777777" w:rsidR="003E4889" w:rsidRDefault="003E4889" w:rsidP="005D14AB">
            <w:pPr>
              <w:rPr>
                <w:rFonts w:ascii="Calibri" w:hAnsi="Calibri" w:cs="Calibri"/>
                <w:color w:val="000000"/>
                <w:sz w:val="22"/>
                <w:szCs w:val="22"/>
              </w:rPr>
            </w:pPr>
            <w:r>
              <w:rPr>
                <w:rFonts w:ascii="Calibri" w:hAnsi="Calibri" w:cs="Calibri"/>
                <w:color w:val="000000"/>
                <w:sz w:val="22"/>
                <w:szCs w:val="22"/>
              </w:rPr>
              <w:t>Differentiate among major periods in theatre history.</w:t>
            </w:r>
          </w:p>
        </w:tc>
        <w:tc>
          <w:tcPr>
            <w:tcW w:w="1742" w:type="dxa"/>
          </w:tcPr>
          <w:p w14:paraId="782EF637" w14:textId="77777777" w:rsidR="003E4889" w:rsidRDefault="003E4889" w:rsidP="005D14AB">
            <w:pPr>
              <w:rPr>
                <w:rFonts w:ascii="Calibri" w:hAnsi="Calibri" w:cs="Calibri"/>
                <w:color w:val="000000"/>
                <w:sz w:val="22"/>
                <w:szCs w:val="22"/>
              </w:rPr>
            </w:pPr>
            <w:r>
              <w:rPr>
                <w:rFonts w:ascii="Calibri" w:hAnsi="Calibri" w:cs="Calibri"/>
                <w:color w:val="000000"/>
                <w:sz w:val="22"/>
                <w:szCs w:val="22"/>
              </w:rPr>
              <w:t xml:space="preserve">THE-1105  </w:t>
            </w:r>
          </w:p>
          <w:p w14:paraId="3CA8840E" w14:textId="77777777" w:rsidR="003E4889" w:rsidRDefault="003E4889" w:rsidP="005D14AB">
            <w:pPr>
              <w:rPr>
                <w:rFonts w:ascii="Calibri" w:hAnsi="Calibri" w:cs="Calibri"/>
                <w:color w:val="000000"/>
                <w:sz w:val="22"/>
                <w:szCs w:val="22"/>
              </w:rPr>
            </w:pPr>
            <w:r>
              <w:rPr>
                <w:rFonts w:ascii="Calibri" w:hAnsi="Calibri" w:cs="Calibri"/>
                <w:color w:val="000000"/>
                <w:sz w:val="22"/>
                <w:szCs w:val="22"/>
              </w:rPr>
              <w:t xml:space="preserve">THE-1106 </w:t>
            </w:r>
          </w:p>
          <w:p w14:paraId="27DEF277" w14:textId="77777777" w:rsidR="003E4889" w:rsidRDefault="003E4889" w:rsidP="005D14AB">
            <w:pPr>
              <w:rPr>
                <w:rFonts w:ascii="Calibri" w:hAnsi="Calibri" w:cs="Calibri"/>
                <w:color w:val="000000"/>
                <w:sz w:val="22"/>
                <w:szCs w:val="22"/>
              </w:rPr>
            </w:pPr>
            <w:r>
              <w:rPr>
                <w:rFonts w:ascii="Calibri" w:hAnsi="Calibri" w:cs="Calibri"/>
                <w:color w:val="000000"/>
                <w:sz w:val="22"/>
                <w:szCs w:val="22"/>
              </w:rPr>
              <w:t xml:space="preserve">THE-2114 </w:t>
            </w:r>
          </w:p>
          <w:p w14:paraId="2F088FDB" w14:textId="77777777" w:rsidR="003E4889" w:rsidRDefault="003E4889" w:rsidP="005D14AB">
            <w:pPr>
              <w:rPr>
                <w:rFonts w:ascii="Calibri" w:hAnsi="Calibri" w:cs="Calibri"/>
                <w:color w:val="000000"/>
                <w:sz w:val="22"/>
                <w:szCs w:val="22"/>
              </w:rPr>
            </w:pPr>
            <w:r>
              <w:rPr>
                <w:rFonts w:ascii="Calibri" w:hAnsi="Calibri" w:cs="Calibri"/>
                <w:color w:val="000000"/>
                <w:sz w:val="22"/>
                <w:szCs w:val="22"/>
              </w:rPr>
              <w:t xml:space="preserve">THE-2201 </w:t>
            </w:r>
          </w:p>
          <w:p w14:paraId="7683891D" w14:textId="77777777" w:rsidR="003E4889" w:rsidRDefault="003E4889" w:rsidP="005D14AB">
            <w:pPr>
              <w:rPr>
                <w:rFonts w:ascii="Calibri" w:hAnsi="Calibri" w:cs="Calibri"/>
                <w:color w:val="000000"/>
                <w:sz w:val="22"/>
                <w:szCs w:val="22"/>
              </w:rPr>
            </w:pPr>
            <w:r>
              <w:rPr>
                <w:rFonts w:ascii="Calibri" w:hAnsi="Calibri" w:cs="Calibri"/>
                <w:color w:val="000000"/>
                <w:sz w:val="22"/>
                <w:szCs w:val="22"/>
              </w:rPr>
              <w:t xml:space="preserve">THE-2202  </w:t>
            </w:r>
          </w:p>
          <w:p w14:paraId="2F302575" w14:textId="77777777" w:rsidR="003E4889" w:rsidRDefault="003E4889" w:rsidP="005D14AB">
            <w:pPr>
              <w:rPr>
                <w:rFonts w:ascii="Calibri" w:hAnsi="Calibri" w:cs="Calibri"/>
                <w:color w:val="000000"/>
                <w:sz w:val="22"/>
                <w:szCs w:val="22"/>
              </w:rPr>
            </w:pPr>
            <w:r>
              <w:rPr>
                <w:rFonts w:ascii="Calibri" w:hAnsi="Calibri" w:cs="Calibri"/>
                <w:color w:val="000000"/>
                <w:sz w:val="22"/>
                <w:szCs w:val="22"/>
              </w:rPr>
              <w:t xml:space="preserve">THE-2206                          </w:t>
            </w:r>
          </w:p>
        </w:tc>
        <w:tc>
          <w:tcPr>
            <w:tcW w:w="1430" w:type="dxa"/>
          </w:tcPr>
          <w:p w14:paraId="6519C029" w14:textId="77777777" w:rsidR="003E4889" w:rsidRPr="004C52FC" w:rsidRDefault="003E4889" w:rsidP="005D14AB">
            <w:pPr>
              <w:rPr>
                <w:rFonts w:asciiTheme="minorHAnsi" w:hAnsiTheme="minorHAnsi" w:cs="Arial"/>
                <w:color w:val="000000" w:themeColor="text1"/>
              </w:rPr>
            </w:pPr>
            <w:r>
              <w:rPr>
                <w:rFonts w:asciiTheme="minorHAnsi" w:hAnsiTheme="minorHAnsi" w:cs="Arial"/>
                <w:color w:val="000000" w:themeColor="text1"/>
              </w:rPr>
              <w:t>2014-15</w:t>
            </w:r>
          </w:p>
        </w:tc>
        <w:tc>
          <w:tcPr>
            <w:tcW w:w="2250" w:type="dxa"/>
          </w:tcPr>
          <w:p w14:paraId="27EDC9C0" w14:textId="77777777" w:rsidR="003E4889" w:rsidRDefault="003E4889" w:rsidP="005D14AB">
            <w:pPr>
              <w:pStyle w:val="ListParagraph"/>
              <w:tabs>
                <w:tab w:val="left" w:pos="5040"/>
              </w:tabs>
              <w:ind w:left="0"/>
              <w:rPr>
                <w:rFonts w:ascii="Arial" w:hAnsi="Arial" w:cs="Arial"/>
                <w:color w:val="000000" w:themeColor="text1"/>
              </w:rPr>
            </w:pPr>
            <w:r>
              <w:rPr>
                <w:rFonts w:ascii="Arial" w:hAnsi="Arial" w:cs="Arial"/>
                <w:b/>
                <w:color w:val="000000" w:themeColor="text1"/>
                <w:sz w:val="20"/>
                <w:szCs w:val="20"/>
              </w:rPr>
              <w:t xml:space="preserve">See Attachment: “Program Outcomes History Periods” </w:t>
            </w:r>
          </w:p>
          <w:p w14:paraId="686190F5" w14:textId="77777777" w:rsidR="003E4889" w:rsidRDefault="003E4889" w:rsidP="005D14AB">
            <w:pPr>
              <w:pStyle w:val="ListParagraph"/>
              <w:tabs>
                <w:tab w:val="left" w:pos="5040"/>
              </w:tabs>
              <w:ind w:left="0"/>
              <w:rPr>
                <w:rFonts w:ascii="Arial" w:hAnsi="Arial" w:cs="Arial"/>
                <w:color w:val="000000" w:themeColor="text1"/>
              </w:rPr>
            </w:pPr>
          </w:p>
          <w:p w14:paraId="0202E86A" w14:textId="77777777" w:rsidR="003E4889" w:rsidRPr="004C52FC" w:rsidRDefault="003E4889" w:rsidP="005D14AB">
            <w:pPr>
              <w:ind w:left="72"/>
              <w:rPr>
                <w:rFonts w:asciiTheme="minorHAnsi" w:hAnsiTheme="minorHAnsi" w:cs="Arial"/>
                <w:color w:val="000000" w:themeColor="text1"/>
              </w:rPr>
            </w:pPr>
          </w:p>
        </w:tc>
        <w:tc>
          <w:tcPr>
            <w:tcW w:w="4028" w:type="dxa"/>
          </w:tcPr>
          <w:p w14:paraId="449AE314" w14:textId="77777777" w:rsidR="003E4889" w:rsidRPr="00293124" w:rsidRDefault="003E4889" w:rsidP="005D14AB">
            <w:pPr>
              <w:pStyle w:val="ListParagraph"/>
              <w:tabs>
                <w:tab w:val="left" w:pos="5040"/>
              </w:tabs>
              <w:ind w:left="0"/>
              <w:rPr>
                <w:rFonts w:ascii="Arial" w:hAnsi="Arial" w:cs="Arial"/>
                <w:b/>
                <w:color w:val="000000" w:themeColor="text1"/>
                <w:sz w:val="20"/>
                <w:szCs w:val="20"/>
              </w:rPr>
            </w:pPr>
            <w:r w:rsidRPr="00293124">
              <w:rPr>
                <w:rFonts w:ascii="Arial" w:hAnsi="Arial" w:cs="Arial"/>
                <w:b/>
                <w:color w:val="000000" w:themeColor="text1"/>
                <w:sz w:val="20"/>
                <w:szCs w:val="20"/>
              </w:rPr>
              <w:t>Results have not yet been assessed</w:t>
            </w:r>
          </w:p>
          <w:p w14:paraId="0506556E" w14:textId="77777777" w:rsidR="003E4889" w:rsidRPr="004C52FC" w:rsidRDefault="003E4889" w:rsidP="005D14AB">
            <w:pPr>
              <w:ind w:left="72"/>
              <w:rPr>
                <w:rFonts w:asciiTheme="minorHAnsi" w:hAnsiTheme="minorHAnsi" w:cs="Arial"/>
                <w:color w:val="000000" w:themeColor="text1"/>
              </w:rPr>
            </w:pPr>
          </w:p>
        </w:tc>
      </w:tr>
      <w:tr w:rsidR="003E4889" w:rsidRPr="004C52FC" w14:paraId="671839C2" w14:textId="77777777" w:rsidTr="00293124">
        <w:tblPrEx>
          <w:shd w:val="clear" w:color="auto" w:fill="auto"/>
          <w:tblLook w:val="04A0" w:firstRow="1" w:lastRow="0" w:firstColumn="1" w:lastColumn="0" w:noHBand="0" w:noVBand="1"/>
        </w:tblPrEx>
        <w:trPr>
          <w:trHeight w:val="72"/>
        </w:trPr>
        <w:tc>
          <w:tcPr>
            <w:tcW w:w="3708" w:type="dxa"/>
          </w:tcPr>
          <w:p w14:paraId="6E95D895" w14:textId="77777777" w:rsidR="003E4889" w:rsidRDefault="003E4889" w:rsidP="005D14AB">
            <w:pPr>
              <w:rPr>
                <w:rFonts w:ascii="Calibri" w:hAnsi="Calibri" w:cs="Calibri"/>
                <w:color w:val="000000"/>
                <w:sz w:val="22"/>
                <w:szCs w:val="22"/>
              </w:rPr>
            </w:pPr>
            <w:r>
              <w:rPr>
                <w:rFonts w:ascii="Calibri" w:hAnsi="Calibri" w:cs="Calibri"/>
                <w:color w:val="000000"/>
                <w:sz w:val="22"/>
                <w:szCs w:val="22"/>
              </w:rPr>
              <w:t>Evaluate the contribution of the director, actors, designers and technical crew to a live theatrical production.</w:t>
            </w:r>
          </w:p>
        </w:tc>
        <w:tc>
          <w:tcPr>
            <w:tcW w:w="1742" w:type="dxa"/>
          </w:tcPr>
          <w:p w14:paraId="05A2B94E" w14:textId="77777777" w:rsidR="003E4889" w:rsidRDefault="003E4889" w:rsidP="005D14AB">
            <w:pPr>
              <w:rPr>
                <w:rFonts w:ascii="Calibri" w:hAnsi="Calibri" w:cs="Calibri"/>
                <w:color w:val="000000"/>
                <w:sz w:val="22"/>
                <w:szCs w:val="22"/>
              </w:rPr>
            </w:pPr>
            <w:r>
              <w:rPr>
                <w:rFonts w:ascii="Calibri" w:hAnsi="Calibri" w:cs="Calibri"/>
                <w:color w:val="000000"/>
                <w:sz w:val="22"/>
                <w:szCs w:val="22"/>
              </w:rPr>
              <w:t xml:space="preserve">THE-1105  </w:t>
            </w:r>
          </w:p>
          <w:p w14:paraId="4EAB8B79" w14:textId="77777777" w:rsidR="003E4889" w:rsidRDefault="003E4889" w:rsidP="005D14AB">
            <w:pPr>
              <w:rPr>
                <w:rFonts w:ascii="Calibri" w:hAnsi="Calibri" w:cs="Calibri"/>
                <w:color w:val="000000"/>
                <w:sz w:val="22"/>
                <w:szCs w:val="22"/>
              </w:rPr>
            </w:pPr>
            <w:r>
              <w:rPr>
                <w:rFonts w:ascii="Calibri" w:hAnsi="Calibri" w:cs="Calibri"/>
                <w:color w:val="000000"/>
                <w:sz w:val="22"/>
                <w:szCs w:val="22"/>
              </w:rPr>
              <w:t xml:space="preserve">THE-1106/07  THE-1111 </w:t>
            </w:r>
          </w:p>
          <w:p w14:paraId="26128C42" w14:textId="77777777" w:rsidR="003E4889" w:rsidRDefault="003E4889" w:rsidP="005D14AB">
            <w:pPr>
              <w:rPr>
                <w:rFonts w:ascii="Calibri" w:hAnsi="Calibri" w:cs="Calibri"/>
                <w:color w:val="000000"/>
                <w:sz w:val="22"/>
                <w:szCs w:val="22"/>
              </w:rPr>
            </w:pPr>
            <w:r>
              <w:rPr>
                <w:rFonts w:ascii="Calibri" w:hAnsi="Calibri" w:cs="Calibri"/>
                <w:color w:val="000000"/>
                <w:sz w:val="22"/>
                <w:szCs w:val="22"/>
              </w:rPr>
              <w:t>THE-1194</w:t>
            </w:r>
          </w:p>
          <w:p w14:paraId="56605910" w14:textId="3EB2D807" w:rsidR="003E4889" w:rsidRDefault="00BD42DC" w:rsidP="005D14AB">
            <w:pPr>
              <w:rPr>
                <w:rFonts w:ascii="Calibri" w:hAnsi="Calibri" w:cs="Calibri"/>
                <w:color w:val="000000"/>
                <w:sz w:val="22"/>
                <w:szCs w:val="22"/>
              </w:rPr>
            </w:pPr>
            <w:r>
              <w:rPr>
                <w:rFonts w:ascii="Calibri" w:hAnsi="Calibri" w:cs="Calibri"/>
                <w:color w:val="000000"/>
                <w:sz w:val="22"/>
                <w:szCs w:val="22"/>
              </w:rPr>
              <w:t>THE2206</w:t>
            </w:r>
            <w:r w:rsidR="003E4889">
              <w:rPr>
                <w:rFonts w:ascii="Calibri" w:hAnsi="Calibri" w:cs="Calibri"/>
                <w:color w:val="000000"/>
                <w:sz w:val="22"/>
                <w:szCs w:val="22"/>
              </w:rPr>
              <w:t xml:space="preserve"> </w:t>
            </w:r>
          </w:p>
        </w:tc>
        <w:tc>
          <w:tcPr>
            <w:tcW w:w="1430" w:type="dxa"/>
          </w:tcPr>
          <w:p w14:paraId="4945AA28" w14:textId="77777777" w:rsidR="003E4889" w:rsidRPr="004C52FC" w:rsidRDefault="003E4889" w:rsidP="005D14AB">
            <w:pPr>
              <w:rPr>
                <w:rFonts w:asciiTheme="minorHAnsi" w:hAnsiTheme="minorHAnsi" w:cs="Arial"/>
                <w:color w:val="000000" w:themeColor="text1"/>
              </w:rPr>
            </w:pPr>
            <w:r>
              <w:rPr>
                <w:rFonts w:asciiTheme="minorHAnsi" w:hAnsiTheme="minorHAnsi" w:cs="Arial"/>
                <w:color w:val="000000" w:themeColor="text1"/>
              </w:rPr>
              <w:t>2015-16</w:t>
            </w:r>
          </w:p>
        </w:tc>
        <w:tc>
          <w:tcPr>
            <w:tcW w:w="2250" w:type="dxa"/>
          </w:tcPr>
          <w:p w14:paraId="6C9F6194" w14:textId="2A8DA6A8" w:rsidR="00B47506" w:rsidRDefault="00B47506" w:rsidP="00B47506">
            <w:pPr>
              <w:pStyle w:val="ListParagraph"/>
              <w:tabs>
                <w:tab w:val="left" w:pos="5040"/>
              </w:tabs>
              <w:ind w:left="0"/>
              <w:rPr>
                <w:rFonts w:ascii="Arial" w:hAnsi="Arial" w:cs="Arial"/>
                <w:color w:val="000000" w:themeColor="text1"/>
              </w:rPr>
            </w:pPr>
            <w:r>
              <w:rPr>
                <w:rFonts w:ascii="Arial" w:hAnsi="Arial" w:cs="Arial"/>
                <w:b/>
                <w:color w:val="000000" w:themeColor="text1"/>
                <w:sz w:val="20"/>
                <w:szCs w:val="20"/>
              </w:rPr>
              <w:t>See Attachment: “Program Outcomes Evaluate the contribution…’</w:t>
            </w:r>
          </w:p>
          <w:p w14:paraId="109D973A" w14:textId="5823B338" w:rsidR="003E4889" w:rsidRDefault="003E4889" w:rsidP="005D14AB">
            <w:pPr>
              <w:pStyle w:val="ListParagraph"/>
              <w:tabs>
                <w:tab w:val="left" w:pos="5040"/>
              </w:tabs>
              <w:ind w:left="0"/>
              <w:rPr>
                <w:rFonts w:ascii="Arial" w:hAnsi="Arial" w:cs="Arial"/>
                <w:color w:val="000000" w:themeColor="text1"/>
              </w:rPr>
            </w:pPr>
          </w:p>
          <w:p w14:paraId="08BF459E" w14:textId="77777777" w:rsidR="003E4889" w:rsidRPr="004C52FC" w:rsidRDefault="003E4889" w:rsidP="005D14AB">
            <w:pPr>
              <w:ind w:left="72"/>
              <w:rPr>
                <w:rFonts w:asciiTheme="minorHAnsi" w:hAnsiTheme="minorHAnsi" w:cs="Arial"/>
                <w:color w:val="000000" w:themeColor="text1"/>
              </w:rPr>
            </w:pPr>
          </w:p>
        </w:tc>
        <w:tc>
          <w:tcPr>
            <w:tcW w:w="4028" w:type="dxa"/>
          </w:tcPr>
          <w:p w14:paraId="6EBCB953" w14:textId="59D1D217" w:rsidR="00B47506" w:rsidRDefault="00B47506" w:rsidP="00B47506">
            <w:pPr>
              <w:pStyle w:val="ListParagraph"/>
              <w:tabs>
                <w:tab w:val="left" w:pos="5040"/>
              </w:tabs>
              <w:ind w:left="0"/>
              <w:rPr>
                <w:rFonts w:ascii="Arial" w:hAnsi="Arial" w:cs="Arial"/>
                <w:color w:val="000000" w:themeColor="text1"/>
              </w:rPr>
            </w:pPr>
            <w:r>
              <w:rPr>
                <w:rFonts w:ascii="Arial" w:hAnsi="Arial" w:cs="Arial"/>
                <w:b/>
                <w:color w:val="000000" w:themeColor="text1"/>
                <w:sz w:val="20"/>
                <w:szCs w:val="20"/>
              </w:rPr>
              <w:t>See Attachment: “</w:t>
            </w:r>
            <w:r w:rsidR="00DC487E">
              <w:rPr>
                <w:rFonts w:ascii="Arial" w:hAnsi="Arial" w:cs="Arial"/>
                <w:b/>
                <w:color w:val="000000" w:themeColor="text1"/>
                <w:sz w:val="20"/>
                <w:szCs w:val="20"/>
              </w:rPr>
              <w:t xml:space="preserve">PROGRAM OUTCOMES </w:t>
            </w:r>
            <w:r>
              <w:rPr>
                <w:rFonts w:ascii="Arial" w:hAnsi="Arial" w:cs="Arial"/>
                <w:b/>
                <w:color w:val="000000" w:themeColor="text1"/>
                <w:sz w:val="20"/>
                <w:szCs w:val="20"/>
              </w:rPr>
              <w:t>Evaluate the contribution…’</w:t>
            </w:r>
          </w:p>
          <w:p w14:paraId="6FA34EF0" w14:textId="77777777" w:rsidR="003E4889" w:rsidRPr="004C52FC" w:rsidRDefault="003E4889" w:rsidP="005D14AB">
            <w:pPr>
              <w:ind w:left="72"/>
              <w:rPr>
                <w:rFonts w:asciiTheme="minorHAnsi" w:hAnsiTheme="minorHAnsi" w:cs="Arial"/>
                <w:color w:val="000000" w:themeColor="text1"/>
              </w:rPr>
            </w:pPr>
          </w:p>
        </w:tc>
      </w:tr>
    </w:tbl>
    <w:p w14:paraId="0BD4DA16" w14:textId="77777777" w:rsidR="005F4B50" w:rsidRDefault="005F4B50" w:rsidP="00D708C3">
      <w:pPr>
        <w:rPr>
          <w:rFonts w:ascii="Arial" w:hAnsi="Arial" w:cs="Arial"/>
          <w:b/>
          <w:color w:val="000000" w:themeColor="text1"/>
          <w:u w:val="single"/>
        </w:rPr>
      </w:pPr>
    </w:p>
    <w:p w14:paraId="7FBF294C" w14:textId="77777777" w:rsidR="00B50E5D" w:rsidRDefault="00B50E5D" w:rsidP="00D708C3">
      <w:pPr>
        <w:rPr>
          <w:rFonts w:ascii="Arial" w:hAnsi="Arial" w:cs="Arial"/>
          <w:b/>
          <w:color w:val="000000" w:themeColor="text1"/>
          <w:u w:val="single"/>
        </w:rPr>
      </w:pPr>
    </w:p>
    <w:p w14:paraId="63A0485C" w14:textId="77777777" w:rsidR="003C59D8" w:rsidRDefault="003C59D8" w:rsidP="001D736E">
      <w:pPr>
        <w:pStyle w:val="ListParagraph"/>
        <w:tabs>
          <w:tab w:val="left" w:pos="5040"/>
        </w:tabs>
        <w:ind w:left="360"/>
        <w:rPr>
          <w:rFonts w:ascii="Arial" w:hAnsi="Arial" w:cs="Arial"/>
          <w:color w:val="000000" w:themeColor="text1"/>
        </w:rPr>
      </w:pPr>
    </w:p>
    <w:p w14:paraId="1704E617" w14:textId="77777777" w:rsidR="003C59D8" w:rsidRDefault="003C59D8" w:rsidP="001D736E">
      <w:pPr>
        <w:pStyle w:val="ListParagraph"/>
        <w:tabs>
          <w:tab w:val="left" w:pos="5040"/>
        </w:tabs>
        <w:ind w:left="360"/>
        <w:rPr>
          <w:rFonts w:ascii="Arial" w:hAnsi="Arial" w:cs="Arial"/>
          <w:color w:val="000000" w:themeColor="text1"/>
        </w:rPr>
      </w:pPr>
    </w:p>
    <w:tbl>
      <w:tblPr>
        <w:tblStyle w:val="TableGrid"/>
        <w:tblW w:w="13275" w:type="dxa"/>
        <w:tblLayout w:type="fixed"/>
        <w:tblCellMar>
          <w:left w:w="115" w:type="dxa"/>
          <w:right w:w="115" w:type="dxa"/>
        </w:tblCellMar>
        <w:tblLook w:val="04A0" w:firstRow="1" w:lastRow="0" w:firstColumn="1" w:lastColumn="0" w:noHBand="0" w:noVBand="1"/>
      </w:tblPr>
      <w:tblGrid>
        <w:gridCol w:w="3741"/>
        <w:gridCol w:w="9534"/>
      </w:tblGrid>
      <w:tr w:rsidR="00D27F86" w14:paraId="6FD3637F" w14:textId="77777777" w:rsidTr="00D27F86">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31FBACB7" w14:textId="77777777" w:rsidR="00D27F86" w:rsidRDefault="00D27F86">
            <w:pPr>
              <w:tabs>
                <w:tab w:val="left" w:pos="5040"/>
              </w:tabs>
              <w:rPr>
                <w:rFonts w:ascii="Arial" w:hAnsi="Arial" w:cs="Arial"/>
                <w:b/>
                <w:color w:val="000000" w:themeColor="text1"/>
              </w:rPr>
            </w:pPr>
            <w:r>
              <w:rPr>
                <w:rFonts w:ascii="Arial" w:hAnsi="Arial" w:cs="Arial"/>
                <w:b/>
                <w:color w:val="000000" w:themeColor="text1"/>
              </w:rPr>
              <w:lastRenderedPageBreak/>
              <w:t xml:space="preserve">Are changes planned as a result of the assessment of program outcomes?  If so, what are those changes? </w:t>
            </w:r>
          </w:p>
          <w:p w14:paraId="1F1DB057" w14:textId="77777777" w:rsidR="00D27F86" w:rsidRDefault="00D27F86">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1E792E6A" w14:textId="77777777" w:rsidR="00D27F86" w:rsidRDefault="00293124" w:rsidP="00B02892">
            <w:pPr>
              <w:pStyle w:val="ListParagraph"/>
              <w:tabs>
                <w:tab w:val="left" w:pos="5040"/>
              </w:tabs>
              <w:ind w:left="0"/>
              <w:rPr>
                <w:color w:val="000000" w:themeColor="text1"/>
              </w:rPr>
            </w:pPr>
            <w:r>
              <w:rPr>
                <w:color w:val="000000" w:themeColor="text1"/>
              </w:rPr>
              <w:t>The department is creating a process for better tracking the specific evaluation of specific assignments that have been identified as a tool for assessing each program outcome</w:t>
            </w:r>
            <w:r w:rsidR="00B17678">
              <w:rPr>
                <w:color w:val="000000" w:themeColor="text1"/>
              </w:rPr>
              <w:t>.</w:t>
            </w:r>
          </w:p>
          <w:p w14:paraId="5102B480" w14:textId="6347885B" w:rsidR="00445194" w:rsidRPr="00B02892" w:rsidRDefault="00445194" w:rsidP="00B02892">
            <w:pPr>
              <w:pStyle w:val="ListParagraph"/>
              <w:tabs>
                <w:tab w:val="left" w:pos="5040"/>
              </w:tabs>
              <w:ind w:left="0"/>
              <w:rPr>
                <w:color w:val="000000" w:themeColor="text1"/>
              </w:rPr>
            </w:pPr>
            <w:r>
              <w:rPr>
                <w:color w:val="000000" w:themeColor="text1"/>
              </w:rPr>
              <w:t>This was completed and reflected in the assessment results in the attachment</w:t>
            </w:r>
            <w:r w:rsidR="00194DB2">
              <w:rPr>
                <w:color w:val="000000" w:themeColor="text1"/>
              </w:rPr>
              <w:t>s</w:t>
            </w:r>
            <w:r>
              <w:rPr>
                <w:color w:val="000000" w:themeColor="text1"/>
              </w:rPr>
              <w:t>.  No further changes are planned.</w:t>
            </w:r>
          </w:p>
        </w:tc>
      </w:tr>
      <w:tr w:rsidR="00D27F86" w14:paraId="4CC37D55" w14:textId="77777777" w:rsidTr="00D27F86">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1B9CE68A" w14:textId="77777777" w:rsidR="00D27F86" w:rsidRDefault="00D27F86">
            <w:pPr>
              <w:tabs>
                <w:tab w:val="left" w:pos="5040"/>
              </w:tabs>
              <w:rPr>
                <w:rFonts w:ascii="Arial" w:hAnsi="Arial" w:cs="Arial"/>
                <w:b/>
                <w:color w:val="000000" w:themeColor="text1"/>
              </w:rPr>
            </w:pPr>
            <w:r>
              <w:rPr>
                <w:rFonts w:ascii="Arial" w:hAnsi="Arial" w:cs="Arial"/>
                <w:b/>
                <w:color w:val="000000" w:themeColor="text1"/>
              </w:rPr>
              <w:t xml:space="preserve">How will you determine whether those changes had an impact? </w:t>
            </w:r>
          </w:p>
          <w:p w14:paraId="6D450915" w14:textId="77777777" w:rsidR="00D27F86" w:rsidRDefault="00D27F86">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0C7A5960" w14:textId="77777777" w:rsidR="00D27F86" w:rsidRPr="00E11916" w:rsidRDefault="00D27F86">
            <w:pPr>
              <w:pStyle w:val="ListParagraph"/>
              <w:tabs>
                <w:tab w:val="left" w:pos="5040"/>
              </w:tabs>
              <w:ind w:left="0"/>
              <w:rPr>
                <w:color w:val="000000" w:themeColor="text1"/>
              </w:rPr>
            </w:pPr>
          </w:p>
        </w:tc>
      </w:tr>
    </w:tbl>
    <w:p w14:paraId="0C954241" w14:textId="77777777" w:rsidR="00B17678" w:rsidRDefault="00B17678" w:rsidP="00FA24D1">
      <w:pPr>
        <w:pStyle w:val="ListParagraph"/>
        <w:tabs>
          <w:tab w:val="left" w:pos="5040"/>
        </w:tabs>
        <w:rPr>
          <w:rFonts w:ascii="Arial" w:hAnsi="Arial" w:cs="Arial"/>
          <w:b/>
          <w:color w:val="000000" w:themeColor="text1"/>
        </w:rPr>
      </w:pPr>
    </w:p>
    <w:p w14:paraId="6B94FAE1" w14:textId="77777777" w:rsidR="003E4889" w:rsidRDefault="003E4889" w:rsidP="00FA24D1">
      <w:pPr>
        <w:pStyle w:val="ListParagraph"/>
        <w:tabs>
          <w:tab w:val="left" w:pos="5040"/>
        </w:tabs>
        <w:rPr>
          <w:rFonts w:ascii="Arial" w:hAnsi="Arial" w:cs="Arial"/>
          <w:b/>
          <w:color w:val="000000" w:themeColor="text1"/>
        </w:rPr>
      </w:pPr>
    </w:p>
    <w:p w14:paraId="6A88F9EB" w14:textId="77777777" w:rsidR="003E4889" w:rsidRDefault="003E4889" w:rsidP="003E4889">
      <w:pPr>
        <w:rPr>
          <w:b/>
          <w:u w:val="single"/>
        </w:rPr>
      </w:pPr>
      <w:r>
        <w:rPr>
          <w:b/>
          <w:u w:val="single"/>
        </w:rPr>
        <w:t>OPTIONAL:</w:t>
      </w:r>
    </w:p>
    <w:p w14:paraId="23E8ADA0" w14:textId="77777777" w:rsidR="003E4889" w:rsidRDefault="003E4889" w:rsidP="003E4889">
      <w:pPr>
        <w:rPr>
          <w:b/>
          <w:u w:val="single"/>
        </w:rPr>
      </w:pPr>
    </w:p>
    <w:p w14:paraId="30599344" w14:textId="0F3BC7CC" w:rsidR="003E4889" w:rsidRDefault="003E4889" w:rsidP="003E4889">
      <w:r>
        <w:rPr>
          <w:noProof/>
        </w:rPr>
        <mc:AlternateContent>
          <mc:Choice Requires="wps">
            <w:drawing>
              <wp:anchor distT="45720" distB="45720" distL="114300" distR="114300" simplePos="0" relativeHeight="251659264" behindDoc="0" locked="0" layoutInCell="1" allowOverlap="1" wp14:anchorId="6D924070" wp14:editId="1DD1A88C">
                <wp:simplePos x="0" y="0"/>
                <wp:positionH relativeFrom="margin">
                  <wp:align>right</wp:align>
                </wp:positionH>
                <wp:positionV relativeFrom="paragraph">
                  <wp:posOffset>435610</wp:posOffset>
                </wp:positionV>
                <wp:extent cx="8201025" cy="857250"/>
                <wp:effectExtent l="0" t="0" r="28575"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1025" cy="857250"/>
                        </a:xfrm>
                        <a:prstGeom prst="rect">
                          <a:avLst/>
                        </a:prstGeom>
                        <a:solidFill>
                          <a:srgbClr val="FFFFFF"/>
                        </a:solidFill>
                        <a:ln w="25400">
                          <a:solidFill>
                            <a:srgbClr val="000000"/>
                          </a:solidFill>
                          <a:miter lim="800000"/>
                          <a:headEnd/>
                          <a:tailEnd/>
                        </a:ln>
                      </wps:spPr>
                      <wps:txbx>
                        <w:txbxContent>
                          <w:p w14:paraId="1EBEFDBA" w14:textId="77777777" w:rsidR="003E4889" w:rsidRDefault="003E4889" w:rsidP="003E488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924070" id="_x0000_t202" coordsize="21600,21600" o:spt="202" path="m,l,21600r21600,l21600,xe">
                <v:stroke joinstyle="miter"/>
                <v:path gradientshapeok="t" o:connecttype="rect"/>
              </v:shapetype>
              <v:shape id="Text Box 217" o:spid="_x0000_s1026" type="#_x0000_t202" style="position:absolute;margin-left:594.55pt;margin-top:34.3pt;width:645.75pt;height:6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" strokeweight="2pt">
                <v:textbox>
                  <w:txbxContent>
                    <w:p w14:paraId="1EBEFDBA" w14:textId="77777777" w:rsidR="003E4889" w:rsidRDefault="003E4889" w:rsidP="003E4889"/>
                  </w:txbxContent>
                </v:textbox>
                <w10:wrap type="square" anchorx="margin"/>
              </v:shape>
            </w:pict>
          </mc:Fallback>
        </mc:AlternateContent>
      </w:r>
      <w:r>
        <w:t>Please use the space below to keep track of any annual data that your department wishes to maintain.   This section is completely optional and will not be reviewed by the Division Assessment Coordinators.</w:t>
      </w:r>
    </w:p>
    <w:p w14:paraId="6A1B82D4" w14:textId="695736BA" w:rsidR="00BB7756" w:rsidRDefault="00BB7756" w:rsidP="00BB7756">
      <w:pPr>
        <w:pStyle w:val="ListParagraph"/>
        <w:tabs>
          <w:tab w:val="left" w:pos="5040"/>
        </w:tabs>
        <w:rPr>
          <w:rFonts w:ascii="Arial" w:hAnsi="Arial" w:cs="Arial"/>
          <w:b/>
          <w:color w:val="000000" w:themeColor="text1"/>
        </w:rPr>
      </w:pPr>
      <w:r>
        <w:rPr>
          <w:rFonts w:ascii="Arial" w:hAnsi="Arial" w:cs="Arial"/>
          <w:b/>
          <w:color w:val="000000" w:themeColor="text1"/>
        </w:rPr>
        <w:t xml:space="preserve">The completion charts included with the Annual Update need clarification. Below is the adjusted chart that shows Theatre degrees being awarded for an academic year, as defined by </w:t>
      </w:r>
      <w:proofErr w:type="gramStart"/>
      <w:r>
        <w:rPr>
          <w:rFonts w:ascii="Arial" w:hAnsi="Arial" w:cs="Arial"/>
          <w:b/>
          <w:color w:val="000000" w:themeColor="text1"/>
        </w:rPr>
        <w:t>Fall</w:t>
      </w:r>
      <w:proofErr w:type="gramEnd"/>
      <w:r>
        <w:rPr>
          <w:rFonts w:ascii="Arial" w:hAnsi="Arial" w:cs="Arial"/>
          <w:b/>
          <w:color w:val="000000" w:themeColor="text1"/>
        </w:rPr>
        <w:t xml:space="preserve">, Spring, Summer. The chart included with the Annual Update defines graduate numbers by </w:t>
      </w:r>
      <w:proofErr w:type="gramStart"/>
      <w:r>
        <w:rPr>
          <w:rFonts w:ascii="Arial" w:hAnsi="Arial" w:cs="Arial"/>
          <w:b/>
          <w:color w:val="000000" w:themeColor="text1"/>
        </w:rPr>
        <w:t>Summer</w:t>
      </w:r>
      <w:proofErr w:type="gramEnd"/>
      <w:r>
        <w:rPr>
          <w:rFonts w:ascii="Arial" w:hAnsi="Arial" w:cs="Arial"/>
          <w:b/>
          <w:color w:val="000000" w:themeColor="text1"/>
        </w:rPr>
        <w:t xml:space="preserve">, Fall, Spring. The department tracks completion for an academic year to include the summer </w:t>
      </w:r>
      <w:r w:rsidRPr="00BB7756">
        <w:rPr>
          <w:rFonts w:ascii="Arial" w:hAnsi="Arial" w:cs="Arial"/>
          <w:b/>
          <w:i/>
          <w:color w:val="000000" w:themeColor="text1"/>
          <w:u w:val="single"/>
        </w:rPr>
        <w:t>following</w:t>
      </w:r>
      <w:r>
        <w:rPr>
          <w:rFonts w:ascii="Arial" w:hAnsi="Arial" w:cs="Arial"/>
          <w:b/>
          <w:color w:val="000000" w:themeColor="text1"/>
        </w:rPr>
        <w:t xml:space="preserve"> the academic year of </w:t>
      </w:r>
      <w:proofErr w:type="gramStart"/>
      <w:r>
        <w:rPr>
          <w:rFonts w:ascii="Arial" w:hAnsi="Arial" w:cs="Arial"/>
          <w:b/>
          <w:color w:val="000000" w:themeColor="text1"/>
        </w:rPr>
        <w:t>Fall</w:t>
      </w:r>
      <w:proofErr w:type="gramEnd"/>
      <w:r>
        <w:rPr>
          <w:rFonts w:ascii="Arial" w:hAnsi="Arial" w:cs="Arial"/>
          <w:b/>
          <w:color w:val="000000" w:themeColor="text1"/>
        </w:rPr>
        <w:t xml:space="preserve"> and Spring, and that also better reflects a student’s more traditional completion path to graduation.</w:t>
      </w:r>
    </w:p>
    <w:p w14:paraId="3AAE6A16" w14:textId="77777777" w:rsidR="00BB7756" w:rsidRDefault="00BB7756" w:rsidP="00BB7756">
      <w:pPr>
        <w:pStyle w:val="ListParagraph"/>
        <w:tabs>
          <w:tab w:val="left" w:pos="5040"/>
        </w:tabs>
        <w:rPr>
          <w:rFonts w:ascii="Arial" w:hAnsi="Arial" w:cs="Arial"/>
          <w:b/>
          <w:color w:val="000000" w:themeColor="text1"/>
        </w:rPr>
      </w:pPr>
    </w:p>
    <w:p w14:paraId="22C5F5D6" w14:textId="5C5B0CDE" w:rsidR="00BB7756" w:rsidRDefault="00BB7756" w:rsidP="00BB7756">
      <w:pPr>
        <w:pStyle w:val="ListParagraph"/>
        <w:tabs>
          <w:tab w:val="left" w:pos="5040"/>
        </w:tabs>
        <w:rPr>
          <w:rFonts w:ascii="Arial" w:hAnsi="Arial" w:cs="Arial"/>
          <w:b/>
          <w:color w:val="000000" w:themeColor="text1"/>
        </w:rPr>
      </w:pPr>
      <w:r>
        <w:rPr>
          <w:rFonts w:ascii="Arial" w:hAnsi="Arial" w:cs="Arial"/>
          <w:b/>
          <w:color w:val="000000" w:themeColor="text1"/>
        </w:rPr>
        <w:t>It has been confirmed with Academic Advising and Jared Cutler that we have come up with the same number of degrees awarded, so this is not a change in total number of degrees, just differences in which academic year the degree is counted.</w:t>
      </w:r>
      <w:bookmarkStart w:id="1" w:name="_GoBack"/>
      <w:bookmarkEnd w:id="1"/>
    </w:p>
    <w:p w14:paraId="0197BE76" w14:textId="77777777" w:rsidR="00BB7756" w:rsidRDefault="00BB7756" w:rsidP="00BB7756">
      <w:pPr>
        <w:pStyle w:val="ListParagraph"/>
        <w:tabs>
          <w:tab w:val="left" w:pos="5040"/>
        </w:tabs>
        <w:rPr>
          <w:rFonts w:ascii="Arial" w:hAnsi="Arial" w:cs="Arial"/>
          <w:b/>
          <w:color w:val="000000" w:themeColor="text1"/>
        </w:rPr>
      </w:pPr>
    </w:p>
    <w:p w14:paraId="35727349" w14:textId="77777777" w:rsidR="00BB7756" w:rsidRPr="00617FB0" w:rsidRDefault="00BB7756" w:rsidP="00BB7756">
      <w:pPr>
        <w:pStyle w:val="ListParagraph"/>
        <w:tabs>
          <w:tab w:val="left" w:pos="5040"/>
        </w:tabs>
        <w:rPr>
          <w:rFonts w:ascii="Arial" w:hAnsi="Arial" w:cs="Arial"/>
          <w:b/>
          <w:color w:val="000000" w:themeColor="text1"/>
        </w:rPr>
      </w:pPr>
    </w:p>
    <w:p w14:paraId="7397FCDA" w14:textId="77777777" w:rsidR="00C93147" w:rsidRDefault="00C93147" w:rsidP="00C93147"/>
    <w:p w14:paraId="28CC2438" w14:textId="77777777" w:rsidR="00C93147" w:rsidRDefault="00C93147" w:rsidP="00C93147"/>
    <w:p w14:paraId="3A9636E9" w14:textId="77777777" w:rsidR="00C93147" w:rsidRDefault="00C93147" w:rsidP="00C93147">
      <w:r>
        <w:rPr>
          <w:noProof/>
        </w:rPr>
        <w:lastRenderedPageBreak/>
        <w:drawing>
          <wp:inline distT="0" distB="0" distL="0" distR="0" wp14:anchorId="2FC555D2" wp14:editId="407A3693">
            <wp:extent cx="5486400" cy="32004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D697E40" w14:textId="77777777" w:rsidR="003E4889" w:rsidRDefault="003E4889" w:rsidP="00FA24D1">
      <w:pPr>
        <w:pStyle w:val="ListParagraph"/>
        <w:tabs>
          <w:tab w:val="left" w:pos="5040"/>
        </w:tabs>
        <w:rPr>
          <w:rFonts w:ascii="Arial" w:hAnsi="Arial" w:cs="Arial"/>
          <w:b/>
          <w:color w:val="000000" w:themeColor="text1"/>
        </w:rPr>
      </w:pPr>
    </w:p>
    <w:sectPr w:rsidR="003E4889" w:rsidSect="00265449">
      <w:footerReference w:type="default" r:id="rId9"/>
      <w:pgSz w:w="15840" w:h="12240" w:orient="landscape"/>
      <w:pgMar w:top="1440" w:right="1152" w:bottom="864" w:left="1152"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57D757" w14:textId="77777777" w:rsidR="00D04816" w:rsidRDefault="00D04816" w:rsidP="0094204C">
      <w:r>
        <w:separator/>
      </w:r>
    </w:p>
  </w:endnote>
  <w:endnote w:type="continuationSeparator" w:id="0">
    <w:p w14:paraId="394199C7" w14:textId="77777777" w:rsidR="00D04816" w:rsidRDefault="00D04816"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159078"/>
      <w:docPartObj>
        <w:docPartGallery w:val="Page Numbers (Bottom of Page)"/>
        <w:docPartUnique/>
      </w:docPartObj>
    </w:sdtPr>
    <w:sdtEndPr/>
    <w:sdtContent>
      <w:p w14:paraId="4526A1A5" w14:textId="77777777" w:rsidR="00293124" w:rsidRDefault="00293124">
        <w:pPr>
          <w:pStyle w:val="Footer"/>
          <w:jc w:val="right"/>
        </w:pPr>
        <w:r>
          <w:fldChar w:fldCharType="begin"/>
        </w:r>
        <w:r>
          <w:instrText xml:space="preserve"> PAGE   \* MERGEFORMAT </w:instrText>
        </w:r>
        <w:r>
          <w:fldChar w:fldCharType="separate"/>
        </w:r>
        <w:r w:rsidR="00194DB2">
          <w:rPr>
            <w:noProof/>
          </w:rPr>
          <w:t>9</w:t>
        </w:r>
        <w:r>
          <w:rPr>
            <w:noProof/>
          </w:rPr>
          <w:fldChar w:fldCharType="end"/>
        </w:r>
      </w:p>
    </w:sdtContent>
  </w:sdt>
  <w:p w14:paraId="761400E5" w14:textId="77777777" w:rsidR="00293124" w:rsidRDefault="002931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0666B1" w14:textId="77777777" w:rsidR="00D04816" w:rsidRDefault="00D04816" w:rsidP="0094204C">
      <w:r>
        <w:separator/>
      </w:r>
    </w:p>
  </w:footnote>
  <w:footnote w:type="continuationSeparator" w:id="0">
    <w:p w14:paraId="5475DDF3" w14:textId="77777777" w:rsidR="00D04816" w:rsidRDefault="00D04816"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5A4F41"/>
    <w:multiLevelType w:val="hybridMultilevel"/>
    <w:tmpl w:val="14AC8B2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19106F"/>
    <w:multiLevelType w:val="hybridMultilevel"/>
    <w:tmpl w:val="33A49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1C4996"/>
    <w:multiLevelType w:val="hybridMultilevel"/>
    <w:tmpl w:val="97B20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691FC9"/>
    <w:multiLevelType w:val="hybridMultilevel"/>
    <w:tmpl w:val="CB8E88F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9">
    <w:nsid w:val="276C0327"/>
    <w:multiLevelType w:val="hybridMultilevel"/>
    <w:tmpl w:val="3C1A1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0A204CD"/>
    <w:multiLevelType w:val="hybridMultilevel"/>
    <w:tmpl w:val="E99A409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2">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D34CB6"/>
    <w:multiLevelType w:val="hybridMultilevel"/>
    <w:tmpl w:val="6F9E6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8">
    <w:nsid w:val="669664D4"/>
    <w:multiLevelType w:val="hybridMultilevel"/>
    <w:tmpl w:val="C75ED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0F662F3"/>
    <w:multiLevelType w:val="hybridMultilevel"/>
    <w:tmpl w:val="A1305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30A0D76"/>
    <w:multiLevelType w:val="hybridMultilevel"/>
    <w:tmpl w:val="51B4D06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4">
    <w:nsid w:val="74C87163"/>
    <w:multiLevelType w:val="hybridMultilevel"/>
    <w:tmpl w:val="428A16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6"/>
  </w:num>
  <w:num w:numId="3">
    <w:abstractNumId w:val="10"/>
  </w:num>
  <w:num w:numId="4">
    <w:abstractNumId w:val="15"/>
  </w:num>
  <w:num w:numId="5">
    <w:abstractNumId w:val="2"/>
  </w:num>
  <w:num w:numId="6">
    <w:abstractNumId w:val="12"/>
  </w:num>
  <w:num w:numId="7">
    <w:abstractNumId w:val="20"/>
  </w:num>
  <w:num w:numId="8">
    <w:abstractNumId w:val="17"/>
  </w:num>
  <w:num w:numId="9">
    <w:abstractNumId w:val="1"/>
  </w:num>
  <w:num w:numId="10">
    <w:abstractNumId w:val="22"/>
  </w:num>
  <w:num w:numId="11">
    <w:abstractNumId w:val="0"/>
  </w:num>
  <w:num w:numId="12">
    <w:abstractNumId w:val="19"/>
  </w:num>
  <w:num w:numId="13">
    <w:abstractNumId w:val="14"/>
  </w:num>
  <w:num w:numId="14">
    <w:abstractNumId w:val="4"/>
  </w:num>
  <w:num w:numId="15">
    <w:abstractNumId w:val="3"/>
  </w:num>
  <w:num w:numId="16">
    <w:abstractNumId w:val="11"/>
  </w:num>
  <w:num w:numId="17">
    <w:abstractNumId w:val="24"/>
  </w:num>
  <w:num w:numId="18">
    <w:abstractNumId w:val="5"/>
  </w:num>
  <w:num w:numId="19">
    <w:abstractNumId w:val="16"/>
  </w:num>
  <w:num w:numId="20">
    <w:abstractNumId w:val="5"/>
  </w:num>
  <w:num w:numId="21">
    <w:abstractNumId w:val="9"/>
  </w:num>
  <w:num w:numId="22">
    <w:abstractNumId w:val="18"/>
  </w:num>
  <w:num w:numId="23">
    <w:abstractNumId w:val="7"/>
  </w:num>
  <w:num w:numId="24">
    <w:abstractNumId w:val="21"/>
  </w:num>
  <w:num w:numId="25">
    <w:abstractNumId w:val="23"/>
  </w:num>
  <w:num w:numId="26">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129"/>
    <w:rsid w:val="000008AF"/>
    <w:rsid w:val="0000419F"/>
    <w:rsid w:val="00004CAC"/>
    <w:rsid w:val="00010B07"/>
    <w:rsid w:val="000152E9"/>
    <w:rsid w:val="00015E26"/>
    <w:rsid w:val="00025CDE"/>
    <w:rsid w:val="00025E2A"/>
    <w:rsid w:val="000279EB"/>
    <w:rsid w:val="00033358"/>
    <w:rsid w:val="000337E6"/>
    <w:rsid w:val="00033A23"/>
    <w:rsid w:val="00034CE6"/>
    <w:rsid w:val="00036DF9"/>
    <w:rsid w:val="00046296"/>
    <w:rsid w:val="00054BFD"/>
    <w:rsid w:val="0005621A"/>
    <w:rsid w:val="00056964"/>
    <w:rsid w:val="000616F3"/>
    <w:rsid w:val="00063778"/>
    <w:rsid w:val="00064D57"/>
    <w:rsid w:val="00065129"/>
    <w:rsid w:val="000738FE"/>
    <w:rsid w:val="00074BD5"/>
    <w:rsid w:val="00080933"/>
    <w:rsid w:val="00095265"/>
    <w:rsid w:val="00097843"/>
    <w:rsid w:val="000A089D"/>
    <w:rsid w:val="000A2A44"/>
    <w:rsid w:val="000A4EE0"/>
    <w:rsid w:val="000B0D23"/>
    <w:rsid w:val="000B0F13"/>
    <w:rsid w:val="000B261C"/>
    <w:rsid w:val="000C2FC1"/>
    <w:rsid w:val="000C66EB"/>
    <w:rsid w:val="000D1111"/>
    <w:rsid w:val="000D3A39"/>
    <w:rsid w:val="000D45E3"/>
    <w:rsid w:val="000E207F"/>
    <w:rsid w:val="000E215A"/>
    <w:rsid w:val="000E2F79"/>
    <w:rsid w:val="000E4EFE"/>
    <w:rsid w:val="000E6D72"/>
    <w:rsid w:val="000F0AF3"/>
    <w:rsid w:val="000F154F"/>
    <w:rsid w:val="000F1823"/>
    <w:rsid w:val="000F21F2"/>
    <w:rsid w:val="000F2F76"/>
    <w:rsid w:val="000F4249"/>
    <w:rsid w:val="0010227C"/>
    <w:rsid w:val="001026AA"/>
    <w:rsid w:val="00115E77"/>
    <w:rsid w:val="001201D5"/>
    <w:rsid w:val="00120277"/>
    <w:rsid w:val="00120E81"/>
    <w:rsid w:val="001240D0"/>
    <w:rsid w:val="0012696E"/>
    <w:rsid w:val="001324D2"/>
    <w:rsid w:val="0014175E"/>
    <w:rsid w:val="00142776"/>
    <w:rsid w:val="001429D4"/>
    <w:rsid w:val="00152170"/>
    <w:rsid w:val="001532B7"/>
    <w:rsid w:val="00157936"/>
    <w:rsid w:val="00160D12"/>
    <w:rsid w:val="001628B1"/>
    <w:rsid w:val="00167A2B"/>
    <w:rsid w:val="0017143F"/>
    <w:rsid w:val="00174C4B"/>
    <w:rsid w:val="001803A0"/>
    <w:rsid w:val="00181457"/>
    <w:rsid w:val="00183806"/>
    <w:rsid w:val="00183A7F"/>
    <w:rsid w:val="00184AE5"/>
    <w:rsid w:val="0018798A"/>
    <w:rsid w:val="00190F5C"/>
    <w:rsid w:val="0019135D"/>
    <w:rsid w:val="00191DA6"/>
    <w:rsid w:val="00194DB2"/>
    <w:rsid w:val="00195B7B"/>
    <w:rsid w:val="001A1B67"/>
    <w:rsid w:val="001A7AF7"/>
    <w:rsid w:val="001B55FF"/>
    <w:rsid w:val="001B6007"/>
    <w:rsid w:val="001C202C"/>
    <w:rsid w:val="001C42D0"/>
    <w:rsid w:val="001C5DC3"/>
    <w:rsid w:val="001C62EC"/>
    <w:rsid w:val="001D0506"/>
    <w:rsid w:val="001D3E1D"/>
    <w:rsid w:val="001D5757"/>
    <w:rsid w:val="001D7080"/>
    <w:rsid w:val="001D736E"/>
    <w:rsid w:val="001E0764"/>
    <w:rsid w:val="001E5772"/>
    <w:rsid w:val="001E7137"/>
    <w:rsid w:val="001F4B9E"/>
    <w:rsid w:val="002026E9"/>
    <w:rsid w:val="00202DE8"/>
    <w:rsid w:val="0021031C"/>
    <w:rsid w:val="002105E7"/>
    <w:rsid w:val="00210FF3"/>
    <w:rsid w:val="00220765"/>
    <w:rsid w:val="00220B12"/>
    <w:rsid w:val="002245AB"/>
    <w:rsid w:val="00225B53"/>
    <w:rsid w:val="0022692B"/>
    <w:rsid w:val="002315EE"/>
    <w:rsid w:val="00236688"/>
    <w:rsid w:val="00237CEE"/>
    <w:rsid w:val="00251905"/>
    <w:rsid w:val="00254FF7"/>
    <w:rsid w:val="0025548D"/>
    <w:rsid w:val="00255C18"/>
    <w:rsid w:val="00255F7D"/>
    <w:rsid w:val="00256114"/>
    <w:rsid w:val="0025618C"/>
    <w:rsid w:val="00262914"/>
    <w:rsid w:val="00262EFB"/>
    <w:rsid w:val="00263F19"/>
    <w:rsid w:val="00265449"/>
    <w:rsid w:val="00265A99"/>
    <w:rsid w:val="00266F2F"/>
    <w:rsid w:val="002672D3"/>
    <w:rsid w:val="0026791C"/>
    <w:rsid w:val="00276B75"/>
    <w:rsid w:val="002774F3"/>
    <w:rsid w:val="00280C60"/>
    <w:rsid w:val="00281C63"/>
    <w:rsid w:val="0028603C"/>
    <w:rsid w:val="002922CE"/>
    <w:rsid w:val="00293124"/>
    <w:rsid w:val="00293D8D"/>
    <w:rsid w:val="002A1D8C"/>
    <w:rsid w:val="002B7319"/>
    <w:rsid w:val="002C1797"/>
    <w:rsid w:val="002C56AC"/>
    <w:rsid w:val="002D1DFE"/>
    <w:rsid w:val="002D2748"/>
    <w:rsid w:val="002D3CAD"/>
    <w:rsid w:val="002D428E"/>
    <w:rsid w:val="002E175B"/>
    <w:rsid w:val="002E28B0"/>
    <w:rsid w:val="002E548B"/>
    <w:rsid w:val="002E6B01"/>
    <w:rsid w:val="002F63A2"/>
    <w:rsid w:val="00303041"/>
    <w:rsid w:val="003041DD"/>
    <w:rsid w:val="00305AE1"/>
    <w:rsid w:val="0030733F"/>
    <w:rsid w:val="00307A43"/>
    <w:rsid w:val="00315CE8"/>
    <w:rsid w:val="00320CDE"/>
    <w:rsid w:val="00320DF3"/>
    <w:rsid w:val="003233E7"/>
    <w:rsid w:val="003254BC"/>
    <w:rsid w:val="003303DB"/>
    <w:rsid w:val="00330692"/>
    <w:rsid w:val="00336409"/>
    <w:rsid w:val="00337A3A"/>
    <w:rsid w:val="0034316E"/>
    <w:rsid w:val="00343C72"/>
    <w:rsid w:val="003454F6"/>
    <w:rsid w:val="00350D53"/>
    <w:rsid w:val="003539C4"/>
    <w:rsid w:val="003641BA"/>
    <w:rsid w:val="00372B02"/>
    <w:rsid w:val="00373885"/>
    <w:rsid w:val="0037786D"/>
    <w:rsid w:val="00377D40"/>
    <w:rsid w:val="00396B7B"/>
    <w:rsid w:val="00396CC3"/>
    <w:rsid w:val="00396F2C"/>
    <w:rsid w:val="003A1DAE"/>
    <w:rsid w:val="003A298D"/>
    <w:rsid w:val="003B2034"/>
    <w:rsid w:val="003B3618"/>
    <w:rsid w:val="003B5176"/>
    <w:rsid w:val="003B5F45"/>
    <w:rsid w:val="003B6EA6"/>
    <w:rsid w:val="003C0655"/>
    <w:rsid w:val="003C1C8E"/>
    <w:rsid w:val="003C3E54"/>
    <w:rsid w:val="003C59D8"/>
    <w:rsid w:val="003C7FF1"/>
    <w:rsid w:val="003D2587"/>
    <w:rsid w:val="003D6946"/>
    <w:rsid w:val="003D6D6E"/>
    <w:rsid w:val="003E4889"/>
    <w:rsid w:val="003E791C"/>
    <w:rsid w:val="00404810"/>
    <w:rsid w:val="00406228"/>
    <w:rsid w:val="00414645"/>
    <w:rsid w:val="00420480"/>
    <w:rsid w:val="00424E5D"/>
    <w:rsid w:val="00425F46"/>
    <w:rsid w:val="00427BB3"/>
    <w:rsid w:val="0043451B"/>
    <w:rsid w:val="00434F56"/>
    <w:rsid w:val="004359FC"/>
    <w:rsid w:val="00443F34"/>
    <w:rsid w:val="00445194"/>
    <w:rsid w:val="004467C4"/>
    <w:rsid w:val="0045262E"/>
    <w:rsid w:val="00455833"/>
    <w:rsid w:val="004604FB"/>
    <w:rsid w:val="00461386"/>
    <w:rsid w:val="00462D00"/>
    <w:rsid w:val="00464EA9"/>
    <w:rsid w:val="004654F4"/>
    <w:rsid w:val="004712EB"/>
    <w:rsid w:val="00473797"/>
    <w:rsid w:val="00476425"/>
    <w:rsid w:val="0048088F"/>
    <w:rsid w:val="00480BB2"/>
    <w:rsid w:val="004818E1"/>
    <w:rsid w:val="00481A7E"/>
    <w:rsid w:val="0048427F"/>
    <w:rsid w:val="00495C9D"/>
    <w:rsid w:val="004A14EC"/>
    <w:rsid w:val="004A4794"/>
    <w:rsid w:val="004B7492"/>
    <w:rsid w:val="004C2B30"/>
    <w:rsid w:val="004C52FC"/>
    <w:rsid w:val="004C6F83"/>
    <w:rsid w:val="004C7DB2"/>
    <w:rsid w:val="004D3BE1"/>
    <w:rsid w:val="004D3C8C"/>
    <w:rsid w:val="004D3DC1"/>
    <w:rsid w:val="004E47AA"/>
    <w:rsid w:val="004E4BD6"/>
    <w:rsid w:val="004F0C1D"/>
    <w:rsid w:val="004F41D5"/>
    <w:rsid w:val="00502A7D"/>
    <w:rsid w:val="0051294F"/>
    <w:rsid w:val="00516463"/>
    <w:rsid w:val="00517849"/>
    <w:rsid w:val="00520FBE"/>
    <w:rsid w:val="0052152C"/>
    <w:rsid w:val="00523197"/>
    <w:rsid w:val="00532AF6"/>
    <w:rsid w:val="005346A8"/>
    <w:rsid w:val="0054350A"/>
    <w:rsid w:val="005531E8"/>
    <w:rsid w:val="0055523C"/>
    <w:rsid w:val="005674F9"/>
    <w:rsid w:val="00573ECD"/>
    <w:rsid w:val="00585766"/>
    <w:rsid w:val="005863ED"/>
    <w:rsid w:val="005864A4"/>
    <w:rsid w:val="005918B2"/>
    <w:rsid w:val="00597F85"/>
    <w:rsid w:val="005A24F1"/>
    <w:rsid w:val="005B2B58"/>
    <w:rsid w:val="005B4CD1"/>
    <w:rsid w:val="005C6F9A"/>
    <w:rsid w:val="005D14AB"/>
    <w:rsid w:val="005D19D9"/>
    <w:rsid w:val="005E5598"/>
    <w:rsid w:val="005F4B50"/>
    <w:rsid w:val="005F5F7E"/>
    <w:rsid w:val="005F6B5B"/>
    <w:rsid w:val="005F7377"/>
    <w:rsid w:val="0060155C"/>
    <w:rsid w:val="0061454F"/>
    <w:rsid w:val="0061712A"/>
    <w:rsid w:val="00617FB0"/>
    <w:rsid w:val="00624906"/>
    <w:rsid w:val="0062556E"/>
    <w:rsid w:val="00630F88"/>
    <w:rsid w:val="006368CC"/>
    <w:rsid w:val="00637591"/>
    <w:rsid w:val="00640611"/>
    <w:rsid w:val="00643904"/>
    <w:rsid w:val="00651CF2"/>
    <w:rsid w:val="006532D6"/>
    <w:rsid w:val="0065453B"/>
    <w:rsid w:val="00654C15"/>
    <w:rsid w:val="006551C4"/>
    <w:rsid w:val="00660080"/>
    <w:rsid w:val="0066095F"/>
    <w:rsid w:val="0066285F"/>
    <w:rsid w:val="0066607A"/>
    <w:rsid w:val="00666164"/>
    <w:rsid w:val="006662D2"/>
    <w:rsid w:val="00667251"/>
    <w:rsid w:val="006731A2"/>
    <w:rsid w:val="00675A12"/>
    <w:rsid w:val="00677703"/>
    <w:rsid w:val="006835C1"/>
    <w:rsid w:val="00690A3D"/>
    <w:rsid w:val="006A0AB5"/>
    <w:rsid w:val="006A2AA3"/>
    <w:rsid w:val="006B0ABD"/>
    <w:rsid w:val="006B5D02"/>
    <w:rsid w:val="006B6194"/>
    <w:rsid w:val="006B6639"/>
    <w:rsid w:val="006C142B"/>
    <w:rsid w:val="006C28B1"/>
    <w:rsid w:val="006C4C0B"/>
    <w:rsid w:val="006C4F5E"/>
    <w:rsid w:val="006D67EB"/>
    <w:rsid w:val="006E019E"/>
    <w:rsid w:val="006E3686"/>
    <w:rsid w:val="006F0183"/>
    <w:rsid w:val="00713F76"/>
    <w:rsid w:val="0071574A"/>
    <w:rsid w:val="00716A26"/>
    <w:rsid w:val="00716A80"/>
    <w:rsid w:val="00740D35"/>
    <w:rsid w:val="00746675"/>
    <w:rsid w:val="00751FC5"/>
    <w:rsid w:val="00781DA4"/>
    <w:rsid w:val="007825CC"/>
    <w:rsid w:val="007856A2"/>
    <w:rsid w:val="0078669D"/>
    <w:rsid w:val="00786F00"/>
    <w:rsid w:val="00791FF2"/>
    <w:rsid w:val="0079281D"/>
    <w:rsid w:val="00794EA2"/>
    <w:rsid w:val="0079622E"/>
    <w:rsid w:val="007A2E02"/>
    <w:rsid w:val="007A43CE"/>
    <w:rsid w:val="007A4B8E"/>
    <w:rsid w:val="007B695B"/>
    <w:rsid w:val="007C1FEF"/>
    <w:rsid w:val="007C46D3"/>
    <w:rsid w:val="007C564B"/>
    <w:rsid w:val="007C74F5"/>
    <w:rsid w:val="007D1811"/>
    <w:rsid w:val="007D21D5"/>
    <w:rsid w:val="007D68EA"/>
    <w:rsid w:val="007E36F4"/>
    <w:rsid w:val="007F45E6"/>
    <w:rsid w:val="007F66F9"/>
    <w:rsid w:val="0080292B"/>
    <w:rsid w:val="008034BE"/>
    <w:rsid w:val="008056C5"/>
    <w:rsid w:val="00805C23"/>
    <w:rsid w:val="00807113"/>
    <w:rsid w:val="00817DDA"/>
    <w:rsid w:val="00821011"/>
    <w:rsid w:val="008258DA"/>
    <w:rsid w:val="00827AE5"/>
    <w:rsid w:val="00847243"/>
    <w:rsid w:val="008606F7"/>
    <w:rsid w:val="008642E1"/>
    <w:rsid w:val="008672B0"/>
    <w:rsid w:val="0087041B"/>
    <w:rsid w:val="008736CD"/>
    <w:rsid w:val="00875A7C"/>
    <w:rsid w:val="00877383"/>
    <w:rsid w:val="00880686"/>
    <w:rsid w:val="008823C2"/>
    <w:rsid w:val="00882FFE"/>
    <w:rsid w:val="008836F4"/>
    <w:rsid w:val="00884AC0"/>
    <w:rsid w:val="008860C1"/>
    <w:rsid w:val="008909D4"/>
    <w:rsid w:val="00893FBC"/>
    <w:rsid w:val="008942FA"/>
    <w:rsid w:val="00897A68"/>
    <w:rsid w:val="008A700A"/>
    <w:rsid w:val="008B52A0"/>
    <w:rsid w:val="008B565C"/>
    <w:rsid w:val="008B5B2E"/>
    <w:rsid w:val="008D4D55"/>
    <w:rsid w:val="008E063A"/>
    <w:rsid w:val="008E52F0"/>
    <w:rsid w:val="008F2283"/>
    <w:rsid w:val="008F3D47"/>
    <w:rsid w:val="008F41A6"/>
    <w:rsid w:val="008F6C19"/>
    <w:rsid w:val="0090239B"/>
    <w:rsid w:val="009108ED"/>
    <w:rsid w:val="00912C50"/>
    <w:rsid w:val="00912D18"/>
    <w:rsid w:val="00915CDA"/>
    <w:rsid w:val="009248F7"/>
    <w:rsid w:val="00925394"/>
    <w:rsid w:val="0092540D"/>
    <w:rsid w:val="009268A3"/>
    <w:rsid w:val="0094204C"/>
    <w:rsid w:val="009437A5"/>
    <w:rsid w:val="00952FA6"/>
    <w:rsid w:val="00963DD8"/>
    <w:rsid w:val="00967CBE"/>
    <w:rsid w:val="00971EB2"/>
    <w:rsid w:val="00981D62"/>
    <w:rsid w:val="00990D45"/>
    <w:rsid w:val="00993B62"/>
    <w:rsid w:val="009A2F4E"/>
    <w:rsid w:val="009A616E"/>
    <w:rsid w:val="009A69F0"/>
    <w:rsid w:val="009A7187"/>
    <w:rsid w:val="009B0BEA"/>
    <w:rsid w:val="009B6429"/>
    <w:rsid w:val="009C1092"/>
    <w:rsid w:val="009D4970"/>
    <w:rsid w:val="009E2519"/>
    <w:rsid w:val="009E720F"/>
    <w:rsid w:val="009F2769"/>
    <w:rsid w:val="009F71F8"/>
    <w:rsid w:val="00A03C1A"/>
    <w:rsid w:val="00A06FCD"/>
    <w:rsid w:val="00A11155"/>
    <w:rsid w:val="00A14B89"/>
    <w:rsid w:val="00A201E2"/>
    <w:rsid w:val="00A21E6E"/>
    <w:rsid w:val="00A279B7"/>
    <w:rsid w:val="00A316A8"/>
    <w:rsid w:val="00A341DF"/>
    <w:rsid w:val="00A36603"/>
    <w:rsid w:val="00A36DEE"/>
    <w:rsid w:val="00A51345"/>
    <w:rsid w:val="00A54831"/>
    <w:rsid w:val="00A6078F"/>
    <w:rsid w:val="00A62968"/>
    <w:rsid w:val="00A63ACE"/>
    <w:rsid w:val="00A8476F"/>
    <w:rsid w:val="00A8758A"/>
    <w:rsid w:val="00A93BDE"/>
    <w:rsid w:val="00A97A21"/>
    <w:rsid w:val="00AA4E45"/>
    <w:rsid w:val="00AC0386"/>
    <w:rsid w:val="00AC62F8"/>
    <w:rsid w:val="00AD4FA7"/>
    <w:rsid w:val="00AE4AD2"/>
    <w:rsid w:val="00AE5F43"/>
    <w:rsid w:val="00AF1271"/>
    <w:rsid w:val="00AF4B41"/>
    <w:rsid w:val="00AF6A23"/>
    <w:rsid w:val="00B02892"/>
    <w:rsid w:val="00B11028"/>
    <w:rsid w:val="00B11F28"/>
    <w:rsid w:val="00B17678"/>
    <w:rsid w:val="00B27095"/>
    <w:rsid w:val="00B31728"/>
    <w:rsid w:val="00B34F9E"/>
    <w:rsid w:val="00B366DF"/>
    <w:rsid w:val="00B40420"/>
    <w:rsid w:val="00B42C55"/>
    <w:rsid w:val="00B44B23"/>
    <w:rsid w:val="00B4625A"/>
    <w:rsid w:val="00B47506"/>
    <w:rsid w:val="00B50E5D"/>
    <w:rsid w:val="00B57D15"/>
    <w:rsid w:val="00B608D5"/>
    <w:rsid w:val="00B61167"/>
    <w:rsid w:val="00B61D81"/>
    <w:rsid w:val="00B700A5"/>
    <w:rsid w:val="00B71307"/>
    <w:rsid w:val="00B74D7D"/>
    <w:rsid w:val="00B75DD0"/>
    <w:rsid w:val="00B764F8"/>
    <w:rsid w:val="00B81607"/>
    <w:rsid w:val="00B8227E"/>
    <w:rsid w:val="00B90F20"/>
    <w:rsid w:val="00B91F1E"/>
    <w:rsid w:val="00B92D5A"/>
    <w:rsid w:val="00B95331"/>
    <w:rsid w:val="00B95D4E"/>
    <w:rsid w:val="00B9789D"/>
    <w:rsid w:val="00BA3246"/>
    <w:rsid w:val="00BA411F"/>
    <w:rsid w:val="00BA4169"/>
    <w:rsid w:val="00BA527A"/>
    <w:rsid w:val="00BB272C"/>
    <w:rsid w:val="00BB28CF"/>
    <w:rsid w:val="00BB4ABC"/>
    <w:rsid w:val="00BB4C9F"/>
    <w:rsid w:val="00BB50C8"/>
    <w:rsid w:val="00BB5574"/>
    <w:rsid w:val="00BB7756"/>
    <w:rsid w:val="00BC12BF"/>
    <w:rsid w:val="00BC374A"/>
    <w:rsid w:val="00BC5FF1"/>
    <w:rsid w:val="00BC6C11"/>
    <w:rsid w:val="00BD0A1F"/>
    <w:rsid w:val="00BD2C4F"/>
    <w:rsid w:val="00BD3EF3"/>
    <w:rsid w:val="00BD42DC"/>
    <w:rsid w:val="00BE51FF"/>
    <w:rsid w:val="00BF0F50"/>
    <w:rsid w:val="00BF3561"/>
    <w:rsid w:val="00BF556C"/>
    <w:rsid w:val="00C05015"/>
    <w:rsid w:val="00C05EFD"/>
    <w:rsid w:val="00C15D33"/>
    <w:rsid w:val="00C22083"/>
    <w:rsid w:val="00C24B8F"/>
    <w:rsid w:val="00C32DEA"/>
    <w:rsid w:val="00C45053"/>
    <w:rsid w:val="00C50A91"/>
    <w:rsid w:val="00C52D74"/>
    <w:rsid w:val="00C5365F"/>
    <w:rsid w:val="00C56C48"/>
    <w:rsid w:val="00C60A65"/>
    <w:rsid w:val="00C616FD"/>
    <w:rsid w:val="00C638EE"/>
    <w:rsid w:val="00C63B58"/>
    <w:rsid w:val="00C67AC8"/>
    <w:rsid w:val="00C7001F"/>
    <w:rsid w:val="00C71F16"/>
    <w:rsid w:val="00C7460D"/>
    <w:rsid w:val="00C77723"/>
    <w:rsid w:val="00C800A9"/>
    <w:rsid w:val="00C80222"/>
    <w:rsid w:val="00C8479A"/>
    <w:rsid w:val="00C84DED"/>
    <w:rsid w:val="00C86826"/>
    <w:rsid w:val="00C86A70"/>
    <w:rsid w:val="00C86D2C"/>
    <w:rsid w:val="00C90C76"/>
    <w:rsid w:val="00C93147"/>
    <w:rsid w:val="00CA10D7"/>
    <w:rsid w:val="00CB09E0"/>
    <w:rsid w:val="00CC0679"/>
    <w:rsid w:val="00CC48A5"/>
    <w:rsid w:val="00CC66AD"/>
    <w:rsid w:val="00CC69E8"/>
    <w:rsid w:val="00CC6AF3"/>
    <w:rsid w:val="00CD2613"/>
    <w:rsid w:val="00CD2A1C"/>
    <w:rsid w:val="00CD526F"/>
    <w:rsid w:val="00CE06A2"/>
    <w:rsid w:val="00CE118B"/>
    <w:rsid w:val="00CF0112"/>
    <w:rsid w:val="00CF34BC"/>
    <w:rsid w:val="00D04816"/>
    <w:rsid w:val="00D07030"/>
    <w:rsid w:val="00D14D2A"/>
    <w:rsid w:val="00D23E74"/>
    <w:rsid w:val="00D27F86"/>
    <w:rsid w:val="00D31DDA"/>
    <w:rsid w:val="00D44D7D"/>
    <w:rsid w:val="00D52828"/>
    <w:rsid w:val="00D52978"/>
    <w:rsid w:val="00D57E53"/>
    <w:rsid w:val="00D60F74"/>
    <w:rsid w:val="00D632DC"/>
    <w:rsid w:val="00D708C3"/>
    <w:rsid w:val="00D72CCC"/>
    <w:rsid w:val="00D73E22"/>
    <w:rsid w:val="00D9642E"/>
    <w:rsid w:val="00D976E2"/>
    <w:rsid w:val="00DA5E37"/>
    <w:rsid w:val="00DA7FA2"/>
    <w:rsid w:val="00DB041B"/>
    <w:rsid w:val="00DB17B2"/>
    <w:rsid w:val="00DC0672"/>
    <w:rsid w:val="00DC487E"/>
    <w:rsid w:val="00DC4DB9"/>
    <w:rsid w:val="00DC5CEE"/>
    <w:rsid w:val="00DC76F8"/>
    <w:rsid w:val="00DD42DB"/>
    <w:rsid w:val="00DF222A"/>
    <w:rsid w:val="00DF5973"/>
    <w:rsid w:val="00DF738A"/>
    <w:rsid w:val="00DF7501"/>
    <w:rsid w:val="00E11916"/>
    <w:rsid w:val="00E12A67"/>
    <w:rsid w:val="00E12CA9"/>
    <w:rsid w:val="00E12E4F"/>
    <w:rsid w:val="00E13C55"/>
    <w:rsid w:val="00E14C90"/>
    <w:rsid w:val="00E16205"/>
    <w:rsid w:val="00E16C56"/>
    <w:rsid w:val="00E24D49"/>
    <w:rsid w:val="00E25388"/>
    <w:rsid w:val="00E254D9"/>
    <w:rsid w:val="00E25ACC"/>
    <w:rsid w:val="00E4061E"/>
    <w:rsid w:val="00E47A53"/>
    <w:rsid w:val="00E501C6"/>
    <w:rsid w:val="00E55AD1"/>
    <w:rsid w:val="00E61F5A"/>
    <w:rsid w:val="00E642B3"/>
    <w:rsid w:val="00E66EBA"/>
    <w:rsid w:val="00E7049B"/>
    <w:rsid w:val="00E727F2"/>
    <w:rsid w:val="00E73A43"/>
    <w:rsid w:val="00E749F1"/>
    <w:rsid w:val="00E87116"/>
    <w:rsid w:val="00E90F22"/>
    <w:rsid w:val="00E93DF0"/>
    <w:rsid w:val="00E96021"/>
    <w:rsid w:val="00E97968"/>
    <w:rsid w:val="00EA028E"/>
    <w:rsid w:val="00EA7AFE"/>
    <w:rsid w:val="00EB3C20"/>
    <w:rsid w:val="00EC0B9E"/>
    <w:rsid w:val="00EC1EB5"/>
    <w:rsid w:val="00EC6B80"/>
    <w:rsid w:val="00ED0C45"/>
    <w:rsid w:val="00ED0CEE"/>
    <w:rsid w:val="00ED4142"/>
    <w:rsid w:val="00EF15CD"/>
    <w:rsid w:val="00EF5D1F"/>
    <w:rsid w:val="00EF6E21"/>
    <w:rsid w:val="00F0239E"/>
    <w:rsid w:val="00F07EFD"/>
    <w:rsid w:val="00F1164D"/>
    <w:rsid w:val="00F1200D"/>
    <w:rsid w:val="00F154DF"/>
    <w:rsid w:val="00F1676C"/>
    <w:rsid w:val="00F17C08"/>
    <w:rsid w:val="00F2478C"/>
    <w:rsid w:val="00F253BB"/>
    <w:rsid w:val="00F275B3"/>
    <w:rsid w:val="00F27B24"/>
    <w:rsid w:val="00F27D5C"/>
    <w:rsid w:val="00F340B8"/>
    <w:rsid w:val="00F37373"/>
    <w:rsid w:val="00F40533"/>
    <w:rsid w:val="00F43053"/>
    <w:rsid w:val="00F43F29"/>
    <w:rsid w:val="00F509AE"/>
    <w:rsid w:val="00F60941"/>
    <w:rsid w:val="00F60C52"/>
    <w:rsid w:val="00F60FAC"/>
    <w:rsid w:val="00F619FD"/>
    <w:rsid w:val="00F7110B"/>
    <w:rsid w:val="00F75FAE"/>
    <w:rsid w:val="00F81080"/>
    <w:rsid w:val="00F8191D"/>
    <w:rsid w:val="00F84F87"/>
    <w:rsid w:val="00F86156"/>
    <w:rsid w:val="00F920EB"/>
    <w:rsid w:val="00F938A3"/>
    <w:rsid w:val="00F94D4D"/>
    <w:rsid w:val="00F95813"/>
    <w:rsid w:val="00F95896"/>
    <w:rsid w:val="00FA24D1"/>
    <w:rsid w:val="00FA7DDB"/>
    <w:rsid w:val="00FB0DC3"/>
    <w:rsid w:val="00FB0E89"/>
    <w:rsid w:val="00FB231A"/>
    <w:rsid w:val="00FB4AA9"/>
    <w:rsid w:val="00FB5B51"/>
    <w:rsid w:val="00FC1435"/>
    <w:rsid w:val="00FC295E"/>
    <w:rsid w:val="00FC45CA"/>
    <w:rsid w:val="00FC49AB"/>
    <w:rsid w:val="00FC7F0C"/>
    <w:rsid w:val="00FD4866"/>
    <w:rsid w:val="00FD7A60"/>
    <w:rsid w:val="00FE084D"/>
    <w:rsid w:val="00FE7CA1"/>
    <w:rsid w:val="00FF3007"/>
    <w:rsid w:val="00FF4BC4"/>
    <w:rsid w:val="00FF4BCA"/>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D3D37B"/>
  <w15:docId w15:val="{20094B17-EBC3-4A06-8C7C-24B35DE34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C59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73671770">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131753549">
      <w:bodyDiv w:val="1"/>
      <w:marLeft w:val="0"/>
      <w:marRight w:val="0"/>
      <w:marTop w:val="0"/>
      <w:marBottom w:val="0"/>
      <w:divBdr>
        <w:top w:val="none" w:sz="0" w:space="0" w:color="auto"/>
        <w:left w:val="none" w:sz="0" w:space="0" w:color="auto"/>
        <w:bottom w:val="none" w:sz="0" w:space="0" w:color="auto"/>
        <w:right w:val="none" w:sz="0" w:space="0" w:color="auto"/>
      </w:divBdr>
    </w:div>
    <w:div w:id="151802744">
      <w:bodyDiv w:val="1"/>
      <w:marLeft w:val="0"/>
      <w:marRight w:val="0"/>
      <w:marTop w:val="0"/>
      <w:marBottom w:val="0"/>
      <w:divBdr>
        <w:top w:val="none" w:sz="0" w:space="0" w:color="auto"/>
        <w:left w:val="none" w:sz="0" w:space="0" w:color="auto"/>
        <w:bottom w:val="none" w:sz="0" w:space="0" w:color="auto"/>
        <w:right w:val="none" w:sz="0" w:space="0" w:color="auto"/>
      </w:divBdr>
    </w:div>
    <w:div w:id="202908643">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285966291">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333993931">
      <w:bodyDiv w:val="1"/>
      <w:marLeft w:val="0"/>
      <w:marRight w:val="0"/>
      <w:marTop w:val="0"/>
      <w:marBottom w:val="0"/>
      <w:divBdr>
        <w:top w:val="none" w:sz="0" w:space="0" w:color="auto"/>
        <w:left w:val="none" w:sz="0" w:space="0" w:color="auto"/>
        <w:bottom w:val="none" w:sz="0" w:space="0" w:color="auto"/>
        <w:right w:val="none" w:sz="0" w:space="0" w:color="auto"/>
      </w:divBdr>
    </w:div>
    <w:div w:id="340664306">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765811284">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843087406">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186599483">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264997138">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571887557">
      <w:bodyDiv w:val="1"/>
      <w:marLeft w:val="0"/>
      <w:marRight w:val="0"/>
      <w:marTop w:val="0"/>
      <w:marBottom w:val="0"/>
      <w:divBdr>
        <w:top w:val="none" w:sz="0" w:space="0" w:color="auto"/>
        <w:left w:val="none" w:sz="0" w:space="0" w:color="auto"/>
        <w:bottom w:val="none" w:sz="0" w:space="0" w:color="auto"/>
        <w:right w:val="none" w:sz="0" w:space="0" w:color="auto"/>
      </w:divBdr>
    </w:div>
    <w:div w:id="1735464830">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88687292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Theatre Degrees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0250 Theatre &amp; Dance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FY 10-11</c:v>
                </c:pt>
                <c:pt idx="1">
                  <c:v>FY 11-12</c:v>
                </c:pt>
                <c:pt idx="2">
                  <c:v>FY 12-13</c:v>
                </c:pt>
                <c:pt idx="3">
                  <c:v>FY 13-14</c:v>
                </c:pt>
                <c:pt idx="4">
                  <c:v>FY 14-15</c:v>
                </c:pt>
                <c:pt idx="5">
                  <c:v>FY 15-16</c:v>
                </c:pt>
              </c:strCache>
            </c:strRef>
          </c:cat>
          <c:val>
            <c:numRef>
              <c:f>Sheet1!$B$2:$B$7</c:f>
              <c:numCache>
                <c:formatCode>General</c:formatCode>
                <c:ptCount val="6"/>
                <c:pt idx="0">
                  <c:v>2</c:v>
                </c:pt>
                <c:pt idx="1">
                  <c:v>8</c:v>
                </c:pt>
                <c:pt idx="2">
                  <c:v>9</c:v>
                </c:pt>
                <c:pt idx="3">
                  <c:v>7</c:v>
                </c:pt>
                <c:pt idx="4">
                  <c:v>9</c:v>
                </c:pt>
                <c:pt idx="5">
                  <c:v>10</c:v>
                </c:pt>
              </c:numCache>
            </c:numRef>
          </c:val>
        </c:ser>
        <c:dLbls>
          <c:dLblPos val="outEnd"/>
          <c:showLegendKey val="0"/>
          <c:showVal val="1"/>
          <c:showCatName val="0"/>
          <c:showSerName val="0"/>
          <c:showPercent val="0"/>
          <c:showBubbleSize val="0"/>
        </c:dLbls>
        <c:gapWidth val="219"/>
        <c:overlap val="-27"/>
        <c:axId val="262023800"/>
        <c:axId val="262024192"/>
      </c:barChart>
      <c:catAx>
        <c:axId val="262023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2024192"/>
        <c:crosses val="autoZero"/>
        <c:auto val="1"/>
        <c:lblAlgn val="ctr"/>
        <c:lblOffset val="100"/>
        <c:noMultiLvlLbl val="0"/>
      </c:catAx>
      <c:valAx>
        <c:axId val="2620241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20238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19050"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929A487D8341AEA29F7DE2B132A45D"/>
        <w:category>
          <w:name w:val="General"/>
          <w:gallery w:val="placeholder"/>
        </w:category>
        <w:types>
          <w:type w:val="bbPlcHdr"/>
        </w:types>
        <w:behaviors>
          <w:behavior w:val="content"/>
        </w:behaviors>
        <w:guid w:val="{4873E934-798E-4325-A131-19357D4EE137}"/>
      </w:docPartPr>
      <w:docPartBody>
        <w:p w:rsidR="00690010" w:rsidRDefault="00C956B8" w:rsidP="00C956B8">
          <w:pPr>
            <w:pStyle w:val="5D929A487D8341AEA29F7DE2B132A45D"/>
          </w:pPr>
          <w:r w:rsidRPr="008A102A">
            <w:rPr>
              <w:rStyle w:val="PlaceholderText"/>
            </w:rPr>
            <w:t>Click here to enter text.</w:t>
          </w:r>
        </w:p>
      </w:docPartBody>
    </w:docPart>
    <w:docPart>
      <w:docPartPr>
        <w:name w:val="AC6405246F89492EB3C6363DD9F07B24"/>
        <w:category>
          <w:name w:val="General"/>
          <w:gallery w:val="placeholder"/>
        </w:category>
        <w:types>
          <w:type w:val="bbPlcHdr"/>
        </w:types>
        <w:behaviors>
          <w:behavior w:val="content"/>
        </w:behaviors>
        <w:guid w:val="{97EE9CA6-B365-4991-84BF-843FB9F76982}"/>
      </w:docPartPr>
      <w:docPartBody>
        <w:p w:rsidR="00690010" w:rsidRDefault="00C956B8" w:rsidP="00C956B8">
          <w:pPr>
            <w:pStyle w:val="AC6405246F89492EB3C6363DD9F07B24"/>
          </w:pPr>
          <w:r w:rsidRPr="008A102A">
            <w:rPr>
              <w:rStyle w:val="PlaceholderText"/>
            </w:rPr>
            <w:t>Click here to enter text.</w:t>
          </w:r>
        </w:p>
      </w:docPartBody>
    </w:docPart>
    <w:docPart>
      <w:docPartPr>
        <w:name w:val="6F32F4B890604D4DBFF0C9AC9C44F6DD"/>
        <w:category>
          <w:name w:val="General"/>
          <w:gallery w:val="placeholder"/>
        </w:category>
        <w:types>
          <w:type w:val="bbPlcHdr"/>
        </w:types>
        <w:behaviors>
          <w:behavior w:val="content"/>
        </w:behaviors>
        <w:guid w:val="{A7F14EC3-BD70-4875-9556-39C46F09F3A7}"/>
      </w:docPartPr>
      <w:docPartBody>
        <w:p w:rsidR="00690010" w:rsidRDefault="00C956B8" w:rsidP="00C956B8">
          <w:pPr>
            <w:pStyle w:val="6F32F4B890604D4DBFF0C9AC9C44F6DD"/>
          </w:pPr>
          <w:r w:rsidRPr="008A102A">
            <w:rPr>
              <w:rStyle w:val="PlaceholderText"/>
            </w:rPr>
            <w:t>Click here to enter text.</w:t>
          </w:r>
        </w:p>
      </w:docPartBody>
    </w:docPart>
    <w:docPart>
      <w:docPartPr>
        <w:name w:val="141822FEB60F448BAEF4C69878758E90"/>
        <w:category>
          <w:name w:val="General"/>
          <w:gallery w:val="placeholder"/>
        </w:category>
        <w:types>
          <w:type w:val="bbPlcHdr"/>
        </w:types>
        <w:behaviors>
          <w:behavior w:val="content"/>
        </w:behaviors>
        <w:guid w:val="{26660296-7CCF-4FA8-A4E1-BB74352994FD}"/>
      </w:docPartPr>
      <w:docPartBody>
        <w:p w:rsidR="00690010" w:rsidRDefault="00C956B8" w:rsidP="00C956B8">
          <w:pPr>
            <w:pStyle w:val="141822FEB60F448BAEF4C69878758E90"/>
          </w:pPr>
          <w:r w:rsidRPr="008A102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6B8"/>
    <w:rsid w:val="00204B9C"/>
    <w:rsid w:val="00443FCA"/>
    <w:rsid w:val="004B23E3"/>
    <w:rsid w:val="00690010"/>
    <w:rsid w:val="00860C99"/>
    <w:rsid w:val="009103D0"/>
    <w:rsid w:val="00973824"/>
    <w:rsid w:val="00A244EE"/>
    <w:rsid w:val="00C63DDC"/>
    <w:rsid w:val="00C956B8"/>
    <w:rsid w:val="00ED51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56B8"/>
    <w:rPr>
      <w:color w:val="808080"/>
    </w:rPr>
  </w:style>
  <w:style w:type="paragraph" w:customStyle="1" w:styleId="5F3C28C3C1BA454EA4C5D9CC4EEADE3C">
    <w:name w:val="5F3C28C3C1BA454EA4C5D9CC4EEADE3C"/>
    <w:rsid w:val="00C956B8"/>
  </w:style>
  <w:style w:type="paragraph" w:customStyle="1" w:styleId="EB8E1AD1C64F4161A995F3248EC1F899">
    <w:name w:val="EB8E1AD1C64F4161A995F3248EC1F899"/>
    <w:rsid w:val="00C956B8"/>
  </w:style>
  <w:style w:type="paragraph" w:customStyle="1" w:styleId="DC79411A006A446685E336E7193D0493">
    <w:name w:val="DC79411A006A446685E336E7193D0493"/>
    <w:rsid w:val="00C956B8"/>
  </w:style>
  <w:style w:type="paragraph" w:customStyle="1" w:styleId="88C8126C81614E2DA0E2C84ECD62660B">
    <w:name w:val="88C8126C81614E2DA0E2C84ECD62660B"/>
    <w:rsid w:val="00C956B8"/>
  </w:style>
  <w:style w:type="paragraph" w:customStyle="1" w:styleId="88D766757B03410E8AD3DBCD6B490F94">
    <w:name w:val="88D766757B03410E8AD3DBCD6B490F94"/>
    <w:rsid w:val="00C956B8"/>
  </w:style>
  <w:style w:type="paragraph" w:customStyle="1" w:styleId="FA0450E5EF9C45C98E2AC5D8D5CFE463">
    <w:name w:val="FA0450E5EF9C45C98E2AC5D8D5CFE463"/>
    <w:rsid w:val="00C956B8"/>
  </w:style>
  <w:style w:type="paragraph" w:customStyle="1" w:styleId="9BD98758EF2A42F79369266F6FA86C43">
    <w:name w:val="9BD98758EF2A42F79369266F6FA86C43"/>
    <w:rsid w:val="00C956B8"/>
  </w:style>
  <w:style w:type="paragraph" w:customStyle="1" w:styleId="5D929A487D8341AEA29F7DE2B132A45D">
    <w:name w:val="5D929A487D8341AEA29F7DE2B132A45D"/>
    <w:rsid w:val="00C956B8"/>
  </w:style>
  <w:style w:type="paragraph" w:customStyle="1" w:styleId="AC6405246F89492EB3C6363DD9F07B24">
    <w:name w:val="AC6405246F89492EB3C6363DD9F07B24"/>
    <w:rsid w:val="00C956B8"/>
  </w:style>
  <w:style w:type="paragraph" w:customStyle="1" w:styleId="6F32F4B890604D4DBFF0C9AC9C44F6DD">
    <w:name w:val="6F32F4B890604D4DBFF0C9AC9C44F6DD"/>
    <w:rsid w:val="00C956B8"/>
  </w:style>
  <w:style w:type="paragraph" w:customStyle="1" w:styleId="141822FEB60F448BAEF4C69878758E90">
    <w:name w:val="141822FEB60F448BAEF4C69878758E90"/>
    <w:rsid w:val="00C956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AB1F3-A5F4-4348-BD5E-05A960922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693</TotalTime>
  <Pages>9</Pages>
  <Words>2732</Words>
  <Characters>15577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18273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Sinclair Community College</dc:creator>
  <cp:lastModifiedBy>Neuerer, Gina</cp:lastModifiedBy>
  <cp:revision>26</cp:revision>
  <cp:lastPrinted>2017-02-22T00:54:00Z</cp:lastPrinted>
  <dcterms:created xsi:type="dcterms:W3CDTF">2017-02-21T17:58:00Z</dcterms:created>
  <dcterms:modified xsi:type="dcterms:W3CDTF">2017-05-15T15:05:00Z</dcterms:modified>
</cp:coreProperties>
</file>