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3A34E"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3E6CBEED"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6CE570E6" w14:textId="77777777" w:rsidR="00C638EE" w:rsidRDefault="00C638EE" w:rsidP="00C638EE">
      <w:pPr>
        <w:jc w:val="center"/>
        <w:rPr>
          <w:rFonts w:ascii="Arial" w:hAnsi="Arial" w:cs="Arial"/>
          <w:b/>
          <w:color w:val="000000" w:themeColor="text1"/>
        </w:rPr>
      </w:pPr>
    </w:p>
    <w:p w14:paraId="3929097D"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765DC378" w14:textId="77777777" w:rsidR="00C638EE" w:rsidRDefault="00C638EE" w:rsidP="00C638EE">
      <w:pPr>
        <w:jc w:val="center"/>
        <w:rPr>
          <w:rFonts w:ascii="Arial" w:hAnsi="Arial" w:cs="Arial"/>
          <w:b/>
          <w:color w:val="000000" w:themeColor="text1"/>
        </w:rPr>
      </w:pPr>
    </w:p>
    <w:p w14:paraId="0620C23E"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31C86A83" w14:textId="77777777" w:rsidR="001026AA" w:rsidRPr="00CD2613" w:rsidRDefault="001026AA" w:rsidP="001026AA">
      <w:pPr>
        <w:jc w:val="center"/>
        <w:rPr>
          <w:rFonts w:ascii="Arial" w:hAnsi="Arial" w:cs="Arial"/>
          <w:b/>
          <w:color w:val="000000" w:themeColor="text1"/>
        </w:rPr>
      </w:pPr>
    </w:p>
    <w:p w14:paraId="70AB00F3"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B3618" w:rsidRPr="003B3618">
                        <w:rPr>
                          <w:rFonts w:ascii="Arial" w:hAnsi="Arial" w:cs="Arial"/>
                          <w:b/>
                          <w:sz w:val="20"/>
                          <w:szCs w:val="20"/>
                        </w:rPr>
                        <w:t>LCS - 0250 - Theatre &amp; Dance</w:t>
                      </w:r>
                    </w:sdtContent>
                  </w:sdt>
                </w:sdtContent>
              </w:sdt>
            </w:sdtContent>
          </w:sdt>
        </w:sdtContent>
      </w:sdt>
    </w:p>
    <w:p w14:paraId="6B50508D"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C7FF1">
        <w:rPr>
          <w:rFonts w:ascii="Arial" w:hAnsi="Arial" w:cs="Arial"/>
          <w:color w:val="000000" w:themeColor="text1"/>
        </w:rPr>
        <w:t>2012-2013</w:t>
      </w:r>
    </w:p>
    <w:p w14:paraId="032F2F2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63F19">
        <w:rPr>
          <w:rFonts w:ascii="Arial" w:hAnsi="Arial" w:cs="Arial"/>
          <w:color w:val="000000" w:themeColor="text1"/>
        </w:rPr>
        <w:t>2017-2018</w:t>
      </w:r>
    </w:p>
    <w:p w14:paraId="4431B839" w14:textId="77777777" w:rsidR="00827AE5" w:rsidRPr="00CD2613" w:rsidRDefault="00827AE5" w:rsidP="00F0239E">
      <w:pPr>
        <w:jc w:val="center"/>
        <w:rPr>
          <w:rFonts w:ascii="Arial" w:hAnsi="Arial" w:cs="Arial"/>
          <w:b/>
          <w:color w:val="000000" w:themeColor="text1"/>
        </w:rPr>
      </w:pPr>
    </w:p>
    <w:p w14:paraId="42754B9C" w14:textId="77777777" w:rsidR="00F0239E" w:rsidRDefault="00B366DF"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8E2758B" w14:textId="77777777" w:rsidR="001D736E" w:rsidRPr="00CD2613" w:rsidRDefault="001D736E" w:rsidP="00CD2613">
      <w:pPr>
        <w:pStyle w:val="ListParagraph"/>
        <w:ind w:left="0"/>
        <w:rPr>
          <w:rFonts w:ascii="Arial" w:hAnsi="Arial" w:cs="Arial"/>
          <w:b/>
          <w:color w:val="000000" w:themeColor="text1"/>
          <w:u w:val="single"/>
        </w:rPr>
      </w:pPr>
    </w:p>
    <w:p w14:paraId="12C40F1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675A12" w:rsidRPr="00675A12" w14:paraId="6520CD3D" w14:textId="77777777" w:rsidTr="00293124">
        <w:trPr>
          <w:trHeight w:val="466"/>
        </w:trPr>
        <w:tc>
          <w:tcPr>
            <w:tcW w:w="3951" w:type="dxa"/>
          </w:tcPr>
          <w:p w14:paraId="0684BF87"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GOALS</w:t>
            </w:r>
          </w:p>
        </w:tc>
        <w:tc>
          <w:tcPr>
            <w:tcW w:w="2647" w:type="dxa"/>
          </w:tcPr>
          <w:p w14:paraId="2DB4586A"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Status</w:t>
            </w:r>
          </w:p>
        </w:tc>
        <w:tc>
          <w:tcPr>
            <w:tcW w:w="6632" w:type="dxa"/>
          </w:tcPr>
          <w:p w14:paraId="7AB0A116"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Progress or Rationale for No Longer Applicable</w:t>
            </w:r>
          </w:p>
        </w:tc>
      </w:tr>
      <w:tr w:rsidR="00675A12" w:rsidRPr="00675A12" w14:paraId="1270D928" w14:textId="77777777" w:rsidTr="00293124">
        <w:trPr>
          <w:trHeight w:val="1399"/>
        </w:trPr>
        <w:tc>
          <w:tcPr>
            <w:tcW w:w="3951" w:type="dxa"/>
          </w:tcPr>
          <w:p w14:paraId="366E8DEE" w14:textId="77777777" w:rsidR="00675A12" w:rsidRPr="00675A12" w:rsidRDefault="00675A12" w:rsidP="00293124">
            <w:pPr>
              <w:rPr>
                <w:rFonts w:ascii="Arial" w:hAnsi="Arial" w:cs="Arial"/>
                <w:sz w:val="20"/>
                <w:szCs w:val="20"/>
              </w:rPr>
            </w:pPr>
            <w:r w:rsidRPr="00675A12">
              <w:rPr>
                <w:rFonts w:ascii="Arial" w:hAnsi="Arial" w:cs="Arial"/>
                <w:sz w:val="20"/>
                <w:szCs w:val="20"/>
              </w:rPr>
              <w:t>One of our major goals to improve student learning is discussed in Section II, part C, Admissions Requirements. It dealt with guiding our students better at the beginning of their education.</w:t>
            </w:r>
          </w:p>
          <w:p w14:paraId="4A47A519" w14:textId="77777777" w:rsidR="00675A12" w:rsidRPr="00675A12" w:rsidRDefault="00675A12" w:rsidP="00293124">
            <w:pPr>
              <w:spacing w:line="276" w:lineRule="auto"/>
              <w:rPr>
                <w:rFonts w:ascii="Arial" w:hAnsi="Arial" w:cs="Arial"/>
                <w:color w:val="000000" w:themeColor="text1"/>
                <w:sz w:val="20"/>
                <w:szCs w:val="20"/>
              </w:rPr>
            </w:pPr>
          </w:p>
        </w:tc>
        <w:tc>
          <w:tcPr>
            <w:tcW w:w="2647" w:type="dxa"/>
          </w:tcPr>
          <w:p w14:paraId="39958E6B" w14:textId="77777777" w:rsidR="00675A12" w:rsidRPr="00675A12" w:rsidRDefault="00675A12" w:rsidP="00293124">
            <w:pPr>
              <w:pStyle w:val="ListParagraph"/>
              <w:ind w:left="0"/>
              <w:rPr>
                <w:rFonts w:ascii="Arial" w:hAnsi="Arial" w:cs="Arial"/>
                <w:color w:val="000000" w:themeColor="text1"/>
                <w:sz w:val="20"/>
                <w:szCs w:val="20"/>
              </w:rPr>
            </w:pPr>
          </w:p>
          <w:p w14:paraId="39856CA6"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Check1"/>
                  <w:enabled/>
                  <w:calcOnExit w:val="0"/>
                  <w:checkBox>
                    <w:sizeAuto/>
                    <w:default w:val="0"/>
                  </w:checkBox>
                </w:ffData>
              </w:fldChar>
            </w:r>
            <w:bookmarkStart w:id="0" w:name="Check1"/>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bookmarkEnd w:id="0"/>
          </w:p>
          <w:p w14:paraId="4EA5E49C" w14:textId="77777777" w:rsidR="00675A12" w:rsidRPr="00675A12" w:rsidRDefault="00675A12" w:rsidP="00293124">
            <w:pPr>
              <w:pStyle w:val="ListParagraph"/>
              <w:ind w:left="0"/>
              <w:rPr>
                <w:rFonts w:ascii="Arial" w:hAnsi="Arial" w:cs="Arial"/>
                <w:color w:val="000000" w:themeColor="text1"/>
                <w:sz w:val="20"/>
                <w:szCs w:val="20"/>
              </w:rPr>
            </w:pPr>
          </w:p>
          <w:p w14:paraId="4D401960"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2F1A5683" w14:textId="77777777" w:rsidR="00675A12" w:rsidRPr="00675A12" w:rsidRDefault="00675A12" w:rsidP="00293124">
            <w:pPr>
              <w:pStyle w:val="ListParagraph"/>
              <w:ind w:left="0"/>
              <w:rPr>
                <w:rFonts w:ascii="Arial" w:hAnsi="Arial" w:cs="Arial"/>
                <w:color w:val="000000" w:themeColor="text1"/>
                <w:sz w:val="20"/>
                <w:szCs w:val="20"/>
              </w:rPr>
            </w:pPr>
          </w:p>
          <w:p w14:paraId="2075A2E1"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tc>
        <w:tc>
          <w:tcPr>
            <w:tcW w:w="6632" w:type="dxa"/>
          </w:tcPr>
          <w:p w14:paraId="5BF6498F" w14:textId="77777777" w:rsidR="00675A12" w:rsidRPr="00675A12" w:rsidRDefault="00675A12" w:rsidP="00293124">
            <w:pPr>
              <w:rPr>
                <w:sz w:val="20"/>
                <w:szCs w:val="20"/>
              </w:rPr>
            </w:pPr>
            <w:r w:rsidRPr="00675A12">
              <w:rPr>
                <w:rFonts w:ascii="Arial" w:hAnsi="Arial" w:cs="Arial"/>
                <w:b/>
                <w:color w:val="000000" w:themeColor="text1"/>
                <w:sz w:val="20"/>
                <w:szCs w:val="20"/>
              </w:rPr>
              <w:t xml:space="preserve">This is complete in that the policy is in place to have all new majors first see the chair of the department for an advising session; this is set-up with academic advising to not advise new theatre majors, but to send them to the department. This worked well going into fall 2013; as almost all new majors were seen by the chair. There were 4 new majors who ‘fell through the crack’ going into fall 2013 and were not sent to the chair by academic advisors; all four were hindered in the start of their theatre studies and the department has done the best they can in getting these students back on track.  </w:t>
            </w:r>
          </w:p>
        </w:tc>
      </w:tr>
      <w:tr w:rsidR="00675A12" w:rsidRPr="00675A12" w14:paraId="47EC061B" w14:textId="77777777" w:rsidTr="00293124">
        <w:trPr>
          <w:trHeight w:val="1399"/>
        </w:trPr>
        <w:tc>
          <w:tcPr>
            <w:tcW w:w="3951" w:type="dxa"/>
          </w:tcPr>
          <w:p w14:paraId="0E477DB8" w14:textId="77777777" w:rsidR="00675A12" w:rsidRPr="00675A12" w:rsidRDefault="00675A12" w:rsidP="00293124">
            <w:pPr>
              <w:rPr>
                <w:rFonts w:ascii="Arial" w:hAnsi="Arial" w:cs="Arial"/>
                <w:sz w:val="20"/>
                <w:szCs w:val="20"/>
              </w:rPr>
            </w:pPr>
            <w:r w:rsidRPr="00675A12">
              <w:rPr>
                <w:rFonts w:ascii="Arial" w:hAnsi="Arial" w:cs="Arial"/>
                <w:sz w:val="20"/>
                <w:szCs w:val="20"/>
              </w:rPr>
              <w:lastRenderedPageBreak/>
              <w:t xml:space="preserve">An important goal that affects student learning is our national accreditation. Currently we are Associate Members of the National Association of Schools of Theatre; this is a five-year membership, which is up for re-accreditation in the 2014-2015 year. </w:t>
            </w:r>
          </w:p>
        </w:tc>
        <w:tc>
          <w:tcPr>
            <w:tcW w:w="2647" w:type="dxa"/>
          </w:tcPr>
          <w:p w14:paraId="67AEB96F" w14:textId="77777777" w:rsidR="00675A12" w:rsidRPr="00675A12" w:rsidRDefault="00675A12" w:rsidP="00293124">
            <w:pPr>
              <w:pStyle w:val="ListParagraph"/>
              <w:ind w:left="0"/>
              <w:rPr>
                <w:rFonts w:ascii="Arial" w:hAnsi="Arial" w:cs="Arial"/>
                <w:color w:val="000000" w:themeColor="text1"/>
                <w:sz w:val="20"/>
                <w:szCs w:val="20"/>
              </w:rPr>
            </w:pPr>
          </w:p>
          <w:p w14:paraId="350CBD01"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00F95813">
              <w:rPr>
                <w:sz w:val="20"/>
                <w:szCs w:val="20"/>
              </w:rPr>
              <w:fldChar w:fldCharType="begin">
                <w:ffData>
                  <w:name w:val=""/>
                  <w:enabled/>
                  <w:calcOnExit w:val="0"/>
                  <w:checkBox>
                    <w:sizeAuto/>
                    <w:default w:val="0"/>
                  </w:checkBox>
                </w:ffData>
              </w:fldChar>
            </w:r>
            <w:r w:rsidR="00F95813">
              <w:rPr>
                <w:sz w:val="20"/>
                <w:szCs w:val="20"/>
              </w:rPr>
              <w:instrText xml:space="preserve"> FORMCHECKBOX </w:instrText>
            </w:r>
            <w:r w:rsidR="00237CEE">
              <w:rPr>
                <w:sz w:val="20"/>
                <w:szCs w:val="20"/>
              </w:rPr>
            </w:r>
            <w:r w:rsidR="00237CEE">
              <w:rPr>
                <w:sz w:val="20"/>
                <w:szCs w:val="20"/>
              </w:rPr>
              <w:fldChar w:fldCharType="separate"/>
            </w:r>
            <w:r w:rsidR="00F95813">
              <w:rPr>
                <w:sz w:val="20"/>
                <w:szCs w:val="20"/>
              </w:rPr>
              <w:fldChar w:fldCharType="end"/>
            </w:r>
          </w:p>
          <w:p w14:paraId="44BB957F" w14:textId="77777777" w:rsidR="00675A12" w:rsidRPr="00675A12" w:rsidRDefault="00675A12" w:rsidP="00293124">
            <w:pPr>
              <w:pStyle w:val="ListParagraph"/>
              <w:ind w:left="0"/>
              <w:rPr>
                <w:rFonts w:ascii="Arial" w:hAnsi="Arial" w:cs="Arial"/>
                <w:color w:val="000000" w:themeColor="text1"/>
                <w:sz w:val="20"/>
                <w:szCs w:val="20"/>
              </w:rPr>
            </w:pPr>
          </w:p>
          <w:p w14:paraId="6B630393"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F95813">
              <w:rPr>
                <w:sz w:val="20"/>
                <w:szCs w:val="20"/>
              </w:rPr>
              <w:fldChar w:fldCharType="begin">
                <w:ffData>
                  <w:name w:val=""/>
                  <w:enabled/>
                  <w:calcOnExit w:val="0"/>
                  <w:checkBox>
                    <w:sizeAuto/>
                    <w:default w:val="1"/>
                  </w:checkBox>
                </w:ffData>
              </w:fldChar>
            </w:r>
            <w:r w:rsidR="00F95813">
              <w:rPr>
                <w:sz w:val="20"/>
                <w:szCs w:val="20"/>
              </w:rPr>
              <w:instrText xml:space="preserve"> FORMCHECKBOX </w:instrText>
            </w:r>
            <w:r w:rsidR="00237CEE">
              <w:rPr>
                <w:sz w:val="20"/>
                <w:szCs w:val="20"/>
              </w:rPr>
            </w:r>
            <w:r w:rsidR="00237CEE">
              <w:rPr>
                <w:sz w:val="20"/>
                <w:szCs w:val="20"/>
              </w:rPr>
              <w:fldChar w:fldCharType="separate"/>
            </w:r>
            <w:r w:rsidR="00F95813">
              <w:rPr>
                <w:sz w:val="20"/>
                <w:szCs w:val="20"/>
              </w:rPr>
              <w:fldChar w:fldCharType="end"/>
            </w:r>
          </w:p>
          <w:p w14:paraId="508D0175" w14:textId="77777777" w:rsidR="00675A12" w:rsidRPr="00675A12" w:rsidRDefault="00675A12" w:rsidP="00293124">
            <w:pPr>
              <w:pStyle w:val="ListParagraph"/>
              <w:ind w:left="0"/>
              <w:rPr>
                <w:rFonts w:ascii="Arial" w:hAnsi="Arial" w:cs="Arial"/>
                <w:color w:val="000000" w:themeColor="text1"/>
                <w:sz w:val="20"/>
                <w:szCs w:val="20"/>
              </w:rPr>
            </w:pPr>
          </w:p>
          <w:p w14:paraId="4C7DC470"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0FE5DBDA" w14:textId="77777777" w:rsidR="00675A12" w:rsidRPr="00675A12" w:rsidRDefault="00675A12" w:rsidP="00293124">
            <w:pPr>
              <w:pStyle w:val="ListParagraph"/>
              <w:ind w:left="0"/>
              <w:rPr>
                <w:rFonts w:ascii="Arial" w:hAnsi="Arial" w:cs="Arial"/>
                <w:color w:val="000000" w:themeColor="text1"/>
                <w:sz w:val="20"/>
                <w:szCs w:val="20"/>
              </w:rPr>
            </w:pPr>
          </w:p>
        </w:tc>
        <w:tc>
          <w:tcPr>
            <w:tcW w:w="6632" w:type="dxa"/>
          </w:tcPr>
          <w:p w14:paraId="002FE189" w14:textId="77777777" w:rsidR="00675A12" w:rsidRPr="00F95813" w:rsidRDefault="00F95813" w:rsidP="00293124">
            <w:pPr>
              <w:rPr>
                <w:rFonts w:ascii="Arial" w:hAnsi="Arial" w:cs="Arial"/>
                <w:b/>
                <w:color w:val="000000" w:themeColor="text1"/>
                <w:sz w:val="20"/>
                <w:szCs w:val="20"/>
              </w:rPr>
            </w:pPr>
            <w:r>
              <w:rPr>
                <w:rFonts w:ascii="Arial" w:hAnsi="Arial" w:cs="Arial"/>
                <w:b/>
                <w:color w:val="000000" w:themeColor="text1"/>
                <w:sz w:val="20"/>
                <w:szCs w:val="20"/>
              </w:rPr>
              <w:t>The department</w:t>
            </w:r>
            <w:r w:rsidR="00675A12" w:rsidRPr="00675A12">
              <w:rPr>
                <w:rFonts w:ascii="Arial" w:hAnsi="Arial" w:cs="Arial"/>
                <w:b/>
                <w:color w:val="000000" w:themeColor="text1"/>
                <w:sz w:val="20"/>
                <w:szCs w:val="20"/>
              </w:rPr>
              <w:t xml:space="preserve"> completed the process for re-accreditation by submitting the NAST self-study in Febr</w:t>
            </w:r>
            <w:r>
              <w:rPr>
                <w:rFonts w:ascii="Arial" w:hAnsi="Arial" w:cs="Arial"/>
                <w:b/>
                <w:color w:val="000000" w:themeColor="text1"/>
                <w:sz w:val="20"/>
                <w:szCs w:val="20"/>
              </w:rPr>
              <w:t>uary 2015, then hosted</w:t>
            </w:r>
            <w:r w:rsidR="00675A12" w:rsidRPr="00675A12">
              <w:rPr>
                <w:rFonts w:ascii="Arial" w:hAnsi="Arial" w:cs="Arial"/>
                <w:b/>
                <w:color w:val="000000" w:themeColor="text1"/>
                <w:sz w:val="20"/>
                <w:szCs w:val="20"/>
              </w:rPr>
              <w:t xml:space="preserve"> the site visitors in April 2015. </w:t>
            </w:r>
            <w:r>
              <w:rPr>
                <w:rFonts w:ascii="Arial" w:hAnsi="Arial" w:cs="Arial"/>
                <w:b/>
                <w:color w:val="000000" w:themeColor="text1"/>
                <w:sz w:val="20"/>
                <w:szCs w:val="20"/>
              </w:rPr>
              <w:t>The report from the visitors has been received and there were no major concerns; a Response Letter to the report was submitted in order to correct a few mistakes and update information about the merger of Theatre &amp; Dance with Music. So, the department has completed everything that needs to be done for re-accreditation. NAST will vote on this at the conference in March and inform the department of the results about 30 days later.</w:t>
            </w:r>
          </w:p>
        </w:tc>
      </w:tr>
      <w:tr w:rsidR="00675A12" w:rsidRPr="00675A12" w14:paraId="2CE35384" w14:textId="77777777" w:rsidTr="00293124">
        <w:trPr>
          <w:trHeight w:val="1101"/>
        </w:trPr>
        <w:tc>
          <w:tcPr>
            <w:tcW w:w="3951" w:type="dxa"/>
          </w:tcPr>
          <w:p w14:paraId="44B322A3" w14:textId="77777777" w:rsidR="00675A12" w:rsidRPr="00675A12" w:rsidRDefault="00675A12" w:rsidP="00293124">
            <w:pPr>
              <w:rPr>
                <w:rFonts w:ascii="Arial" w:hAnsi="Arial" w:cs="Arial"/>
                <w:sz w:val="20"/>
                <w:szCs w:val="20"/>
              </w:rPr>
            </w:pPr>
            <w:r w:rsidRPr="00675A12">
              <w:rPr>
                <w:rFonts w:ascii="Arial" w:hAnsi="Arial" w:cs="Arial"/>
                <w:sz w:val="20"/>
                <w:szCs w:val="20"/>
              </w:rPr>
              <w:t xml:space="preserve">We plan to improve student learning by utilizing the black box space for both classroom use and additional performance opportunities for our students. Student learning will also increase as student actors, technicians and designers get the opportunity to learn about theatre production in a different type of theatre configuration (Theatre configuration deals with the different relationship/placement of audience and performer). Blair Hall Theatre is a proscenium configuration and the black box space can be arranged as any configuration and be changed for every performance, thus giving our students many more experiences. </w:t>
            </w:r>
          </w:p>
          <w:p w14:paraId="27448D80" w14:textId="77777777" w:rsidR="00675A12" w:rsidRPr="00675A12" w:rsidRDefault="00675A12" w:rsidP="00293124">
            <w:pPr>
              <w:spacing w:line="276" w:lineRule="auto"/>
              <w:rPr>
                <w:rFonts w:ascii="Arial" w:hAnsi="Arial" w:cs="Arial"/>
                <w:color w:val="000000" w:themeColor="text1"/>
                <w:sz w:val="20"/>
                <w:szCs w:val="20"/>
              </w:rPr>
            </w:pPr>
          </w:p>
        </w:tc>
        <w:tc>
          <w:tcPr>
            <w:tcW w:w="2647" w:type="dxa"/>
          </w:tcPr>
          <w:p w14:paraId="0BF52984" w14:textId="77777777" w:rsidR="00675A12" w:rsidRPr="00675A12" w:rsidRDefault="00675A12" w:rsidP="00293124">
            <w:pPr>
              <w:pStyle w:val="ListParagraph"/>
              <w:ind w:left="0"/>
              <w:rPr>
                <w:rFonts w:ascii="Arial" w:hAnsi="Arial" w:cs="Arial"/>
                <w:color w:val="000000" w:themeColor="text1"/>
                <w:sz w:val="20"/>
                <w:szCs w:val="20"/>
              </w:rPr>
            </w:pPr>
          </w:p>
          <w:p w14:paraId="57466167"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42138BF4" w14:textId="77777777" w:rsidR="00675A12" w:rsidRPr="00675A12" w:rsidRDefault="00675A12" w:rsidP="00293124">
            <w:pPr>
              <w:pStyle w:val="ListParagraph"/>
              <w:ind w:left="0"/>
              <w:rPr>
                <w:rFonts w:ascii="Arial" w:hAnsi="Arial" w:cs="Arial"/>
                <w:color w:val="000000" w:themeColor="text1"/>
                <w:sz w:val="20"/>
                <w:szCs w:val="20"/>
              </w:rPr>
            </w:pPr>
          </w:p>
          <w:p w14:paraId="02ECD9D3"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536D2062" w14:textId="77777777" w:rsidR="00675A12" w:rsidRPr="00675A12" w:rsidRDefault="00675A12" w:rsidP="00293124">
            <w:pPr>
              <w:pStyle w:val="ListParagraph"/>
              <w:ind w:left="0"/>
              <w:rPr>
                <w:rFonts w:ascii="Arial" w:hAnsi="Arial" w:cs="Arial"/>
                <w:color w:val="000000" w:themeColor="text1"/>
                <w:sz w:val="20"/>
                <w:szCs w:val="20"/>
              </w:rPr>
            </w:pPr>
          </w:p>
          <w:p w14:paraId="1C803A4E"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7E497FA0" w14:textId="77777777" w:rsidR="00675A12" w:rsidRPr="00675A12" w:rsidRDefault="00675A12" w:rsidP="00293124">
            <w:pPr>
              <w:pStyle w:val="ListParagraph"/>
              <w:ind w:left="0"/>
              <w:rPr>
                <w:rFonts w:ascii="Arial" w:hAnsi="Arial" w:cs="Arial"/>
                <w:color w:val="000000" w:themeColor="text1"/>
                <w:sz w:val="20"/>
                <w:szCs w:val="20"/>
              </w:rPr>
            </w:pPr>
          </w:p>
        </w:tc>
        <w:tc>
          <w:tcPr>
            <w:tcW w:w="6632" w:type="dxa"/>
          </w:tcPr>
          <w:p w14:paraId="64B20D4A"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Since opening the Black Box in November of 2013, the department has used the space for 4 main stage productions which utilized 3 different types of configurations. And these main stage productions had 8 student designers and 26 student actors (as well as many student technicians) who learned a great deal about working in this small intimate space, in the variety of configurations. </w:t>
            </w:r>
          </w:p>
          <w:p w14:paraId="1DB4CCF1"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As a classroom space, all but one dance class and one acting class are taught in this space, as well as the lab for the lighting fundamentals class.</w:t>
            </w:r>
          </w:p>
          <w:p w14:paraId="3C26F319"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This space is also where all main stage auditions, call backs and rehearsals take place.</w:t>
            </w:r>
          </w:p>
          <w:p w14:paraId="3D48CCBD"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In the first year of the Black Box (2013-14) the department introduced the Mac Student Series. This series is intended to encourage students to produce live performances on their own. They have to apply to use the space, the department votes to approve the application or not and also determine at what level the project will supported; as in how much of a budget there will be, if the department will purchase the rights to produce it and to what extent the project will be permitted to use stock materials and shop supplies. In this first year, there were only two Mac Student Series projects produced; one was at the end of the year and the other during the summer of 2014. Then this past year there were/are seven projects being produced. They were spread throughout the academic year, with two more currently being produced during the summer of 2015.</w:t>
            </w:r>
          </w:p>
        </w:tc>
      </w:tr>
    </w:tbl>
    <w:p w14:paraId="2807B52A" w14:textId="77777777" w:rsidR="00B11028" w:rsidRDefault="00B11028">
      <w:r>
        <w:br w:type="page"/>
      </w:r>
    </w:p>
    <w:p w14:paraId="4ABDC74D"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675A12" w:rsidRPr="00675A12" w14:paraId="105D3332" w14:textId="77777777" w:rsidTr="00293124">
        <w:tc>
          <w:tcPr>
            <w:tcW w:w="3708" w:type="dxa"/>
          </w:tcPr>
          <w:p w14:paraId="6D93B3E8"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RECOMMENDATIONS</w:t>
            </w:r>
          </w:p>
        </w:tc>
        <w:tc>
          <w:tcPr>
            <w:tcW w:w="2700" w:type="dxa"/>
          </w:tcPr>
          <w:p w14:paraId="5669AA70"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Status</w:t>
            </w:r>
          </w:p>
        </w:tc>
        <w:tc>
          <w:tcPr>
            <w:tcW w:w="6480" w:type="dxa"/>
          </w:tcPr>
          <w:p w14:paraId="2EBC7EE7"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Progress or Rationale for No Longer Applicable</w:t>
            </w:r>
          </w:p>
        </w:tc>
      </w:tr>
      <w:tr w:rsidR="00675A12" w:rsidRPr="00675A12" w14:paraId="72EE71E3" w14:textId="77777777" w:rsidTr="00293124">
        <w:tc>
          <w:tcPr>
            <w:tcW w:w="3708" w:type="dxa"/>
          </w:tcPr>
          <w:p w14:paraId="6281BF62"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The department’s mission statement focuses solely on Theatre, but a substantial portion of the FTE generated in this department are from the Dance courses.   The mission statement should be modified to be inclusive of the Dance component of the program.  In addition, the program outcomes for the two Theatre degree programs are the program outcomes that are reported in the Annual Updates.  The department should find ways to ensure that there is assessment of program outcomes that are applicable to Dance also, otherwise Dance will be “invisible” to assessment in the department.  Perhaps the department could explore developing a set of outcomes for the Dance courses that are separate and distinct from the Theatre degree program outcomes, and that would allow for measurement of student learning across these courses.</w:t>
            </w:r>
          </w:p>
          <w:p w14:paraId="2697F19D"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2E1CD3CD" w14:textId="77777777" w:rsidR="00675A12" w:rsidRPr="00675A12" w:rsidRDefault="00675A12" w:rsidP="00293124">
            <w:pPr>
              <w:pStyle w:val="ListParagraph"/>
              <w:ind w:left="0"/>
              <w:rPr>
                <w:rFonts w:ascii="Arial" w:hAnsi="Arial" w:cs="Arial"/>
                <w:color w:val="000000" w:themeColor="text1"/>
                <w:sz w:val="20"/>
                <w:szCs w:val="20"/>
              </w:rPr>
            </w:pPr>
          </w:p>
          <w:p w14:paraId="22F6290E"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5891BFCC" w14:textId="77777777" w:rsidR="00675A12" w:rsidRPr="00675A12" w:rsidRDefault="00675A12" w:rsidP="00293124">
            <w:pPr>
              <w:pStyle w:val="ListParagraph"/>
              <w:ind w:left="0"/>
              <w:rPr>
                <w:rFonts w:ascii="Arial" w:hAnsi="Arial" w:cs="Arial"/>
                <w:color w:val="000000" w:themeColor="text1"/>
                <w:sz w:val="20"/>
                <w:szCs w:val="20"/>
              </w:rPr>
            </w:pPr>
          </w:p>
          <w:p w14:paraId="6A77DA69"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1302DE2A" w14:textId="77777777" w:rsidR="00675A12" w:rsidRPr="00675A12" w:rsidRDefault="00675A12" w:rsidP="00293124">
            <w:pPr>
              <w:pStyle w:val="ListParagraph"/>
              <w:ind w:left="0"/>
              <w:rPr>
                <w:rFonts w:ascii="Arial" w:hAnsi="Arial" w:cs="Arial"/>
                <w:color w:val="000000" w:themeColor="text1"/>
                <w:sz w:val="20"/>
                <w:szCs w:val="20"/>
              </w:rPr>
            </w:pPr>
          </w:p>
          <w:p w14:paraId="7011B9F0"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73170D5E" w14:textId="77777777" w:rsidR="00675A12" w:rsidRPr="00675A12" w:rsidRDefault="00675A12" w:rsidP="00293124">
            <w:pPr>
              <w:pStyle w:val="ListParagraph"/>
              <w:ind w:left="0"/>
              <w:rPr>
                <w:rFonts w:ascii="Arial" w:hAnsi="Arial" w:cs="Arial"/>
                <w:color w:val="000000" w:themeColor="text1"/>
                <w:sz w:val="20"/>
                <w:szCs w:val="20"/>
              </w:rPr>
            </w:pPr>
          </w:p>
        </w:tc>
        <w:tc>
          <w:tcPr>
            <w:tcW w:w="6480" w:type="dxa"/>
          </w:tcPr>
          <w:p w14:paraId="5668BF9D"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The department has revised both the Mission Statement and the Program Outcomes to be inclusive of the dance component in our program.</w:t>
            </w:r>
          </w:p>
          <w:p w14:paraId="0B8BDC9B"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The department needs to continue the work in the second half of this recommendation, concerning the outcomes and assessment of the dance area.</w:t>
            </w:r>
          </w:p>
          <w:p w14:paraId="0F9ACF5F" w14:textId="77777777" w:rsidR="00675A12" w:rsidRPr="00675A12" w:rsidRDefault="00675A12" w:rsidP="00293124">
            <w:pPr>
              <w:rPr>
                <w:rFonts w:ascii="Arial" w:hAnsi="Arial" w:cs="Arial"/>
                <w:b/>
                <w:color w:val="000000" w:themeColor="text1"/>
                <w:sz w:val="20"/>
                <w:szCs w:val="20"/>
              </w:rPr>
            </w:pPr>
          </w:p>
          <w:p w14:paraId="411237AB" w14:textId="77777777" w:rsidR="00675A12" w:rsidRPr="00675A12" w:rsidRDefault="00675A12" w:rsidP="00293124">
            <w:pPr>
              <w:rPr>
                <w:sz w:val="20"/>
                <w:szCs w:val="20"/>
              </w:rPr>
            </w:pPr>
          </w:p>
        </w:tc>
      </w:tr>
      <w:tr w:rsidR="00675A12" w:rsidRPr="00675A12" w14:paraId="15407567" w14:textId="77777777" w:rsidTr="00293124">
        <w:tc>
          <w:tcPr>
            <w:tcW w:w="3708" w:type="dxa"/>
          </w:tcPr>
          <w:p w14:paraId="4093F857"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 xml:space="preserve">Regarding assessment, the department should find ways of collecting, compiling, and analyzing some of the data it is already generating.  There is a considerable amount of assessment already taking place in the department, it just needs to be captured, analyzed, and reported.  For example, after every </w:t>
            </w:r>
            <w:r w:rsidRPr="00675A12">
              <w:rPr>
                <w:rFonts w:ascii="Arial" w:hAnsi="Arial" w:cs="Arial"/>
                <w:color w:val="000000"/>
                <w:sz w:val="20"/>
                <w:szCs w:val="20"/>
              </w:rPr>
              <w:lastRenderedPageBreak/>
              <w:t>production there is a “post-mortem” discussion regarding what went well and what could be improved – capturing and analyzing these discussions for trends across productions could be a means of conducting program assessment.  Faculty evaluate student performances all the time on an individual level – capturing these individual level assessments and looking for trends related to program outcomes across all students would be an excellent approach to assessment of program outcomes.</w:t>
            </w:r>
          </w:p>
          <w:p w14:paraId="07AB0A95"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47C1BBF6" w14:textId="77777777" w:rsidR="00675A12" w:rsidRPr="00675A12" w:rsidRDefault="00675A12" w:rsidP="00293124">
            <w:pPr>
              <w:pStyle w:val="ListParagraph"/>
              <w:ind w:left="0"/>
              <w:rPr>
                <w:rFonts w:ascii="Arial" w:hAnsi="Arial" w:cs="Arial"/>
                <w:color w:val="000000" w:themeColor="text1"/>
                <w:sz w:val="20"/>
                <w:szCs w:val="20"/>
              </w:rPr>
            </w:pPr>
          </w:p>
          <w:p w14:paraId="6E54B14B"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42227DC9" w14:textId="77777777" w:rsidR="00675A12" w:rsidRPr="00675A12" w:rsidRDefault="00675A12" w:rsidP="00293124">
            <w:pPr>
              <w:pStyle w:val="ListParagraph"/>
              <w:ind w:left="0"/>
              <w:rPr>
                <w:rFonts w:ascii="Arial" w:hAnsi="Arial" w:cs="Arial"/>
                <w:color w:val="000000" w:themeColor="text1"/>
                <w:sz w:val="20"/>
                <w:szCs w:val="20"/>
              </w:rPr>
            </w:pPr>
          </w:p>
          <w:p w14:paraId="40406575"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01810064" w14:textId="77777777" w:rsidR="00675A12" w:rsidRPr="00675A12" w:rsidRDefault="00675A12" w:rsidP="00293124">
            <w:pPr>
              <w:pStyle w:val="ListParagraph"/>
              <w:ind w:left="0"/>
              <w:rPr>
                <w:rFonts w:ascii="Arial" w:hAnsi="Arial" w:cs="Arial"/>
                <w:color w:val="000000" w:themeColor="text1"/>
                <w:sz w:val="20"/>
                <w:szCs w:val="20"/>
              </w:rPr>
            </w:pPr>
          </w:p>
          <w:p w14:paraId="4CF8A95C"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7A860EA1" w14:textId="77777777" w:rsidR="00675A12" w:rsidRPr="00675A12" w:rsidRDefault="00675A12" w:rsidP="00293124">
            <w:pPr>
              <w:pStyle w:val="ListParagraph"/>
              <w:ind w:left="0"/>
              <w:rPr>
                <w:rFonts w:ascii="Arial" w:hAnsi="Arial" w:cs="Arial"/>
                <w:color w:val="000000" w:themeColor="text1"/>
                <w:sz w:val="20"/>
                <w:szCs w:val="20"/>
              </w:rPr>
            </w:pPr>
          </w:p>
        </w:tc>
        <w:tc>
          <w:tcPr>
            <w:tcW w:w="6480" w:type="dxa"/>
          </w:tcPr>
          <w:p w14:paraId="03EC247D" w14:textId="02D2E55E" w:rsidR="00675A12" w:rsidRPr="00675A12" w:rsidRDefault="00675A12" w:rsidP="00293124">
            <w:pPr>
              <w:rPr>
                <w:sz w:val="20"/>
                <w:szCs w:val="20"/>
              </w:rPr>
            </w:pPr>
            <w:r w:rsidRPr="00675A12">
              <w:rPr>
                <w:rFonts w:ascii="Arial" w:hAnsi="Arial" w:cs="Arial"/>
                <w:b/>
                <w:color w:val="000000" w:themeColor="text1"/>
                <w:sz w:val="20"/>
                <w:szCs w:val="20"/>
              </w:rPr>
              <w:t>The department did not focus on this recommendation this past year as the NAST re-accreditation needed to be the priority.</w:t>
            </w:r>
            <w:r w:rsidR="00236688">
              <w:rPr>
                <w:rFonts w:ascii="Arial" w:hAnsi="Arial" w:cs="Arial"/>
                <w:b/>
                <w:color w:val="000000" w:themeColor="text1"/>
                <w:sz w:val="20"/>
                <w:szCs w:val="20"/>
              </w:rPr>
              <w:t xml:space="preserve"> This will become a priority over the summer and during the 2016-17 academic year.</w:t>
            </w:r>
            <w:bookmarkStart w:id="1" w:name="_GoBack"/>
            <w:bookmarkEnd w:id="1"/>
          </w:p>
        </w:tc>
      </w:tr>
      <w:tr w:rsidR="00675A12" w:rsidRPr="00675A12" w14:paraId="3441A1A1" w14:textId="77777777" w:rsidTr="00293124">
        <w:tc>
          <w:tcPr>
            <w:tcW w:w="3708" w:type="dxa"/>
          </w:tcPr>
          <w:p w14:paraId="64E4A76A"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lastRenderedPageBreak/>
              <w:t>In the self-study and in the review team discussion the department mentioned that tracking graduates and former students is a challenge.  Graduates spoke highly of the department, but there may be feedback from other former students that the department isn’t getting that would be useful for making improvements.   The department is encouraged to explore efforts for increasing its ability to get feedback from a more comprehensive sample of graduates and former students.  Social media may provide one avenue for accomplishing this to a greater extent, but there may be other avenues that could also be explored.  The department should examine some of the new techniques being employed by Research, Analytics, and Reporting to increase response rates for its graduate surveys.</w:t>
            </w:r>
          </w:p>
          <w:p w14:paraId="32F773C9"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5A21BD89" w14:textId="77777777" w:rsidR="00675A12" w:rsidRPr="00675A12" w:rsidRDefault="00675A12" w:rsidP="00293124">
            <w:pPr>
              <w:pStyle w:val="ListParagraph"/>
              <w:ind w:left="0"/>
              <w:rPr>
                <w:rFonts w:ascii="Arial" w:hAnsi="Arial" w:cs="Arial"/>
                <w:color w:val="000000" w:themeColor="text1"/>
                <w:sz w:val="20"/>
                <w:szCs w:val="20"/>
              </w:rPr>
            </w:pPr>
          </w:p>
          <w:p w14:paraId="5B71109A"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1B96CA00" w14:textId="77777777" w:rsidR="00675A12" w:rsidRPr="00675A12" w:rsidRDefault="00675A12" w:rsidP="00293124">
            <w:pPr>
              <w:pStyle w:val="ListParagraph"/>
              <w:ind w:left="0"/>
              <w:rPr>
                <w:rFonts w:ascii="Arial" w:hAnsi="Arial" w:cs="Arial"/>
                <w:color w:val="000000" w:themeColor="text1"/>
                <w:sz w:val="20"/>
                <w:szCs w:val="20"/>
              </w:rPr>
            </w:pPr>
          </w:p>
          <w:p w14:paraId="02D0249E"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061960DF" w14:textId="77777777" w:rsidR="00675A12" w:rsidRPr="00675A12" w:rsidRDefault="00675A12" w:rsidP="00293124">
            <w:pPr>
              <w:pStyle w:val="ListParagraph"/>
              <w:ind w:left="0"/>
              <w:rPr>
                <w:rFonts w:ascii="Arial" w:hAnsi="Arial" w:cs="Arial"/>
                <w:color w:val="000000" w:themeColor="text1"/>
                <w:sz w:val="20"/>
                <w:szCs w:val="20"/>
              </w:rPr>
            </w:pPr>
          </w:p>
          <w:p w14:paraId="16A60995"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tc>
        <w:tc>
          <w:tcPr>
            <w:tcW w:w="6480" w:type="dxa"/>
          </w:tcPr>
          <w:p w14:paraId="7ACA56EF"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Yes, this is a challenge. But we identified how we have overcome this challenge and thus this is one of our strengths and this recommendation is no longer applicable. The Sinclair survey that is sent to graduates just does not seem to reach our students. So we already employ social media and we simply stay in touch with former students, constantly asking them for feedback and often bringing them back to talk to current students about their post-Sinclair experiences (both transfer to 4year universities and employment). In our program review we had 26pages of feedback from former students (22 students represented) and 7pages that listed the employment and transfer information of former students. Of course there is feedback and information from former students that we are not getting, but what we are getting is significant. </w:t>
            </w:r>
          </w:p>
          <w:p w14:paraId="3F75FA29" w14:textId="77777777" w:rsidR="00675A12" w:rsidRPr="00675A12" w:rsidRDefault="00675A12" w:rsidP="00293124">
            <w:pPr>
              <w:rPr>
                <w:rFonts w:ascii="Arial" w:hAnsi="Arial" w:cs="Arial"/>
                <w:b/>
                <w:color w:val="000000" w:themeColor="text1"/>
                <w:sz w:val="20"/>
                <w:szCs w:val="20"/>
              </w:rPr>
            </w:pPr>
          </w:p>
          <w:p w14:paraId="2C0AC559" w14:textId="77777777" w:rsidR="00675A12" w:rsidRPr="00675A12" w:rsidRDefault="00675A12" w:rsidP="00293124">
            <w:pPr>
              <w:rPr>
                <w:rFonts w:ascii="Arial" w:hAnsi="Arial" w:cs="Arial"/>
                <w:b/>
                <w:color w:val="000000" w:themeColor="text1"/>
                <w:sz w:val="20"/>
                <w:szCs w:val="20"/>
              </w:rPr>
            </w:pPr>
          </w:p>
        </w:tc>
      </w:tr>
      <w:tr w:rsidR="00675A12" w:rsidRPr="00675A12" w14:paraId="64A6EA4C" w14:textId="77777777" w:rsidTr="00293124">
        <w:tc>
          <w:tcPr>
            <w:tcW w:w="3708" w:type="dxa"/>
          </w:tcPr>
          <w:p w14:paraId="54E25D1A"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lastRenderedPageBreak/>
              <w:t>The previous Program Review included recommendations to track outside work of students both while at Sinclair and after they graduate.  It is recommended that the department explore ways to better capture what productions outside of Sinclair their students are involved in while in the program and what productions they are involved with once they leave Sinclair.</w:t>
            </w:r>
          </w:p>
          <w:p w14:paraId="0B1A9074"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15247C19" w14:textId="77777777" w:rsidR="00675A12" w:rsidRPr="00675A12" w:rsidRDefault="00675A12" w:rsidP="00293124">
            <w:pPr>
              <w:rPr>
                <w:rFonts w:ascii="Arial" w:hAnsi="Arial" w:cs="Arial"/>
                <w:color w:val="000000" w:themeColor="text1"/>
                <w:sz w:val="20"/>
                <w:szCs w:val="20"/>
              </w:rPr>
            </w:pPr>
          </w:p>
          <w:p w14:paraId="33B98946" w14:textId="77777777" w:rsidR="00675A12" w:rsidRPr="00675A12" w:rsidRDefault="00675A12" w:rsidP="00293124">
            <w:pPr>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6FD41320" w14:textId="77777777" w:rsidR="00675A12" w:rsidRPr="00675A12" w:rsidRDefault="00675A12" w:rsidP="00293124">
            <w:pPr>
              <w:pStyle w:val="ListParagraph"/>
              <w:ind w:left="0"/>
              <w:rPr>
                <w:rFonts w:ascii="Arial" w:hAnsi="Arial" w:cs="Arial"/>
                <w:color w:val="000000" w:themeColor="text1"/>
                <w:sz w:val="20"/>
                <w:szCs w:val="20"/>
              </w:rPr>
            </w:pPr>
          </w:p>
          <w:p w14:paraId="35EEA484"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1F2A3964" w14:textId="77777777" w:rsidR="00675A12" w:rsidRPr="00675A12" w:rsidRDefault="00675A12" w:rsidP="00293124">
            <w:pPr>
              <w:pStyle w:val="ListParagraph"/>
              <w:ind w:left="0"/>
              <w:rPr>
                <w:rFonts w:ascii="Arial" w:hAnsi="Arial" w:cs="Arial"/>
                <w:color w:val="000000" w:themeColor="text1"/>
                <w:sz w:val="20"/>
                <w:szCs w:val="20"/>
              </w:rPr>
            </w:pPr>
          </w:p>
          <w:p w14:paraId="31E87836"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tc>
        <w:tc>
          <w:tcPr>
            <w:tcW w:w="6480" w:type="dxa"/>
          </w:tcPr>
          <w:p w14:paraId="3E588303" w14:textId="77777777" w:rsidR="00675A12" w:rsidRPr="00675A12" w:rsidRDefault="00675A12" w:rsidP="00293124">
            <w:pPr>
              <w:rPr>
                <w:sz w:val="20"/>
                <w:szCs w:val="20"/>
              </w:rPr>
            </w:pPr>
            <w:r w:rsidRPr="00675A12">
              <w:rPr>
                <w:rFonts w:ascii="Arial" w:hAnsi="Arial" w:cs="Arial"/>
                <w:b/>
                <w:color w:val="000000" w:themeColor="text1"/>
                <w:sz w:val="20"/>
                <w:szCs w:val="20"/>
              </w:rPr>
              <w:t>This is already being accomplished.</w:t>
            </w:r>
          </w:p>
        </w:tc>
      </w:tr>
      <w:tr w:rsidR="00675A12" w:rsidRPr="00675A12" w14:paraId="20ED98D3" w14:textId="77777777" w:rsidTr="00293124">
        <w:tc>
          <w:tcPr>
            <w:tcW w:w="3708" w:type="dxa"/>
          </w:tcPr>
          <w:p w14:paraId="72774823" w14:textId="77777777" w:rsidR="00675A12" w:rsidRPr="00675A12" w:rsidRDefault="00675A12" w:rsidP="00293124">
            <w:pPr>
              <w:rPr>
                <w:rFonts w:ascii="Arial" w:hAnsi="Arial" w:cs="Arial"/>
                <w:sz w:val="20"/>
                <w:szCs w:val="20"/>
              </w:rPr>
            </w:pPr>
            <w:r w:rsidRPr="00675A12">
              <w:rPr>
                <w:rFonts w:ascii="Arial" w:hAnsi="Arial" w:cs="Arial"/>
                <w:color w:val="000000"/>
                <w:sz w:val="20"/>
                <w:szCs w:val="20"/>
              </w:rPr>
              <w:t>Similarly, the successes of Sinclair graduates once they leave the program should be more widely disseminated to the public.  Where appropriate - and with permission - highlighting the successes of former students in promotional materials may be an effective means of doing this.</w:t>
            </w:r>
          </w:p>
          <w:p w14:paraId="65176172"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4D0240A2" w14:textId="77777777" w:rsidR="00675A12" w:rsidRPr="00675A12" w:rsidRDefault="00675A12" w:rsidP="00293124">
            <w:pPr>
              <w:pStyle w:val="ListParagraph"/>
              <w:ind w:left="0"/>
              <w:rPr>
                <w:rFonts w:ascii="Arial" w:hAnsi="Arial" w:cs="Arial"/>
                <w:color w:val="000000" w:themeColor="text1"/>
                <w:sz w:val="20"/>
                <w:szCs w:val="20"/>
              </w:rPr>
            </w:pPr>
          </w:p>
          <w:p w14:paraId="6A76681B"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5B84CB2B" w14:textId="77777777" w:rsidR="00675A12" w:rsidRPr="00675A12" w:rsidRDefault="00675A12" w:rsidP="00293124">
            <w:pPr>
              <w:pStyle w:val="ListParagraph"/>
              <w:ind w:left="0"/>
              <w:rPr>
                <w:rFonts w:ascii="Arial" w:hAnsi="Arial" w:cs="Arial"/>
                <w:color w:val="000000" w:themeColor="text1"/>
                <w:sz w:val="20"/>
                <w:szCs w:val="20"/>
              </w:rPr>
            </w:pPr>
          </w:p>
          <w:p w14:paraId="10731806"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2A6D6B22" w14:textId="77777777" w:rsidR="00675A12" w:rsidRPr="00675A12" w:rsidRDefault="00675A12" w:rsidP="00293124">
            <w:pPr>
              <w:pStyle w:val="ListParagraph"/>
              <w:ind w:left="0"/>
              <w:rPr>
                <w:rFonts w:ascii="Arial" w:hAnsi="Arial" w:cs="Arial"/>
                <w:color w:val="000000" w:themeColor="text1"/>
                <w:sz w:val="20"/>
                <w:szCs w:val="20"/>
              </w:rPr>
            </w:pPr>
          </w:p>
          <w:p w14:paraId="42B3BFBC"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tc>
        <w:tc>
          <w:tcPr>
            <w:tcW w:w="6480" w:type="dxa"/>
          </w:tcPr>
          <w:p w14:paraId="04CF549C" w14:textId="77777777" w:rsidR="00675A12" w:rsidRPr="00675A12" w:rsidRDefault="00675A12" w:rsidP="00293124">
            <w:pPr>
              <w:rPr>
                <w:sz w:val="20"/>
                <w:szCs w:val="20"/>
              </w:rPr>
            </w:pPr>
            <w:r w:rsidRPr="00675A12">
              <w:rPr>
                <w:rFonts w:ascii="Arial" w:hAnsi="Arial" w:cs="Arial"/>
                <w:b/>
                <w:color w:val="000000" w:themeColor="text1"/>
                <w:sz w:val="20"/>
                <w:szCs w:val="20"/>
              </w:rPr>
              <w:t>This is complete, and in place to continue and grow, thanks mostly to our Marketing Specialist, Patti Celek. This is something we have always done, but most recently, this has has been accomplished through: Sinclair Foundation brochures that highlight former students, The Vintage Affair, constant press releases, theatre production programs from other theatres where Sinclair is mentioned by current and former students, involvement with the DayTony organization where our students have won awards that are published through several media venues, our presence on Facebook and YouTube also disseminates this information, etc…</w:t>
            </w:r>
          </w:p>
        </w:tc>
      </w:tr>
      <w:tr w:rsidR="00675A12" w:rsidRPr="00675A12" w14:paraId="1D56B55A" w14:textId="77777777" w:rsidTr="00293124">
        <w:tc>
          <w:tcPr>
            <w:tcW w:w="3708" w:type="dxa"/>
          </w:tcPr>
          <w:p w14:paraId="560C9A50"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 xml:space="preserve">The department needs to ensure that its resources are not overextended – in terms of the number of productions the department tackles every year, in terms of the level of engagement with the students, or in terms of follow-up with graduates and former students, the department should work to maintain the delicate balance between meeting the needs of a high-quality program and spreading its resources too thin. </w:t>
            </w:r>
          </w:p>
          <w:p w14:paraId="3C88C9BA" w14:textId="77777777" w:rsidR="00675A12" w:rsidRPr="00675A12" w:rsidRDefault="00675A12" w:rsidP="00293124">
            <w:pPr>
              <w:rPr>
                <w:rFonts w:ascii="Arial" w:hAnsi="Arial" w:cs="Arial"/>
                <w:sz w:val="20"/>
                <w:szCs w:val="20"/>
              </w:rPr>
            </w:pPr>
          </w:p>
        </w:tc>
        <w:tc>
          <w:tcPr>
            <w:tcW w:w="2700" w:type="dxa"/>
          </w:tcPr>
          <w:p w14:paraId="66AFB62A" w14:textId="77777777" w:rsidR="00675A12" w:rsidRPr="00675A12" w:rsidRDefault="00675A12" w:rsidP="00293124">
            <w:pPr>
              <w:pStyle w:val="ListParagraph"/>
              <w:ind w:left="0"/>
              <w:rPr>
                <w:rFonts w:ascii="Arial" w:hAnsi="Arial" w:cs="Arial"/>
                <w:color w:val="000000" w:themeColor="text1"/>
                <w:sz w:val="20"/>
                <w:szCs w:val="20"/>
              </w:rPr>
            </w:pPr>
          </w:p>
          <w:p w14:paraId="7DEC620A"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707A1257" w14:textId="77777777" w:rsidR="00675A12" w:rsidRPr="00675A12" w:rsidRDefault="00675A12" w:rsidP="00293124">
            <w:pPr>
              <w:pStyle w:val="ListParagraph"/>
              <w:ind w:left="0"/>
              <w:rPr>
                <w:rFonts w:ascii="Arial" w:hAnsi="Arial" w:cs="Arial"/>
                <w:color w:val="000000" w:themeColor="text1"/>
                <w:sz w:val="20"/>
                <w:szCs w:val="20"/>
              </w:rPr>
            </w:pPr>
          </w:p>
          <w:p w14:paraId="161E856D"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p w14:paraId="2BF156C7" w14:textId="77777777" w:rsidR="00675A12" w:rsidRPr="00675A12" w:rsidRDefault="00675A12" w:rsidP="00293124">
            <w:pPr>
              <w:pStyle w:val="ListParagraph"/>
              <w:ind w:left="0"/>
              <w:rPr>
                <w:rFonts w:ascii="Arial" w:hAnsi="Arial" w:cs="Arial"/>
                <w:color w:val="000000" w:themeColor="text1"/>
                <w:sz w:val="20"/>
                <w:szCs w:val="20"/>
              </w:rPr>
            </w:pPr>
          </w:p>
          <w:p w14:paraId="649AE243"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237CEE">
              <w:rPr>
                <w:sz w:val="20"/>
                <w:szCs w:val="20"/>
              </w:rPr>
            </w:r>
            <w:r w:rsidR="00237CEE">
              <w:rPr>
                <w:sz w:val="20"/>
                <w:szCs w:val="20"/>
              </w:rPr>
              <w:fldChar w:fldCharType="separate"/>
            </w:r>
            <w:r w:rsidRPr="00675A12">
              <w:rPr>
                <w:sz w:val="20"/>
                <w:szCs w:val="20"/>
              </w:rPr>
              <w:fldChar w:fldCharType="end"/>
            </w:r>
          </w:p>
        </w:tc>
        <w:tc>
          <w:tcPr>
            <w:tcW w:w="6480" w:type="dxa"/>
          </w:tcPr>
          <w:p w14:paraId="24E7199B"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This is not an applicable recommendation as it is something that is already achieved: this balance is part of nearly every decision we make.</w:t>
            </w:r>
          </w:p>
          <w:p w14:paraId="50CE0D0C"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It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a delicate balance and the make-up of this balance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changing and we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striving for a high quality program while attempting to not spread our resources too thin: this is just what we do.</w:t>
            </w:r>
          </w:p>
          <w:p w14:paraId="0BD778FA" w14:textId="77777777" w:rsidR="00675A12" w:rsidRPr="00675A12" w:rsidRDefault="00675A12" w:rsidP="00293124">
            <w:pPr>
              <w:rPr>
                <w:rFonts w:ascii="Arial" w:hAnsi="Arial" w:cs="Arial"/>
                <w:b/>
                <w:color w:val="000000" w:themeColor="text1"/>
                <w:sz w:val="20"/>
                <w:szCs w:val="20"/>
              </w:rPr>
            </w:pPr>
          </w:p>
          <w:p w14:paraId="6448CCB6" w14:textId="77777777" w:rsidR="00675A12" w:rsidRPr="00675A12" w:rsidRDefault="00675A12" w:rsidP="00293124">
            <w:pPr>
              <w:rPr>
                <w:rFonts w:ascii="Arial" w:hAnsi="Arial" w:cs="Arial"/>
                <w:b/>
                <w:color w:val="000000" w:themeColor="text1"/>
                <w:sz w:val="20"/>
                <w:szCs w:val="20"/>
              </w:rPr>
            </w:pPr>
          </w:p>
          <w:p w14:paraId="57E23D4E" w14:textId="77777777" w:rsidR="00675A12" w:rsidRPr="00675A12" w:rsidRDefault="00675A12" w:rsidP="00293124">
            <w:pPr>
              <w:rPr>
                <w:sz w:val="20"/>
                <w:szCs w:val="20"/>
              </w:rPr>
            </w:pPr>
          </w:p>
        </w:tc>
      </w:tr>
    </w:tbl>
    <w:p w14:paraId="2277F345" w14:textId="77777777" w:rsidR="00E24D49" w:rsidRDefault="00E24D49">
      <w:r>
        <w:br w:type="page"/>
      </w:r>
    </w:p>
    <w:p w14:paraId="6EBC7308"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4E95F95C" w14:textId="77777777" w:rsidR="003C59D8" w:rsidRPr="000278A4" w:rsidRDefault="003C59D8" w:rsidP="003C59D8">
      <w:pPr>
        <w:rPr>
          <w:rFonts w:ascii="Arial" w:hAnsi="Arial" w:cs="Arial"/>
          <w:sz w:val="20"/>
          <w:szCs w:val="20"/>
        </w:rPr>
      </w:pPr>
    </w:p>
    <w:p w14:paraId="6A8C1736"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1B6355D3" w14:textId="77777777" w:rsidR="003C59D8" w:rsidRPr="000278A4" w:rsidRDefault="003C59D8" w:rsidP="003C59D8">
      <w:pPr>
        <w:rPr>
          <w:rFonts w:ascii="Arial" w:hAnsi="Arial" w:cs="Arial"/>
          <w:sz w:val="20"/>
          <w:szCs w:val="20"/>
        </w:rPr>
      </w:pPr>
    </w:p>
    <w:p w14:paraId="4CE04602"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52EAAA12" w14:textId="77777777" w:rsidR="003C59D8" w:rsidRPr="000278A4" w:rsidRDefault="003C59D8" w:rsidP="003C59D8">
      <w:pPr>
        <w:rPr>
          <w:rFonts w:ascii="Arial" w:hAnsi="Arial" w:cs="Arial"/>
          <w:b/>
          <w:sz w:val="20"/>
          <w:szCs w:val="20"/>
        </w:rPr>
      </w:pPr>
    </w:p>
    <w:p w14:paraId="0F8B4B3C"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6DD1F657" w14:textId="77777777" w:rsidR="003C59D8" w:rsidRPr="000278A4" w:rsidRDefault="003C59D8" w:rsidP="003C59D8">
      <w:pPr>
        <w:pStyle w:val="ListParagraph"/>
        <w:ind w:left="1440"/>
        <w:rPr>
          <w:rFonts w:ascii="Arial" w:hAnsi="Arial" w:cs="Arial"/>
          <w:b/>
          <w:sz w:val="20"/>
          <w:szCs w:val="20"/>
        </w:rPr>
      </w:pPr>
    </w:p>
    <w:p w14:paraId="2AE454A1"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148F630E" w14:textId="77777777" w:rsidR="003C59D8" w:rsidRPr="000278A4" w:rsidRDefault="003C59D8" w:rsidP="003C59D8">
      <w:pPr>
        <w:rPr>
          <w:rFonts w:ascii="Arial" w:hAnsi="Arial" w:cs="Arial"/>
          <w:b/>
          <w:sz w:val="20"/>
          <w:szCs w:val="20"/>
        </w:rPr>
      </w:pPr>
    </w:p>
    <w:p w14:paraId="5BD7DD43"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035030A1" w14:textId="1633CB21" w:rsidR="003C59D8" w:rsidRPr="000278A4" w:rsidRDefault="00237CEE"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1E5772">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EndPr/>
        <w:sdtContent>
          <w:r w:rsidR="004A4794">
            <w:rPr>
              <w:rFonts w:ascii="Arial" w:hAnsi="Arial" w:cs="Arial"/>
              <w:b/>
              <w:sz w:val="20"/>
              <w:szCs w:val="20"/>
            </w:rPr>
            <w:t>THE 1105, THE 2201, THE2202, THE2206</w:t>
          </w:r>
        </w:sdtContent>
      </w:sdt>
    </w:p>
    <w:p w14:paraId="3666496F" w14:textId="77777777" w:rsidR="003C59D8" w:rsidRPr="000278A4" w:rsidRDefault="003C59D8" w:rsidP="003C59D8">
      <w:pPr>
        <w:rPr>
          <w:rFonts w:ascii="Arial" w:hAnsi="Arial" w:cs="Arial"/>
          <w:b/>
          <w:sz w:val="20"/>
          <w:szCs w:val="20"/>
        </w:rPr>
      </w:pPr>
    </w:p>
    <w:p w14:paraId="0D1C02F8" w14:textId="77777777" w:rsidR="003C59D8" w:rsidRPr="000278A4" w:rsidRDefault="003C59D8" w:rsidP="003C59D8">
      <w:pPr>
        <w:rPr>
          <w:rFonts w:ascii="Arial" w:hAnsi="Arial" w:cs="Arial"/>
          <w:b/>
          <w:sz w:val="20"/>
          <w:szCs w:val="20"/>
        </w:rPr>
      </w:pPr>
    </w:p>
    <w:p w14:paraId="06AA8DD5"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580FDE86" w14:textId="77777777" w:rsidR="003C59D8" w:rsidRPr="000278A4" w:rsidRDefault="00237CEE"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14:paraId="73D892B8" w14:textId="77777777" w:rsidR="003C59D8" w:rsidRPr="000278A4" w:rsidRDefault="003C59D8" w:rsidP="003C59D8">
      <w:pPr>
        <w:rPr>
          <w:rFonts w:ascii="Arial" w:hAnsi="Arial" w:cs="Arial"/>
          <w:b/>
          <w:sz w:val="20"/>
          <w:szCs w:val="20"/>
        </w:rPr>
      </w:pPr>
    </w:p>
    <w:p w14:paraId="56818717" w14:textId="77777777" w:rsidR="003C59D8" w:rsidRPr="000278A4" w:rsidRDefault="003C59D8" w:rsidP="003C59D8">
      <w:pPr>
        <w:rPr>
          <w:rFonts w:ascii="Arial" w:hAnsi="Arial" w:cs="Arial"/>
          <w:b/>
          <w:sz w:val="20"/>
          <w:szCs w:val="20"/>
        </w:rPr>
      </w:pPr>
    </w:p>
    <w:p w14:paraId="42286D13"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23ED4513" w14:textId="77777777" w:rsidR="003C59D8" w:rsidRPr="000278A4" w:rsidRDefault="00237CEE"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14:paraId="607FB534" w14:textId="77777777" w:rsidR="003C59D8" w:rsidRPr="000278A4" w:rsidRDefault="003C59D8" w:rsidP="003C59D8">
      <w:pPr>
        <w:rPr>
          <w:rFonts w:ascii="Arial" w:hAnsi="Arial" w:cs="Arial"/>
          <w:b/>
          <w:sz w:val="20"/>
          <w:szCs w:val="20"/>
        </w:rPr>
      </w:pPr>
    </w:p>
    <w:p w14:paraId="1E577AC9"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1D0E4444" w14:textId="77777777" w:rsidR="003C59D8" w:rsidRPr="000278A4" w:rsidRDefault="003C59D8" w:rsidP="003C59D8">
      <w:pPr>
        <w:rPr>
          <w:rFonts w:ascii="Arial" w:hAnsi="Arial" w:cs="Arial"/>
          <w:b/>
          <w:sz w:val="20"/>
          <w:szCs w:val="20"/>
        </w:rPr>
      </w:pPr>
    </w:p>
    <w:p w14:paraId="475DB6F9" w14:textId="77777777" w:rsidR="003C59D8" w:rsidRPr="000278A4" w:rsidRDefault="00237CEE" w:rsidP="003C59D8">
      <w:pPr>
        <w:rPr>
          <w:rFonts w:ascii="Arial" w:hAnsi="Arial" w:cs="Arial"/>
          <w:b/>
          <w:sz w:val="20"/>
          <w:szCs w:val="20"/>
        </w:rPr>
      </w:pPr>
      <w:sdt>
        <w:sdtPr>
          <w:rPr>
            <w:rFonts w:ascii="Arial" w:hAnsi="Arial" w:cs="Arial"/>
            <w:b/>
            <w:sz w:val="20"/>
            <w:szCs w:val="20"/>
          </w:rPr>
          <w:id w:val="-241185754"/>
          <w:showingPlcHdr/>
        </w:sdtPr>
        <w:sdtEndPr/>
        <w:sdtContent>
          <w:r w:rsidR="003C59D8" w:rsidRPr="000278A4">
            <w:rPr>
              <w:rStyle w:val="PlaceholderText"/>
              <w:rFonts w:eastAsiaTheme="minorHAnsi"/>
            </w:rPr>
            <w:t>Click here to enter text.</w:t>
          </w:r>
        </w:sdtContent>
      </w:sdt>
    </w:p>
    <w:p w14:paraId="7141593A" w14:textId="77777777" w:rsidR="003C59D8" w:rsidRPr="000278A4" w:rsidRDefault="003C59D8" w:rsidP="003C59D8">
      <w:pPr>
        <w:rPr>
          <w:rFonts w:ascii="Arial" w:hAnsi="Arial" w:cs="Arial"/>
          <w:b/>
          <w:sz w:val="20"/>
          <w:szCs w:val="20"/>
        </w:rPr>
      </w:pPr>
    </w:p>
    <w:p w14:paraId="7309000D"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3B53E7D6" w14:textId="77777777" w:rsidR="003C59D8" w:rsidRPr="000278A4" w:rsidRDefault="003C59D8" w:rsidP="003C59D8">
      <w:pPr>
        <w:rPr>
          <w:rFonts w:ascii="Arial" w:hAnsi="Arial" w:cs="Arial"/>
          <w:b/>
          <w:sz w:val="20"/>
          <w:szCs w:val="20"/>
        </w:rPr>
      </w:pPr>
    </w:p>
    <w:p w14:paraId="1CF1D2FD"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675A12" w:rsidRPr="004C52FC" w14:paraId="038D3CB0" w14:textId="77777777" w:rsidTr="00293124">
        <w:trPr>
          <w:trHeight w:val="274"/>
        </w:trPr>
        <w:tc>
          <w:tcPr>
            <w:tcW w:w="3708" w:type="dxa"/>
            <w:shd w:val="clear" w:color="auto" w:fill="FFFFFF"/>
            <w:vAlign w:val="center"/>
          </w:tcPr>
          <w:p w14:paraId="0437EA03" w14:textId="77777777" w:rsidR="00675A12" w:rsidRPr="004C52FC" w:rsidRDefault="00675A12" w:rsidP="00293124">
            <w:pPr>
              <w:jc w:val="center"/>
              <w:rPr>
                <w:rFonts w:asciiTheme="minorHAnsi" w:hAnsiTheme="minorHAnsi"/>
                <w:b/>
              </w:rPr>
            </w:pPr>
            <w:r w:rsidRPr="004C52FC">
              <w:rPr>
                <w:rFonts w:asciiTheme="minorHAnsi" w:hAnsiTheme="minorHAnsi"/>
                <w:b/>
              </w:rPr>
              <w:lastRenderedPageBreak/>
              <w:t>Program Outcomes</w:t>
            </w:r>
          </w:p>
        </w:tc>
        <w:tc>
          <w:tcPr>
            <w:tcW w:w="1742" w:type="dxa"/>
          </w:tcPr>
          <w:p w14:paraId="70192E1C"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110ACAC8"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66120FA1"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DEE7D6F"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214F0562" w14:textId="77777777" w:rsidR="00675A12" w:rsidRPr="004C52FC" w:rsidRDefault="00675A12" w:rsidP="00293124">
            <w:pPr>
              <w:jc w:val="center"/>
              <w:rPr>
                <w:rFonts w:asciiTheme="minorHAnsi" w:hAnsiTheme="minorHAnsi" w:cs="Arial"/>
                <w:color w:val="000000" w:themeColor="text1"/>
                <w:sz w:val="20"/>
              </w:rPr>
            </w:pPr>
          </w:p>
        </w:tc>
        <w:tc>
          <w:tcPr>
            <w:tcW w:w="4028" w:type="dxa"/>
          </w:tcPr>
          <w:p w14:paraId="6F8E5651"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29259D6"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D14AB" w:rsidRPr="004C52FC" w14:paraId="1ABF2373" w14:textId="77777777" w:rsidTr="00293124">
        <w:trPr>
          <w:trHeight w:val="274"/>
        </w:trPr>
        <w:tc>
          <w:tcPr>
            <w:tcW w:w="3708" w:type="dxa"/>
            <w:shd w:val="clear" w:color="auto" w:fill="FFFFFF"/>
          </w:tcPr>
          <w:p w14:paraId="5C5DEC8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1A47C08D"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4DB29BF7"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THE-1111 </w:t>
            </w:r>
          </w:p>
          <w:p w14:paraId="58163C27"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THE-1194 </w:t>
            </w:r>
          </w:p>
          <w:p w14:paraId="680E93CF"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THE-1199 </w:t>
            </w:r>
          </w:p>
          <w:p w14:paraId="12495EC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THE-1213 </w:t>
            </w:r>
          </w:p>
          <w:p w14:paraId="23C554A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THE-2114 </w:t>
            </w:r>
          </w:p>
          <w:p w14:paraId="644C6CA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THE-2201  </w:t>
            </w:r>
          </w:p>
          <w:p w14:paraId="62F0CCB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p w14:paraId="4AEA22A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p w14:paraId="133F636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THE-2216                        </w:t>
            </w:r>
          </w:p>
        </w:tc>
        <w:tc>
          <w:tcPr>
            <w:tcW w:w="1430" w:type="dxa"/>
            <w:shd w:val="clear" w:color="auto" w:fill="auto"/>
          </w:tcPr>
          <w:p w14:paraId="01D4B232"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432B170D" w14:textId="77777777" w:rsidR="00532AF6" w:rsidRDefault="00532AF6" w:rsidP="00532AF6">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57C4EAD9" w14:textId="77777777" w:rsidR="005D14AB" w:rsidRPr="004C52FC" w:rsidRDefault="005D14AB" w:rsidP="005D14AB">
            <w:pPr>
              <w:pStyle w:val="ListParagraph"/>
              <w:tabs>
                <w:tab w:val="left" w:pos="5040"/>
              </w:tabs>
              <w:ind w:left="0"/>
              <w:rPr>
                <w:rFonts w:asciiTheme="minorHAnsi" w:hAnsiTheme="minorHAnsi" w:cs="Arial"/>
                <w:color w:val="000000" w:themeColor="text1"/>
              </w:rPr>
            </w:pPr>
          </w:p>
        </w:tc>
        <w:tc>
          <w:tcPr>
            <w:tcW w:w="4028" w:type="dxa"/>
          </w:tcPr>
          <w:p w14:paraId="27008535" w14:textId="77777777" w:rsidR="005D14AB" w:rsidRDefault="005D14AB" w:rsidP="005D14A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t>See Attachment: “Section III Assessment of Gen Ed - Degree Prog Outcomes”</w:t>
            </w:r>
          </w:p>
          <w:p w14:paraId="38727A00" w14:textId="77777777" w:rsidR="005D14AB" w:rsidRPr="004C52FC" w:rsidRDefault="005D14AB" w:rsidP="005D14AB">
            <w:pPr>
              <w:pStyle w:val="ListParagraph"/>
              <w:tabs>
                <w:tab w:val="left" w:pos="5040"/>
              </w:tabs>
              <w:ind w:left="0"/>
              <w:rPr>
                <w:rFonts w:asciiTheme="minorHAnsi" w:hAnsiTheme="minorHAnsi" w:cs="Arial"/>
                <w:color w:val="000000" w:themeColor="text1"/>
              </w:rPr>
            </w:pPr>
          </w:p>
        </w:tc>
      </w:tr>
      <w:tr w:rsidR="005D14AB" w:rsidRPr="004C52FC" w14:paraId="1A42DB0C" w14:textId="77777777" w:rsidTr="00293124">
        <w:trPr>
          <w:trHeight w:val="72"/>
        </w:trPr>
        <w:tc>
          <w:tcPr>
            <w:tcW w:w="3708" w:type="dxa"/>
            <w:shd w:val="clear" w:color="auto" w:fill="FFFFFF"/>
          </w:tcPr>
          <w:p w14:paraId="31BFB74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Demonstrate competency in at least two different areas within the field of theatre (Acting; Directing; Costume Design; Set Design; Lighting Design; Stage Management; Technical Direction)</w:t>
            </w:r>
          </w:p>
        </w:tc>
        <w:tc>
          <w:tcPr>
            <w:tcW w:w="1742" w:type="dxa"/>
          </w:tcPr>
          <w:p w14:paraId="22E65FE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7AFAF81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w:t>
            </w:r>
          </w:p>
          <w:p w14:paraId="090C60E7"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p w14:paraId="3AEE299A"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THE-1194/6                          </w:t>
            </w:r>
          </w:p>
        </w:tc>
        <w:tc>
          <w:tcPr>
            <w:tcW w:w="1430" w:type="dxa"/>
            <w:shd w:val="clear" w:color="auto" w:fill="auto"/>
          </w:tcPr>
          <w:p w14:paraId="5DBECED0"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7C10E18B"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2EA9857D" w14:textId="77777777" w:rsidR="005D14AB" w:rsidRPr="004C52FC" w:rsidRDefault="005D14AB" w:rsidP="005D14AB">
            <w:pPr>
              <w:ind w:left="72"/>
              <w:rPr>
                <w:rFonts w:asciiTheme="minorHAnsi" w:hAnsiTheme="minorHAnsi" w:cs="Arial"/>
                <w:color w:val="000000" w:themeColor="text1"/>
              </w:rPr>
            </w:pPr>
          </w:p>
        </w:tc>
        <w:tc>
          <w:tcPr>
            <w:tcW w:w="4028" w:type="dxa"/>
          </w:tcPr>
          <w:p w14:paraId="3872C6C8"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2640AD3E" w14:textId="77777777" w:rsidR="005D14AB" w:rsidRPr="004C52FC" w:rsidRDefault="005D14AB" w:rsidP="005D14AB">
            <w:pPr>
              <w:ind w:left="72"/>
              <w:rPr>
                <w:rFonts w:asciiTheme="minorHAnsi" w:hAnsiTheme="minorHAnsi" w:cs="Arial"/>
                <w:color w:val="000000" w:themeColor="text1"/>
              </w:rPr>
            </w:pPr>
          </w:p>
        </w:tc>
      </w:tr>
      <w:tr w:rsidR="005D14AB" w:rsidRPr="004C52FC" w14:paraId="56BB1491" w14:textId="77777777" w:rsidTr="00293124">
        <w:trPr>
          <w:trHeight w:val="72"/>
        </w:trPr>
        <w:tc>
          <w:tcPr>
            <w:tcW w:w="3708" w:type="dxa"/>
            <w:shd w:val="clear" w:color="auto" w:fill="FFFFFF"/>
          </w:tcPr>
          <w:p w14:paraId="11DA25B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Demonstrate competency with basic audition and performance techniques.</w:t>
            </w:r>
          </w:p>
        </w:tc>
        <w:tc>
          <w:tcPr>
            <w:tcW w:w="1742" w:type="dxa"/>
          </w:tcPr>
          <w:p w14:paraId="78E4B1F7"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THE-1111 </w:t>
            </w:r>
          </w:p>
          <w:p w14:paraId="788C598C"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THE-1199 </w:t>
            </w:r>
          </w:p>
          <w:p w14:paraId="3B5443C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THE-1213 </w:t>
            </w:r>
          </w:p>
          <w:p w14:paraId="2AB8DCC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THE-2114</w:t>
            </w:r>
          </w:p>
          <w:p w14:paraId="10FA433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THE-2216                               </w:t>
            </w:r>
          </w:p>
        </w:tc>
        <w:tc>
          <w:tcPr>
            <w:tcW w:w="1430" w:type="dxa"/>
            <w:shd w:val="clear" w:color="auto" w:fill="auto"/>
          </w:tcPr>
          <w:p w14:paraId="6BF2548C"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4AA27373"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5533CE87" w14:textId="77777777" w:rsidR="005D14AB" w:rsidRPr="004C52FC" w:rsidRDefault="005D14AB" w:rsidP="005D14AB">
            <w:pPr>
              <w:ind w:left="72"/>
              <w:rPr>
                <w:rFonts w:asciiTheme="minorHAnsi" w:hAnsiTheme="minorHAnsi" w:cs="Arial"/>
                <w:color w:val="000000" w:themeColor="text1"/>
              </w:rPr>
            </w:pPr>
          </w:p>
        </w:tc>
        <w:tc>
          <w:tcPr>
            <w:tcW w:w="4028" w:type="dxa"/>
          </w:tcPr>
          <w:p w14:paraId="3F870362"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999A77C" w14:textId="77777777" w:rsidR="005D14AB" w:rsidRPr="004C52FC" w:rsidRDefault="005D14AB" w:rsidP="005D14AB">
            <w:pPr>
              <w:ind w:left="72"/>
              <w:rPr>
                <w:rFonts w:asciiTheme="minorHAnsi" w:hAnsiTheme="minorHAnsi" w:cs="Arial"/>
                <w:color w:val="000000" w:themeColor="text1"/>
              </w:rPr>
            </w:pPr>
          </w:p>
        </w:tc>
      </w:tr>
      <w:tr w:rsidR="005D14AB" w:rsidRPr="004C52FC" w14:paraId="428E9D1E" w14:textId="77777777" w:rsidTr="00293124">
        <w:tblPrEx>
          <w:shd w:val="clear" w:color="auto" w:fill="auto"/>
          <w:tblLook w:val="04A0" w:firstRow="1" w:lastRow="0" w:firstColumn="1" w:lastColumn="0" w:noHBand="0" w:noVBand="1"/>
        </w:tblPrEx>
        <w:trPr>
          <w:trHeight w:val="72"/>
        </w:trPr>
        <w:tc>
          <w:tcPr>
            <w:tcW w:w="3708" w:type="dxa"/>
          </w:tcPr>
          <w:p w14:paraId="6210D45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3AAE18D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43FCD6A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 </w:t>
            </w:r>
          </w:p>
          <w:p w14:paraId="55C30AD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THE-2114 </w:t>
            </w:r>
          </w:p>
          <w:p w14:paraId="368311CD"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THE-2201 </w:t>
            </w:r>
          </w:p>
          <w:p w14:paraId="5D4EB472"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p w14:paraId="2F6D647D"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tc>
        <w:tc>
          <w:tcPr>
            <w:tcW w:w="1430" w:type="dxa"/>
          </w:tcPr>
          <w:p w14:paraId="12B4D88B"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40BB76AD" w14:textId="3E2404B5"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“Program Outcomes History Periods” </w:t>
            </w:r>
          </w:p>
          <w:p w14:paraId="3EE40AC3" w14:textId="294E6D15" w:rsidR="005D14AB" w:rsidRDefault="005D14AB" w:rsidP="005D14AB">
            <w:pPr>
              <w:pStyle w:val="ListParagraph"/>
              <w:tabs>
                <w:tab w:val="left" w:pos="5040"/>
              </w:tabs>
              <w:ind w:left="0"/>
              <w:rPr>
                <w:rFonts w:ascii="Arial" w:hAnsi="Arial" w:cs="Arial"/>
                <w:color w:val="000000" w:themeColor="text1"/>
              </w:rPr>
            </w:pPr>
          </w:p>
          <w:p w14:paraId="4D7DB281" w14:textId="77777777" w:rsidR="005D14AB" w:rsidRPr="004C52FC" w:rsidRDefault="005D14AB" w:rsidP="005D14AB">
            <w:pPr>
              <w:ind w:left="72"/>
              <w:rPr>
                <w:rFonts w:asciiTheme="minorHAnsi" w:hAnsiTheme="minorHAnsi" w:cs="Arial"/>
                <w:color w:val="000000" w:themeColor="text1"/>
              </w:rPr>
            </w:pPr>
          </w:p>
        </w:tc>
        <w:tc>
          <w:tcPr>
            <w:tcW w:w="4028" w:type="dxa"/>
          </w:tcPr>
          <w:p w14:paraId="6A35ECA2" w14:textId="222A4E21" w:rsidR="005D14AB" w:rsidRPr="00293124" w:rsidRDefault="005D14AB" w:rsidP="005D14AB">
            <w:pPr>
              <w:pStyle w:val="ListParagraph"/>
              <w:tabs>
                <w:tab w:val="left" w:pos="5040"/>
              </w:tabs>
              <w:ind w:left="0"/>
              <w:rPr>
                <w:rFonts w:ascii="Arial" w:hAnsi="Arial" w:cs="Arial"/>
                <w:b/>
                <w:color w:val="000000" w:themeColor="text1"/>
                <w:sz w:val="20"/>
                <w:szCs w:val="20"/>
              </w:rPr>
            </w:pPr>
            <w:r w:rsidRPr="00293124">
              <w:rPr>
                <w:rFonts w:ascii="Arial" w:hAnsi="Arial" w:cs="Arial"/>
                <w:b/>
                <w:color w:val="000000" w:themeColor="text1"/>
                <w:sz w:val="20"/>
                <w:szCs w:val="20"/>
              </w:rPr>
              <w:t>Results have not yet been assessed</w:t>
            </w:r>
          </w:p>
          <w:p w14:paraId="31C3E0AA" w14:textId="77777777" w:rsidR="005D14AB" w:rsidRPr="004C52FC" w:rsidRDefault="005D14AB" w:rsidP="005D14AB">
            <w:pPr>
              <w:ind w:left="72"/>
              <w:rPr>
                <w:rFonts w:asciiTheme="minorHAnsi" w:hAnsiTheme="minorHAnsi" w:cs="Arial"/>
                <w:color w:val="000000" w:themeColor="text1"/>
              </w:rPr>
            </w:pPr>
          </w:p>
        </w:tc>
      </w:tr>
      <w:tr w:rsidR="005D14AB" w:rsidRPr="004C52FC" w14:paraId="3319EA14" w14:textId="77777777" w:rsidTr="00293124">
        <w:tblPrEx>
          <w:shd w:val="clear" w:color="auto" w:fill="auto"/>
          <w:tblLook w:val="04A0" w:firstRow="1" w:lastRow="0" w:firstColumn="1" w:lastColumn="0" w:noHBand="0" w:noVBand="1"/>
        </w:tblPrEx>
        <w:trPr>
          <w:trHeight w:val="72"/>
        </w:trPr>
        <w:tc>
          <w:tcPr>
            <w:tcW w:w="3708" w:type="dxa"/>
          </w:tcPr>
          <w:p w14:paraId="742E6D0C"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Evaluate the contribution of the director, actors, designers and </w:t>
            </w:r>
            <w:r>
              <w:rPr>
                <w:rFonts w:ascii="Calibri" w:hAnsi="Calibri" w:cs="Calibri"/>
                <w:color w:val="000000"/>
                <w:sz w:val="22"/>
                <w:szCs w:val="22"/>
              </w:rPr>
              <w:lastRenderedPageBreak/>
              <w:t>technical crew to a live theatrical production.</w:t>
            </w:r>
          </w:p>
        </w:tc>
        <w:tc>
          <w:tcPr>
            <w:tcW w:w="1742" w:type="dxa"/>
          </w:tcPr>
          <w:p w14:paraId="341A6DC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lastRenderedPageBreak/>
              <w:t xml:space="preserve">THE-1105  </w:t>
            </w:r>
          </w:p>
          <w:p w14:paraId="74F348D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w:t>
            </w:r>
            <w:r>
              <w:rPr>
                <w:rFonts w:ascii="Calibri" w:hAnsi="Calibri" w:cs="Calibri"/>
                <w:color w:val="000000"/>
                <w:sz w:val="22"/>
                <w:szCs w:val="22"/>
              </w:rPr>
              <w:lastRenderedPageBreak/>
              <w:t xml:space="preserve">THE-1111 </w:t>
            </w:r>
          </w:p>
          <w:p w14:paraId="343DFAC8"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THE-1194</w:t>
            </w:r>
          </w:p>
          <w:p w14:paraId="48CA979B"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THE-1199</w:t>
            </w:r>
          </w:p>
          <w:p w14:paraId="1F27040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THE-1213</w:t>
            </w:r>
          </w:p>
          <w:p w14:paraId="36D3526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THE-2114</w:t>
            </w:r>
          </w:p>
          <w:p w14:paraId="640CC73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THE-2201</w:t>
            </w:r>
          </w:p>
          <w:p w14:paraId="5942FFEA"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tc>
        <w:tc>
          <w:tcPr>
            <w:tcW w:w="1430" w:type="dxa"/>
          </w:tcPr>
          <w:p w14:paraId="7A608EAB"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lastRenderedPageBreak/>
              <w:t>2015-16</w:t>
            </w:r>
          </w:p>
        </w:tc>
        <w:tc>
          <w:tcPr>
            <w:tcW w:w="2250" w:type="dxa"/>
          </w:tcPr>
          <w:p w14:paraId="654E2E14"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034AAE21" w14:textId="77777777" w:rsidR="005D14AB" w:rsidRPr="004C52FC" w:rsidRDefault="005D14AB" w:rsidP="005D14AB">
            <w:pPr>
              <w:ind w:left="72"/>
              <w:rPr>
                <w:rFonts w:asciiTheme="minorHAnsi" w:hAnsiTheme="minorHAnsi" w:cs="Arial"/>
                <w:color w:val="000000" w:themeColor="text1"/>
              </w:rPr>
            </w:pPr>
          </w:p>
        </w:tc>
        <w:tc>
          <w:tcPr>
            <w:tcW w:w="4028" w:type="dxa"/>
          </w:tcPr>
          <w:p w14:paraId="6306DAF0"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190A16D0" w14:textId="77777777" w:rsidR="005D14AB" w:rsidRPr="004C52FC" w:rsidRDefault="005D14AB" w:rsidP="005D14AB">
            <w:pPr>
              <w:ind w:left="72"/>
              <w:rPr>
                <w:rFonts w:asciiTheme="minorHAnsi" w:hAnsiTheme="minorHAnsi" w:cs="Arial"/>
                <w:color w:val="000000" w:themeColor="text1"/>
              </w:rPr>
            </w:pPr>
          </w:p>
        </w:tc>
      </w:tr>
      <w:tr w:rsidR="005D14AB" w:rsidRPr="004C52FC" w14:paraId="029D6510" w14:textId="77777777" w:rsidTr="00293124">
        <w:tblPrEx>
          <w:shd w:val="clear" w:color="auto" w:fill="auto"/>
          <w:tblLook w:val="04A0" w:firstRow="1" w:lastRow="0" w:firstColumn="1" w:lastColumn="0" w:noHBand="0" w:noVBand="1"/>
        </w:tblPrEx>
        <w:trPr>
          <w:trHeight w:val="72"/>
        </w:trPr>
        <w:tc>
          <w:tcPr>
            <w:tcW w:w="3708" w:type="dxa"/>
          </w:tcPr>
          <w:p w14:paraId="0435C3C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lastRenderedPageBreak/>
              <w:t>Analyze a play's structure, character, themes and production values.</w:t>
            </w:r>
          </w:p>
        </w:tc>
        <w:tc>
          <w:tcPr>
            <w:tcW w:w="1742" w:type="dxa"/>
          </w:tcPr>
          <w:p w14:paraId="1DA574B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6F7AE01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THE-1111 </w:t>
            </w:r>
          </w:p>
          <w:p w14:paraId="57F32C1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THE-1116/17 THE-1118/19 THE-1194 </w:t>
            </w:r>
          </w:p>
          <w:p w14:paraId="26EE690F"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THE-2201  </w:t>
            </w:r>
          </w:p>
          <w:p w14:paraId="234138F8"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p w14:paraId="183357BD"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p w14:paraId="04B9B8B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THE-2240 THE2296/8</w:t>
            </w:r>
          </w:p>
        </w:tc>
        <w:tc>
          <w:tcPr>
            <w:tcW w:w="1430" w:type="dxa"/>
          </w:tcPr>
          <w:p w14:paraId="63F104A6"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304C33EA"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76706927" w14:textId="77777777" w:rsidR="005D14AB" w:rsidRPr="004C52FC" w:rsidRDefault="005D14AB" w:rsidP="005D14AB">
            <w:pPr>
              <w:ind w:left="72"/>
              <w:rPr>
                <w:rFonts w:asciiTheme="minorHAnsi" w:hAnsiTheme="minorHAnsi" w:cs="Arial"/>
                <w:color w:val="000000" w:themeColor="text1"/>
              </w:rPr>
            </w:pPr>
          </w:p>
        </w:tc>
        <w:tc>
          <w:tcPr>
            <w:tcW w:w="4028" w:type="dxa"/>
          </w:tcPr>
          <w:p w14:paraId="517EF281" w14:textId="77777777" w:rsidR="005D14AB" w:rsidRDefault="005D14AB" w:rsidP="005D14A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t>See Attachment: “Section III Assessment of Gen Ed - Degree Prog Outcomes”</w:t>
            </w:r>
          </w:p>
          <w:p w14:paraId="0E2A2A17" w14:textId="77777777" w:rsidR="005D14AB" w:rsidRPr="004C52FC" w:rsidRDefault="005D14AB" w:rsidP="005D14AB">
            <w:pPr>
              <w:ind w:left="72"/>
              <w:rPr>
                <w:rFonts w:asciiTheme="minorHAnsi" w:hAnsiTheme="minorHAnsi" w:cs="Arial"/>
                <w:color w:val="000000" w:themeColor="text1"/>
              </w:rPr>
            </w:pPr>
          </w:p>
        </w:tc>
      </w:tr>
      <w:tr w:rsidR="005D14AB" w:rsidRPr="004C52FC" w14:paraId="155693B9" w14:textId="77777777" w:rsidTr="00293124">
        <w:tblPrEx>
          <w:shd w:val="clear" w:color="auto" w:fill="auto"/>
          <w:tblLook w:val="04A0" w:firstRow="1" w:lastRow="0" w:firstColumn="1" w:lastColumn="0" w:noHBand="0" w:noVBand="1"/>
        </w:tblPrEx>
        <w:trPr>
          <w:trHeight w:val="72"/>
        </w:trPr>
        <w:tc>
          <w:tcPr>
            <w:tcW w:w="3708" w:type="dxa"/>
          </w:tcPr>
          <w:p w14:paraId="6B3ACCD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Demonstrate competency in at least two different areas within the field of theatre (Acting; Directing; Costume Design; Set Design; Lighting Design; Stage Management; Technical Direction)</w:t>
            </w:r>
          </w:p>
        </w:tc>
        <w:tc>
          <w:tcPr>
            <w:tcW w:w="1742" w:type="dxa"/>
          </w:tcPr>
          <w:p w14:paraId="49D10629"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72E62A5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THE-1111 </w:t>
            </w:r>
          </w:p>
          <w:p w14:paraId="02F2FE1C"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p w14:paraId="3F0B3C22"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THE-1194/6                          </w:t>
            </w:r>
          </w:p>
        </w:tc>
        <w:tc>
          <w:tcPr>
            <w:tcW w:w="1430" w:type="dxa"/>
          </w:tcPr>
          <w:p w14:paraId="2D0EB487"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28307729"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66582ABF" w14:textId="77777777" w:rsidR="005D14AB" w:rsidRPr="004C52FC" w:rsidRDefault="005D14AB" w:rsidP="005D14AB">
            <w:pPr>
              <w:ind w:left="72"/>
              <w:rPr>
                <w:rFonts w:asciiTheme="minorHAnsi" w:hAnsiTheme="minorHAnsi" w:cs="Arial"/>
                <w:color w:val="000000" w:themeColor="text1"/>
              </w:rPr>
            </w:pPr>
          </w:p>
        </w:tc>
        <w:tc>
          <w:tcPr>
            <w:tcW w:w="4028" w:type="dxa"/>
          </w:tcPr>
          <w:p w14:paraId="5F6CCCD5"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6BFAF359" w14:textId="77777777" w:rsidR="005D14AB" w:rsidRPr="004C52FC" w:rsidRDefault="005D14AB" w:rsidP="005D14AB">
            <w:pPr>
              <w:ind w:left="72"/>
              <w:rPr>
                <w:rFonts w:asciiTheme="minorHAnsi" w:hAnsiTheme="minorHAnsi" w:cs="Arial"/>
                <w:color w:val="000000" w:themeColor="text1"/>
              </w:rPr>
            </w:pPr>
          </w:p>
        </w:tc>
      </w:tr>
      <w:tr w:rsidR="005D14AB" w:rsidRPr="004C52FC" w14:paraId="0C581C79" w14:textId="77777777" w:rsidTr="00293124">
        <w:tblPrEx>
          <w:shd w:val="clear" w:color="auto" w:fill="auto"/>
          <w:tblLook w:val="04A0" w:firstRow="1" w:lastRow="0" w:firstColumn="1" w:lastColumn="0" w:noHBand="0" w:noVBand="1"/>
        </w:tblPrEx>
        <w:trPr>
          <w:trHeight w:val="72"/>
        </w:trPr>
        <w:tc>
          <w:tcPr>
            <w:tcW w:w="3708" w:type="dxa"/>
          </w:tcPr>
          <w:p w14:paraId="356DD362"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Demonstrate competency with the basic skills needed in theatre technology as a technician or crew member.</w:t>
            </w:r>
          </w:p>
        </w:tc>
        <w:tc>
          <w:tcPr>
            <w:tcW w:w="1742" w:type="dxa"/>
          </w:tcPr>
          <w:p w14:paraId="515332C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w:t>
            </w:r>
          </w:p>
          <w:p w14:paraId="7FCF4CB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THE-1116/17</w:t>
            </w:r>
          </w:p>
          <w:p w14:paraId="4EBED535"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THE-1118/19</w:t>
            </w:r>
          </w:p>
          <w:p w14:paraId="0A062C19"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THE-1196  </w:t>
            </w:r>
          </w:p>
          <w:p w14:paraId="29D6666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THE-2220 </w:t>
            </w:r>
          </w:p>
          <w:p w14:paraId="2122E3B8"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THE-2240</w:t>
            </w:r>
          </w:p>
          <w:p w14:paraId="5286D811"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THE-2296                                </w:t>
            </w:r>
          </w:p>
        </w:tc>
        <w:tc>
          <w:tcPr>
            <w:tcW w:w="1430" w:type="dxa"/>
          </w:tcPr>
          <w:p w14:paraId="1A1BF64B"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3DC46739"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2B8D697" w14:textId="77777777" w:rsidR="005D14AB" w:rsidRPr="004C52FC" w:rsidRDefault="005D14AB" w:rsidP="005D14AB">
            <w:pPr>
              <w:ind w:left="72"/>
              <w:rPr>
                <w:rFonts w:asciiTheme="minorHAnsi" w:hAnsiTheme="minorHAnsi" w:cs="Arial"/>
                <w:color w:val="000000" w:themeColor="text1"/>
              </w:rPr>
            </w:pPr>
          </w:p>
        </w:tc>
        <w:tc>
          <w:tcPr>
            <w:tcW w:w="4028" w:type="dxa"/>
          </w:tcPr>
          <w:p w14:paraId="780D335F"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D78BF85" w14:textId="77777777" w:rsidR="005D14AB" w:rsidRPr="004C52FC" w:rsidRDefault="005D14AB" w:rsidP="005D14AB">
            <w:pPr>
              <w:ind w:left="72"/>
              <w:rPr>
                <w:rFonts w:asciiTheme="minorHAnsi" w:hAnsiTheme="minorHAnsi" w:cs="Arial"/>
                <w:color w:val="000000" w:themeColor="text1"/>
              </w:rPr>
            </w:pPr>
          </w:p>
        </w:tc>
      </w:tr>
      <w:tr w:rsidR="005D14AB" w:rsidRPr="004C52FC" w14:paraId="1FCC51A5" w14:textId="77777777" w:rsidTr="00293124">
        <w:tblPrEx>
          <w:shd w:val="clear" w:color="auto" w:fill="auto"/>
          <w:tblLook w:val="04A0" w:firstRow="1" w:lastRow="0" w:firstColumn="1" w:lastColumn="0" w:noHBand="0" w:noVBand="1"/>
        </w:tblPrEx>
        <w:trPr>
          <w:trHeight w:val="72"/>
        </w:trPr>
        <w:tc>
          <w:tcPr>
            <w:tcW w:w="3708" w:type="dxa"/>
          </w:tcPr>
          <w:p w14:paraId="2B49088D"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2BD9E4B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6127EBA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 </w:t>
            </w:r>
          </w:p>
          <w:p w14:paraId="5387BE08"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THE-1116 </w:t>
            </w:r>
            <w:r>
              <w:rPr>
                <w:rFonts w:ascii="Calibri" w:hAnsi="Calibri" w:cs="Calibri"/>
                <w:color w:val="000000"/>
                <w:sz w:val="22"/>
                <w:szCs w:val="22"/>
              </w:rPr>
              <w:lastRenderedPageBreak/>
              <w:t xml:space="preserve">THE1118 </w:t>
            </w:r>
          </w:p>
          <w:p w14:paraId="19920F60"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THE-2201 </w:t>
            </w:r>
          </w:p>
          <w:p w14:paraId="1364A0E2"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p w14:paraId="167CAAC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THE-2206                          </w:t>
            </w:r>
          </w:p>
        </w:tc>
        <w:tc>
          <w:tcPr>
            <w:tcW w:w="1430" w:type="dxa"/>
          </w:tcPr>
          <w:p w14:paraId="47AFB835"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lastRenderedPageBreak/>
              <w:t>2014-15</w:t>
            </w:r>
          </w:p>
        </w:tc>
        <w:tc>
          <w:tcPr>
            <w:tcW w:w="2250" w:type="dxa"/>
          </w:tcPr>
          <w:p w14:paraId="219C6F86"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“Program Outcomes History Periods” </w:t>
            </w:r>
          </w:p>
          <w:p w14:paraId="3B3A9A07" w14:textId="428FCC46" w:rsidR="005D14AB" w:rsidRDefault="005D14AB" w:rsidP="005D14AB">
            <w:pPr>
              <w:pStyle w:val="ListParagraph"/>
              <w:tabs>
                <w:tab w:val="left" w:pos="5040"/>
              </w:tabs>
              <w:ind w:left="0"/>
              <w:rPr>
                <w:rFonts w:ascii="Arial" w:hAnsi="Arial" w:cs="Arial"/>
                <w:color w:val="000000" w:themeColor="text1"/>
              </w:rPr>
            </w:pPr>
          </w:p>
          <w:p w14:paraId="5233D10A" w14:textId="77777777" w:rsidR="005D14AB" w:rsidRPr="004C52FC" w:rsidRDefault="005D14AB" w:rsidP="005D14AB">
            <w:pPr>
              <w:ind w:left="72"/>
              <w:rPr>
                <w:rFonts w:asciiTheme="minorHAnsi" w:hAnsiTheme="minorHAnsi" w:cs="Arial"/>
                <w:color w:val="000000" w:themeColor="text1"/>
              </w:rPr>
            </w:pPr>
          </w:p>
        </w:tc>
        <w:tc>
          <w:tcPr>
            <w:tcW w:w="4028" w:type="dxa"/>
          </w:tcPr>
          <w:p w14:paraId="5140B9CF" w14:textId="77777777" w:rsidR="005D14AB" w:rsidRPr="00293124" w:rsidRDefault="005D14AB" w:rsidP="005D14AB">
            <w:pPr>
              <w:pStyle w:val="ListParagraph"/>
              <w:tabs>
                <w:tab w:val="left" w:pos="5040"/>
              </w:tabs>
              <w:ind w:left="0"/>
              <w:rPr>
                <w:rFonts w:ascii="Arial" w:hAnsi="Arial" w:cs="Arial"/>
                <w:b/>
                <w:color w:val="000000" w:themeColor="text1"/>
                <w:sz w:val="20"/>
                <w:szCs w:val="20"/>
              </w:rPr>
            </w:pPr>
            <w:r w:rsidRPr="00293124">
              <w:rPr>
                <w:rFonts w:ascii="Arial" w:hAnsi="Arial" w:cs="Arial"/>
                <w:b/>
                <w:color w:val="000000" w:themeColor="text1"/>
                <w:sz w:val="20"/>
                <w:szCs w:val="20"/>
              </w:rPr>
              <w:lastRenderedPageBreak/>
              <w:t>Results have not yet been assessed</w:t>
            </w:r>
          </w:p>
          <w:p w14:paraId="28E745F3" w14:textId="0A7F5085" w:rsidR="005D14AB" w:rsidRDefault="005D14AB" w:rsidP="005D14AB">
            <w:pPr>
              <w:pStyle w:val="ListParagraph"/>
              <w:tabs>
                <w:tab w:val="left" w:pos="5040"/>
              </w:tabs>
              <w:ind w:left="0"/>
              <w:rPr>
                <w:rFonts w:ascii="Arial" w:hAnsi="Arial" w:cs="Arial"/>
                <w:color w:val="000000" w:themeColor="text1"/>
              </w:rPr>
            </w:pPr>
          </w:p>
          <w:p w14:paraId="4B734289" w14:textId="77777777" w:rsidR="005D14AB" w:rsidRPr="004C52FC" w:rsidRDefault="005D14AB" w:rsidP="005D14AB">
            <w:pPr>
              <w:ind w:left="72"/>
              <w:rPr>
                <w:rFonts w:asciiTheme="minorHAnsi" w:hAnsiTheme="minorHAnsi" w:cs="Arial"/>
                <w:color w:val="000000" w:themeColor="text1"/>
              </w:rPr>
            </w:pPr>
          </w:p>
        </w:tc>
      </w:tr>
      <w:tr w:rsidR="005D14AB" w:rsidRPr="004C52FC" w14:paraId="681BC155" w14:textId="77777777" w:rsidTr="00293124">
        <w:tblPrEx>
          <w:shd w:val="clear" w:color="auto" w:fill="auto"/>
          <w:tblLook w:val="04A0" w:firstRow="1" w:lastRow="0" w:firstColumn="1" w:lastColumn="0" w:noHBand="0" w:noVBand="1"/>
        </w:tblPrEx>
        <w:trPr>
          <w:trHeight w:val="72"/>
        </w:trPr>
        <w:tc>
          <w:tcPr>
            <w:tcW w:w="3708" w:type="dxa"/>
          </w:tcPr>
          <w:p w14:paraId="7C64F28A"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lastRenderedPageBreak/>
              <w:t>Evaluate the contribution of the director, actors, designers and technical crew to a live theatrical production.</w:t>
            </w:r>
          </w:p>
        </w:tc>
        <w:tc>
          <w:tcPr>
            <w:tcW w:w="1742" w:type="dxa"/>
          </w:tcPr>
          <w:p w14:paraId="47B9A2E6"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THE-1105  </w:t>
            </w:r>
          </w:p>
          <w:p w14:paraId="37AB3AA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THE-1106/07  THE-1111 </w:t>
            </w:r>
          </w:p>
          <w:p w14:paraId="3EF6F8FB"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THE-1194</w:t>
            </w:r>
          </w:p>
          <w:p w14:paraId="23BA91DF"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THE-1116/17</w:t>
            </w:r>
          </w:p>
          <w:p w14:paraId="477AE5F0"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THE-1118/19</w:t>
            </w:r>
          </w:p>
          <w:p w14:paraId="50D3FE6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THE-2220</w:t>
            </w:r>
          </w:p>
          <w:p w14:paraId="6FD49E6B"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THE-2201</w:t>
            </w:r>
          </w:p>
          <w:p w14:paraId="4ACE749E"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THE-2202 </w:t>
            </w:r>
          </w:p>
          <w:p w14:paraId="6D5CB414"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THE-2240</w:t>
            </w:r>
          </w:p>
          <w:p w14:paraId="18754593" w14:textId="77777777" w:rsidR="005D14AB" w:rsidRDefault="005D14AB" w:rsidP="005D14AB">
            <w:pPr>
              <w:rPr>
                <w:rFonts w:ascii="Calibri" w:hAnsi="Calibri" w:cs="Calibri"/>
                <w:color w:val="000000"/>
                <w:sz w:val="22"/>
                <w:szCs w:val="22"/>
              </w:rPr>
            </w:pPr>
            <w:r>
              <w:rPr>
                <w:rFonts w:ascii="Calibri" w:hAnsi="Calibri" w:cs="Calibri"/>
                <w:color w:val="000000"/>
                <w:sz w:val="22"/>
                <w:szCs w:val="22"/>
              </w:rPr>
              <w:t xml:space="preserve">THE-2296 </w:t>
            </w:r>
          </w:p>
        </w:tc>
        <w:tc>
          <w:tcPr>
            <w:tcW w:w="1430" w:type="dxa"/>
          </w:tcPr>
          <w:p w14:paraId="65FAD7DD" w14:textId="77777777" w:rsidR="005D14AB" w:rsidRPr="004C52FC" w:rsidRDefault="005D14AB" w:rsidP="005D14A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633833B7"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E24EC09" w14:textId="77777777" w:rsidR="005D14AB" w:rsidRPr="004C52FC" w:rsidRDefault="005D14AB" w:rsidP="005D14AB">
            <w:pPr>
              <w:ind w:left="72"/>
              <w:rPr>
                <w:rFonts w:asciiTheme="minorHAnsi" w:hAnsiTheme="minorHAnsi" w:cs="Arial"/>
                <w:color w:val="000000" w:themeColor="text1"/>
              </w:rPr>
            </w:pPr>
          </w:p>
        </w:tc>
        <w:tc>
          <w:tcPr>
            <w:tcW w:w="4028" w:type="dxa"/>
          </w:tcPr>
          <w:p w14:paraId="69801F6F" w14:textId="77777777" w:rsidR="005D14AB" w:rsidRDefault="005D14AB"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342E36D" w14:textId="77777777" w:rsidR="005D14AB" w:rsidRPr="004C52FC" w:rsidRDefault="005D14AB" w:rsidP="005D14AB">
            <w:pPr>
              <w:ind w:left="72"/>
              <w:rPr>
                <w:rFonts w:asciiTheme="minorHAnsi" w:hAnsiTheme="minorHAnsi" w:cs="Arial"/>
                <w:color w:val="000000" w:themeColor="text1"/>
              </w:rPr>
            </w:pPr>
          </w:p>
        </w:tc>
      </w:tr>
    </w:tbl>
    <w:p w14:paraId="0BD4DA16" w14:textId="77777777" w:rsidR="005F4B50" w:rsidRDefault="005F4B50" w:rsidP="00D708C3">
      <w:pPr>
        <w:rPr>
          <w:rFonts w:ascii="Arial" w:hAnsi="Arial" w:cs="Arial"/>
          <w:b/>
          <w:color w:val="000000" w:themeColor="text1"/>
          <w:u w:val="single"/>
        </w:rPr>
      </w:pPr>
    </w:p>
    <w:p w14:paraId="7FBF294C" w14:textId="77777777" w:rsidR="00B50E5D" w:rsidRDefault="00B50E5D" w:rsidP="00D708C3">
      <w:pPr>
        <w:rPr>
          <w:rFonts w:ascii="Arial" w:hAnsi="Arial" w:cs="Arial"/>
          <w:b/>
          <w:color w:val="000000" w:themeColor="text1"/>
          <w:u w:val="single"/>
        </w:rPr>
      </w:pPr>
    </w:p>
    <w:p w14:paraId="63A0485C" w14:textId="77777777" w:rsidR="003C59D8" w:rsidRDefault="003C59D8" w:rsidP="001D736E">
      <w:pPr>
        <w:pStyle w:val="ListParagraph"/>
        <w:tabs>
          <w:tab w:val="left" w:pos="5040"/>
        </w:tabs>
        <w:ind w:left="360"/>
        <w:rPr>
          <w:rFonts w:ascii="Arial" w:hAnsi="Arial" w:cs="Arial"/>
          <w:color w:val="000000" w:themeColor="text1"/>
        </w:rPr>
      </w:pPr>
    </w:p>
    <w:p w14:paraId="1704E61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6FD3637F"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FBACB7"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1F1DB057"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102B480" w14:textId="05FB165B" w:rsidR="00D27F86" w:rsidRPr="00B02892" w:rsidRDefault="00293124" w:rsidP="00B02892">
            <w:pPr>
              <w:pStyle w:val="ListParagraph"/>
              <w:tabs>
                <w:tab w:val="left" w:pos="5040"/>
              </w:tabs>
              <w:ind w:left="0"/>
              <w:rPr>
                <w:color w:val="000000" w:themeColor="text1"/>
              </w:rPr>
            </w:pPr>
            <w:r>
              <w:rPr>
                <w:color w:val="000000" w:themeColor="text1"/>
              </w:rPr>
              <w:t>The department is creating a process for better tracking the specific evaluation of specific assignments that have been identified as a tool for assessing each program outcome</w:t>
            </w:r>
            <w:r w:rsidR="00B17678">
              <w:rPr>
                <w:color w:val="000000" w:themeColor="text1"/>
              </w:rPr>
              <w:t>.</w:t>
            </w:r>
          </w:p>
        </w:tc>
      </w:tr>
      <w:tr w:rsidR="00D27F86" w14:paraId="4CC37D55"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B9CE68A"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D450915"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C7A5960" w14:textId="77777777" w:rsidR="00D27F86" w:rsidRPr="00E11916" w:rsidRDefault="00D27F86">
            <w:pPr>
              <w:pStyle w:val="ListParagraph"/>
              <w:tabs>
                <w:tab w:val="left" w:pos="5040"/>
              </w:tabs>
              <w:ind w:left="0"/>
              <w:rPr>
                <w:color w:val="000000" w:themeColor="text1"/>
              </w:rPr>
            </w:pPr>
          </w:p>
        </w:tc>
      </w:tr>
    </w:tbl>
    <w:p w14:paraId="0C954241" w14:textId="77777777" w:rsidR="00B17678" w:rsidRDefault="00B17678" w:rsidP="00FA24D1">
      <w:pPr>
        <w:pStyle w:val="ListParagraph"/>
        <w:tabs>
          <w:tab w:val="left" w:pos="5040"/>
        </w:tabs>
        <w:rPr>
          <w:rFonts w:ascii="Arial" w:hAnsi="Arial" w:cs="Arial"/>
          <w:b/>
          <w:color w:val="000000" w:themeColor="text1"/>
        </w:rPr>
      </w:pPr>
    </w:p>
    <w:p w14:paraId="726C0996" w14:textId="016CF90F" w:rsidR="00617FB0" w:rsidRPr="00617FB0" w:rsidRDefault="00CC48A5" w:rsidP="00617FB0">
      <w:pPr>
        <w:pStyle w:val="ListParagraph"/>
        <w:tabs>
          <w:tab w:val="left" w:pos="5040"/>
        </w:tabs>
        <w:rPr>
          <w:rFonts w:ascii="Arial" w:hAnsi="Arial" w:cs="Arial"/>
          <w:b/>
          <w:color w:val="000000" w:themeColor="text1"/>
        </w:rPr>
      </w:pPr>
      <w:r>
        <w:rPr>
          <w:rFonts w:ascii="Arial" w:hAnsi="Arial" w:cs="Arial"/>
          <w:b/>
          <w:color w:val="000000" w:themeColor="text1"/>
        </w:rPr>
        <w:t>The</w:t>
      </w:r>
      <w:r w:rsidR="007D21D5">
        <w:rPr>
          <w:rFonts w:ascii="Arial" w:hAnsi="Arial" w:cs="Arial"/>
          <w:b/>
          <w:color w:val="000000" w:themeColor="text1"/>
        </w:rPr>
        <w:t xml:space="preserve"> completion charts included with the Annual Update need clarification. Below is the adjusted chart that shows Theatre degrees being awarded for an academic year, as defined by Fall14, Spring15 and Summer15. The chart included with the Annual Update information did not include the students who completed their degree in Summer 2015 as part of the 2014-15</w:t>
      </w:r>
      <w:r w:rsidR="000B0F13">
        <w:rPr>
          <w:rFonts w:ascii="Arial" w:hAnsi="Arial" w:cs="Arial"/>
          <w:b/>
          <w:color w:val="000000" w:themeColor="text1"/>
        </w:rPr>
        <w:t xml:space="preserve"> academic year</w:t>
      </w:r>
      <w:r w:rsidR="007D21D5">
        <w:rPr>
          <w:rFonts w:ascii="Arial" w:hAnsi="Arial" w:cs="Arial"/>
          <w:b/>
          <w:color w:val="000000" w:themeColor="text1"/>
        </w:rPr>
        <w:t xml:space="preserve">. The department tracks completion for an academic year to </w:t>
      </w:r>
      <w:r w:rsidR="007D21D5">
        <w:rPr>
          <w:rFonts w:ascii="Arial" w:hAnsi="Arial" w:cs="Arial"/>
          <w:b/>
          <w:color w:val="000000" w:themeColor="text1"/>
        </w:rPr>
        <w:lastRenderedPageBreak/>
        <w:t xml:space="preserve">include the summer following that academic year. It has been confirmed with Jared Cutler that we have come </w:t>
      </w:r>
      <w:r>
        <w:rPr>
          <w:rFonts w:ascii="Arial" w:hAnsi="Arial" w:cs="Arial"/>
          <w:b/>
          <w:color w:val="000000" w:themeColor="text1"/>
        </w:rPr>
        <w:t xml:space="preserve">up </w:t>
      </w:r>
      <w:r w:rsidR="007D21D5">
        <w:rPr>
          <w:rFonts w:ascii="Arial" w:hAnsi="Arial" w:cs="Arial"/>
          <w:b/>
          <w:color w:val="000000" w:themeColor="text1"/>
        </w:rPr>
        <w:t>with the same number of degrees awarded, so this is not a change in total number of degrees, just differences in which academic year the degree is counted.</w:t>
      </w:r>
    </w:p>
    <w:p w14:paraId="2F5268F3" w14:textId="77777777" w:rsidR="00617FB0" w:rsidRDefault="00617FB0" w:rsidP="00617FB0"/>
    <w:p w14:paraId="0790FF75" w14:textId="77777777" w:rsidR="00617FB0" w:rsidRDefault="00617FB0" w:rsidP="00617FB0">
      <w:r>
        <w:rPr>
          <w:noProof/>
        </w:rPr>
        <w:drawing>
          <wp:inline distT="0" distB="0" distL="0" distR="0" wp14:anchorId="60A4E26D" wp14:editId="308F4EE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3566AC" w14:textId="77777777" w:rsidR="00617FB0" w:rsidRDefault="00617FB0" w:rsidP="00FA24D1">
      <w:pPr>
        <w:pStyle w:val="ListParagraph"/>
        <w:tabs>
          <w:tab w:val="left" w:pos="5040"/>
        </w:tabs>
        <w:rPr>
          <w:rFonts w:ascii="Arial" w:hAnsi="Arial" w:cs="Arial"/>
          <w:b/>
          <w:color w:val="000000" w:themeColor="text1"/>
        </w:rPr>
      </w:pPr>
    </w:p>
    <w:p w14:paraId="5D1B30B3" w14:textId="0CC2D933" w:rsidR="00617FB0" w:rsidRPr="00617FB0" w:rsidRDefault="00617FB0" w:rsidP="00617FB0">
      <w:pPr>
        <w:tabs>
          <w:tab w:val="left" w:pos="5040"/>
        </w:tabs>
        <w:rPr>
          <w:rFonts w:ascii="Arial" w:hAnsi="Arial" w:cs="Arial"/>
          <w:b/>
          <w:color w:val="000000" w:themeColor="text1"/>
        </w:rPr>
      </w:pPr>
    </w:p>
    <w:sectPr w:rsidR="00617FB0" w:rsidRPr="00617FB0" w:rsidSect="002672D3">
      <w:footerReference w:type="default" r:id="rId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B3DC3" w14:textId="77777777" w:rsidR="00237CEE" w:rsidRDefault="00237CEE" w:rsidP="0094204C">
      <w:r>
        <w:separator/>
      </w:r>
    </w:p>
  </w:endnote>
  <w:endnote w:type="continuationSeparator" w:id="0">
    <w:p w14:paraId="73DDB56F" w14:textId="77777777" w:rsidR="00237CEE" w:rsidRDefault="00237CE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4526A1A5" w14:textId="77777777" w:rsidR="00293124" w:rsidRDefault="00293124">
        <w:pPr>
          <w:pStyle w:val="Footer"/>
          <w:jc w:val="right"/>
        </w:pPr>
        <w:r>
          <w:fldChar w:fldCharType="begin"/>
        </w:r>
        <w:r>
          <w:instrText xml:space="preserve"> PAGE   \* MERGEFORMAT </w:instrText>
        </w:r>
        <w:r>
          <w:fldChar w:fldCharType="separate"/>
        </w:r>
        <w:r w:rsidR="00236688">
          <w:rPr>
            <w:noProof/>
          </w:rPr>
          <w:t>3</w:t>
        </w:r>
        <w:r>
          <w:rPr>
            <w:noProof/>
          </w:rPr>
          <w:fldChar w:fldCharType="end"/>
        </w:r>
      </w:p>
    </w:sdtContent>
  </w:sdt>
  <w:p w14:paraId="761400E5" w14:textId="77777777" w:rsidR="00293124" w:rsidRDefault="00293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D0C53" w14:textId="77777777" w:rsidR="00237CEE" w:rsidRDefault="00237CEE" w:rsidP="0094204C">
      <w:r>
        <w:separator/>
      </w:r>
    </w:p>
  </w:footnote>
  <w:footnote w:type="continuationSeparator" w:id="0">
    <w:p w14:paraId="6845EEE1" w14:textId="77777777" w:rsidR="00237CEE" w:rsidRDefault="00237CEE"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0F13"/>
    <w:rsid w:val="000B261C"/>
    <w:rsid w:val="000C2FC1"/>
    <w:rsid w:val="000C66EB"/>
    <w:rsid w:val="000D1111"/>
    <w:rsid w:val="000D3A39"/>
    <w:rsid w:val="000D45E3"/>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55FF"/>
    <w:rsid w:val="001B6007"/>
    <w:rsid w:val="001C202C"/>
    <w:rsid w:val="001C42D0"/>
    <w:rsid w:val="001C5DC3"/>
    <w:rsid w:val="001C62EC"/>
    <w:rsid w:val="001D3E1D"/>
    <w:rsid w:val="001D5757"/>
    <w:rsid w:val="001D7080"/>
    <w:rsid w:val="001D736E"/>
    <w:rsid w:val="001E0764"/>
    <w:rsid w:val="001E5772"/>
    <w:rsid w:val="001E7137"/>
    <w:rsid w:val="001F4B9E"/>
    <w:rsid w:val="002026E9"/>
    <w:rsid w:val="00202DE8"/>
    <w:rsid w:val="0021031C"/>
    <w:rsid w:val="002105E7"/>
    <w:rsid w:val="00210FF3"/>
    <w:rsid w:val="00220765"/>
    <w:rsid w:val="00220B12"/>
    <w:rsid w:val="002245AB"/>
    <w:rsid w:val="00225B53"/>
    <w:rsid w:val="0022692B"/>
    <w:rsid w:val="002315EE"/>
    <w:rsid w:val="00236688"/>
    <w:rsid w:val="00237CEE"/>
    <w:rsid w:val="00251905"/>
    <w:rsid w:val="00254FF7"/>
    <w:rsid w:val="0025548D"/>
    <w:rsid w:val="00255C18"/>
    <w:rsid w:val="00255F7D"/>
    <w:rsid w:val="00256114"/>
    <w:rsid w:val="0025618C"/>
    <w:rsid w:val="00262914"/>
    <w:rsid w:val="00262EFB"/>
    <w:rsid w:val="00263F19"/>
    <w:rsid w:val="00265A99"/>
    <w:rsid w:val="00266F2F"/>
    <w:rsid w:val="002672D3"/>
    <w:rsid w:val="0026791C"/>
    <w:rsid w:val="00276B75"/>
    <w:rsid w:val="00280C60"/>
    <w:rsid w:val="00281C63"/>
    <w:rsid w:val="0028603C"/>
    <w:rsid w:val="002922CE"/>
    <w:rsid w:val="00293124"/>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C7FF1"/>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A4794"/>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23197"/>
    <w:rsid w:val="00532AF6"/>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4AB"/>
    <w:rsid w:val="005D19D9"/>
    <w:rsid w:val="005E5598"/>
    <w:rsid w:val="005F4B50"/>
    <w:rsid w:val="005F5F7E"/>
    <w:rsid w:val="005F6B5B"/>
    <w:rsid w:val="005F7377"/>
    <w:rsid w:val="0060155C"/>
    <w:rsid w:val="0061454F"/>
    <w:rsid w:val="0061712A"/>
    <w:rsid w:val="00617FB0"/>
    <w:rsid w:val="00624906"/>
    <w:rsid w:val="0062556E"/>
    <w:rsid w:val="00630F88"/>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31A2"/>
    <w:rsid w:val="00675A12"/>
    <w:rsid w:val="00677703"/>
    <w:rsid w:val="006835C1"/>
    <w:rsid w:val="00690A3D"/>
    <w:rsid w:val="006A0AB5"/>
    <w:rsid w:val="006A2AA3"/>
    <w:rsid w:val="006B5D02"/>
    <w:rsid w:val="006B6194"/>
    <w:rsid w:val="006B6639"/>
    <w:rsid w:val="006C142B"/>
    <w:rsid w:val="006C28B1"/>
    <w:rsid w:val="006C4C0B"/>
    <w:rsid w:val="006C4F5E"/>
    <w:rsid w:val="006D67EB"/>
    <w:rsid w:val="006E019E"/>
    <w:rsid w:val="006E3686"/>
    <w:rsid w:val="006F0183"/>
    <w:rsid w:val="00713F76"/>
    <w:rsid w:val="0071574A"/>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21D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3FBC"/>
    <w:rsid w:val="008942FA"/>
    <w:rsid w:val="00897A68"/>
    <w:rsid w:val="008A700A"/>
    <w:rsid w:val="008B52A0"/>
    <w:rsid w:val="008B565C"/>
    <w:rsid w:val="008B5B2E"/>
    <w:rsid w:val="008D4D55"/>
    <w:rsid w:val="008E063A"/>
    <w:rsid w:val="008E52F0"/>
    <w:rsid w:val="008F2283"/>
    <w:rsid w:val="008F3D47"/>
    <w:rsid w:val="008F41A6"/>
    <w:rsid w:val="008F6C19"/>
    <w:rsid w:val="0090239B"/>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A4E45"/>
    <w:rsid w:val="00AC0386"/>
    <w:rsid w:val="00AC62F8"/>
    <w:rsid w:val="00AD4FA7"/>
    <w:rsid w:val="00AE4AD2"/>
    <w:rsid w:val="00AE5F43"/>
    <w:rsid w:val="00AF1271"/>
    <w:rsid w:val="00AF4B41"/>
    <w:rsid w:val="00AF6A23"/>
    <w:rsid w:val="00B02892"/>
    <w:rsid w:val="00B11028"/>
    <w:rsid w:val="00B11F28"/>
    <w:rsid w:val="00B17678"/>
    <w:rsid w:val="00B27095"/>
    <w:rsid w:val="00B31728"/>
    <w:rsid w:val="00B34F9E"/>
    <w:rsid w:val="00B366DF"/>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48A5"/>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0533"/>
    <w:rsid w:val="00F43F29"/>
    <w:rsid w:val="00F509AE"/>
    <w:rsid w:val="00F60941"/>
    <w:rsid w:val="00F60C52"/>
    <w:rsid w:val="00F60FAC"/>
    <w:rsid w:val="00F619FD"/>
    <w:rsid w:val="00F7110B"/>
    <w:rsid w:val="00F75FAE"/>
    <w:rsid w:val="00F81080"/>
    <w:rsid w:val="00F8191D"/>
    <w:rsid w:val="00F84F87"/>
    <w:rsid w:val="00F86156"/>
    <w:rsid w:val="00F920EB"/>
    <w:rsid w:val="00F938A3"/>
    <w:rsid w:val="00F94D4D"/>
    <w:rsid w:val="00F95813"/>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3D37B"/>
  <w15:docId w15:val="{20094B17-EBC3-4A06-8C7C-24B35DE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Theatre Degrees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0250 Theatre &amp; Dance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FY 05-06</c:v>
                </c:pt>
                <c:pt idx="1">
                  <c:v>FY 06-07</c:v>
                </c:pt>
                <c:pt idx="2">
                  <c:v>FY 07-08</c:v>
                </c:pt>
                <c:pt idx="3">
                  <c:v>FY 08-09</c:v>
                </c:pt>
                <c:pt idx="4">
                  <c:v>FY 09-10</c:v>
                </c:pt>
                <c:pt idx="5">
                  <c:v>FY 10-11</c:v>
                </c:pt>
                <c:pt idx="6">
                  <c:v>FY 11-12</c:v>
                </c:pt>
                <c:pt idx="7">
                  <c:v>FY 12-13</c:v>
                </c:pt>
                <c:pt idx="8">
                  <c:v>FY 13-14</c:v>
                </c:pt>
                <c:pt idx="9">
                  <c:v>FY 14-15</c:v>
                </c:pt>
              </c:strCache>
            </c:strRef>
          </c:cat>
          <c:val>
            <c:numRef>
              <c:f>Sheet1!$B$2:$B$11</c:f>
              <c:numCache>
                <c:formatCode>General</c:formatCode>
                <c:ptCount val="10"/>
                <c:pt idx="0">
                  <c:v>6</c:v>
                </c:pt>
                <c:pt idx="1">
                  <c:v>3</c:v>
                </c:pt>
                <c:pt idx="2">
                  <c:v>9</c:v>
                </c:pt>
                <c:pt idx="3">
                  <c:v>6</c:v>
                </c:pt>
                <c:pt idx="4">
                  <c:v>6</c:v>
                </c:pt>
                <c:pt idx="5">
                  <c:v>2</c:v>
                </c:pt>
                <c:pt idx="6">
                  <c:v>8</c:v>
                </c:pt>
                <c:pt idx="7">
                  <c:v>9</c:v>
                </c:pt>
                <c:pt idx="8">
                  <c:v>7</c:v>
                </c:pt>
                <c:pt idx="9">
                  <c:v>9</c:v>
                </c:pt>
              </c:numCache>
            </c:numRef>
          </c:val>
        </c:ser>
        <c:dLbls>
          <c:dLblPos val="outEnd"/>
          <c:showLegendKey val="0"/>
          <c:showVal val="1"/>
          <c:showCatName val="0"/>
          <c:showSerName val="0"/>
          <c:showPercent val="0"/>
          <c:showBubbleSize val="0"/>
        </c:dLbls>
        <c:gapWidth val="219"/>
        <c:overlap val="-27"/>
        <c:axId val="291479224"/>
        <c:axId val="291478832"/>
      </c:barChart>
      <c:catAx>
        <c:axId val="29147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478832"/>
        <c:crosses val="autoZero"/>
        <c:auto val="1"/>
        <c:lblAlgn val="ctr"/>
        <c:lblOffset val="100"/>
        <c:noMultiLvlLbl val="0"/>
      </c:catAx>
      <c:valAx>
        <c:axId val="29147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47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69001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69001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69001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69001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204B9C"/>
    <w:rsid w:val="00690010"/>
    <w:rsid w:val="00860C99"/>
    <w:rsid w:val="00973824"/>
    <w:rsid w:val="00C956B8"/>
    <w:rsid w:val="00ED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25EC-3822-44D5-B06C-5E648547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Neuerer, Gina</cp:lastModifiedBy>
  <cp:revision>29</cp:revision>
  <cp:lastPrinted>2015-03-14T17:30:00Z</cp:lastPrinted>
  <dcterms:created xsi:type="dcterms:W3CDTF">2015-12-10T18:35:00Z</dcterms:created>
  <dcterms:modified xsi:type="dcterms:W3CDTF">2016-04-16T15:14:00Z</dcterms:modified>
</cp:coreProperties>
</file>