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5E1CE" w14:textId="77777777" w:rsidR="00DC1FBE" w:rsidRDefault="00DC1FBE" w:rsidP="00DC1FBE">
      <w:pPr>
        <w:jc w:val="center"/>
        <w:rPr>
          <w:rFonts w:ascii="Arial" w:hAnsi="Arial" w:cs="Arial"/>
          <w:b/>
          <w:color w:val="000000" w:themeColor="text1"/>
          <w:sz w:val="28"/>
        </w:rPr>
      </w:pPr>
      <w:r>
        <w:rPr>
          <w:rFonts w:ascii="Arial" w:hAnsi="Arial" w:cs="Arial"/>
          <w:b/>
          <w:color w:val="000000" w:themeColor="text1"/>
          <w:sz w:val="28"/>
        </w:rPr>
        <w:t>Sinclair Community College</w:t>
      </w:r>
    </w:p>
    <w:p w14:paraId="61247B98" w14:textId="77777777" w:rsidR="00DC1FBE" w:rsidRDefault="00DC1FBE" w:rsidP="00DC1FBE">
      <w:pPr>
        <w:jc w:val="center"/>
        <w:rPr>
          <w:rFonts w:ascii="Arial" w:hAnsi="Arial" w:cs="Arial"/>
          <w:b/>
          <w:color w:val="000000" w:themeColor="text1"/>
        </w:rPr>
      </w:pPr>
      <w:r>
        <w:rPr>
          <w:rFonts w:ascii="Arial" w:hAnsi="Arial" w:cs="Arial"/>
          <w:b/>
          <w:color w:val="000000" w:themeColor="text1"/>
        </w:rPr>
        <w:t>Continuous Improvement Annual Update 2014-15</w:t>
      </w:r>
    </w:p>
    <w:p w14:paraId="4FA6554D" w14:textId="77777777" w:rsidR="00DC1FBE" w:rsidRDefault="00DC1FBE" w:rsidP="00DC1FBE">
      <w:pPr>
        <w:jc w:val="center"/>
        <w:rPr>
          <w:rFonts w:ascii="Arial" w:hAnsi="Arial" w:cs="Arial"/>
          <w:b/>
          <w:color w:val="000000" w:themeColor="text1"/>
        </w:rPr>
      </w:pPr>
    </w:p>
    <w:p w14:paraId="3B235812" w14:textId="77777777" w:rsidR="00DC1FBE" w:rsidRDefault="00DC1FBE" w:rsidP="00DC1FB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14:paraId="55F66FFF" w14:textId="77777777" w:rsidR="00DC1FBE" w:rsidRDefault="00DC1FBE" w:rsidP="00DC1FBE">
      <w:pPr>
        <w:jc w:val="center"/>
        <w:rPr>
          <w:rFonts w:ascii="Arial" w:hAnsi="Arial" w:cs="Arial"/>
          <w:b/>
          <w:color w:val="000000" w:themeColor="text1"/>
        </w:rPr>
      </w:pPr>
    </w:p>
    <w:p w14:paraId="6A337216" w14:textId="77777777" w:rsidR="00DC1FBE" w:rsidRDefault="00DC1FBE" w:rsidP="00DC1FBE">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14:paraId="2D194CCB" w14:textId="77777777" w:rsidR="001026AA" w:rsidRPr="00CD2613" w:rsidRDefault="001026AA" w:rsidP="001026AA">
      <w:pPr>
        <w:jc w:val="center"/>
        <w:rPr>
          <w:rFonts w:ascii="Arial" w:hAnsi="Arial" w:cs="Arial"/>
          <w:b/>
          <w:color w:val="000000" w:themeColor="text1"/>
        </w:rPr>
      </w:pPr>
    </w:p>
    <w:p w14:paraId="3EA3DD04"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335EA8">
        <w:rPr>
          <w:rFonts w:ascii="Arial" w:hAnsi="Arial" w:cs="Arial"/>
          <w:color w:val="000000" w:themeColor="text1"/>
          <w:u w:val="single"/>
        </w:rPr>
        <w:t>250</w:t>
      </w:r>
      <w:r w:rsidR="00673CDD">
        <w:rPr>
          <w:rFonts w:ascii="Arial" w:hAnsi="Arial" w:cs="Arial"/>
          <w:color w:val="000000" w:themeColor="text1"/>
          <w:u w:val="single"/>
        </w:rPr>
        <w:t xml:space="preserve"> –</w:t>
      </w:r>
      <w:r w:rsidR="00335EA8">
        <w:rPr>
          <w:rFonts w:ascii="Arial" w:hAnsi="Arial" w:cs="Arial"/>
          <w:color w:val="000000" w:themeColor="text1"/>
          <w:u w:val="single"/>
        </w:rPr>
        <w:t xml:space="preserve"> Theatre &amp; Dance</w:t>
      </w:r>
      <w:r w:rsidR="001026AA" w:rsidRPr="00CD2613">
        <w:rPr>
          <w:rFonts w:ascii="Arial" w:hAnsi="Arial" w:cs="Arial"/>
          <w:color w:val="000000" w:themeColor="text1"/>
          <w:u w:val="single"/>
        </w:rPr>
        <w:tab/>
      </w:r>
    </w:p>
    <w:p w14:paraId="2F62B10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14:paraId="782F2E50"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14:paraId="4510B729" w14:textId="77777777" w:rsidR="00827AE5" w:rsidRPr="00CD2613" w:rsidRDefault="00827AE5" w:rsidP="00F0239E">
      <w:pPr>
        <w:jc w:val="center"/>
        <w:rPr>
          <w:rFonts w:ascii="Arial" w:hAnsi="Arial" w:cs="Arial"/>
          <w:b/>
          <w:color w:val="000000" w:themeColor="text1"/>
        </w:rPr>
      </w:pPr>
    </w:p>
    <w:p w14:paraId="2D4F82BA" w14:textId="77777777"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14:paraId="5E56E373" w14:textId="77777777" w:rsidR="001D736E" w:rsidRDefault="001D736E" w:rsidP="003254BC">
      <w:pPr>
        <w:rPr>
          <w:rFonts w:ascii="Arial" w:hAnsi="Arial" w:cs="Arial"/>
          <w:b/>
          <w:color w:val="000000" w:themeColor="text1"/>
          <w:u w:val="single"/>
        </w:rPr>
      </w:pPr>
    </w:p>
    <w:p w14:paraId="4660905D" w14:textId="77777777"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14:paraId="018F149C" w14:textId="77777777" w:rsidR="00585766" w:rsidRDefault="00585766" w:rsidP="00585766">
      <w:pPr>
        <w:rPr>
          <w:rFonts w:ascii="Arial" w:hAnsi="Arial" w:cs="Arial"/>
          <w:noProof/>
          <w:color w:val="000000" w:themeColor="text1"/>
        </w:rPr>
      </w:pPr>
    </w:p>
    <w:p w14:paraId="69164976" w14:textId="614A6FAD" w:rsidR="00637591" w:rsidRDefault="00F14001" w:rsidP="00585766">
      <w:pPr>
        <w:rPr>
          <w:rFonts w:ascii="Arial" w:hAnsi="Arial" w:cs="Arial"/>
          <w:noProof/>
          <w:color w:val="000000" w:themeColor="text1"/>
        </w:rPr>
      </w:pPr>
      <w:r>
        <w:rPr>
          <w:noProof/>
        </w:rPr>
        <w:drawing>
          <wp:inline distT="0" distB="0" distL="0" distR="0" wp14:anchorId="7FAB1E67" wp14:editId="62BA5E76">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0D14D4" w14:textId="77777777" w:rsidR="00637591" w:rsidRDefault="00637591" w:rsidP="00585766">
      <w:pPr>
        <w:rPr>
          <w:rFonts w:ascii="Arial" w:hAnsi="Arial" w:cs="Arial"/>
          <w:color w:val="000000" w:themeColor="text1"/>
        </w:rPr>
      </w:pPr>
    </w:p>
    <w:p w14:paraId="6BE4C99A" w14:textId="77777777" w:rsidR="00585766" w:rsidRDefault="00585766" w:rsidP="00585766">
      <w:pPr>
        <w:ind w:left="720"/>
        <w:rPr>
          <w:rFonts w:ascii="Arial" w:hAnsi="Arial" w:cs="Arial"/>
          <w:color w:val="000000" w:themeColor="text1"/>
        </w:rPr>
      </w:pPr>
    </w:p>
    <w:p w14:paraId="34853882" w14:textId="77777777" w:rsidR="003A6BF0"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14:paraId="1E385B10" w14:textId="77777777" w:rsidR="003A6BF0" w:rsidRDefault="003A6BF0" w:rsidP="008258DA">
      <w:pPr>
        <w:rPr>
          <w:rFonts w:ascii="Arial" w:hAnsi="Arial" w:cs="Arial"/>
          <w:color w:val="000000" w:themeColor="text1"/>
        </w:rPr>
      </w:pPr>
    </w:p>
    <w:p w14:paraId="2014220F" w14:textId="75D59815" w:rsidR="003A6BF0" w:rsidRDefault="008A5DAB" w:rsidP="00D43526">
      <w:pPr>
        <w:spacing w:line="360" w:lineRule="auto"/>
        <w:rPr>
          <w:color w:val="000000" w:themeColor="text1"/>
        </w:rPr>
      </w:pPr>
      <w:r>
        <w:rPr>
          <w:color w:val="000000" w:themeColor="text1"/>
        </w:rPr>
        <w:t>To</w:t>
      </w:r>
      <w:r w:rsidRPr="008A5DAB">
        <w:rPr>
          <w:color w:val="000000" w:themeColor="text1"/>
        </w:rPr>
        <w:t xml:space="preserve"> </w:t>
      </w:r>
      <w:r>
        <w:rPr>
          <w:color w:val="000000" w:themeColor="text1"/>
        </w:rPr>
        <w:t>interpret this degree completion data, a more realistic view is needed. The abo</w:t>
      </w:r>
      <w:r w:rsidR="00302573">
        <w:rPr>
          <w:color w:val="000000" w:themeColor="text1"/>
        </w:rPr>
        <w:t>ve chart includes Dance Degrees</w:t>
      </w:r>
      <w:r w:rsidR="003A6BF0">
        <w:rPr>
          <w:color w:val="000000" w:themeColor="text1"/>
        </w:rPr>
        <w:t xml:space="preserve"> in the total number</w:t>
      </w:r>
      <w:r w:rsidR="00302573">
        <w:rPr>
          <w:color w:val="000000" w:themeColor="text1"/>
        </w:rPr>
        <w:t>: this program was</w:t>
      </w:r>
      <w:r>
        <w:rPr>
          <w:color w:val="000000" w:themeColor="text1"/>
        </w:rPr>
        <w:t xml:space="preserve"> discontinued</w:t>
      </w:r>
      <w:r w:rsidR="00302573">
        <w:rPr>
          <w:color w:val="000000" w:themeColor="text1"/>
        </w:rPr>
        <w:t xml:space="preserve"> in 2007</w:t>
      </w:r>
      <w:r>
        <w:rPr>
          <w:color w:val="000000" w:themeColor="text1"/>
        </w:rPr>
        <w:t xml:space="preserve">. </w:t>
      </w:r>
    </w:p>
    <w:p w14:paraId="139264D7" w14:textId="77777777" w:rsidR="003A6BF0" w:rsidRDefault="003A6BF0" w:rsidP="00D43526">
      <w:pPr>
        <w:spacing w:line="360" w:lineRule="auto"/>
        <w:rPr>
          <w:color w:val="000000" w:themeColor="text1"/>
        </w:rPr>
      </w:pPr>
    </w:p>
    <w:p w14:paraId="6468A162" w14:textId="34605C25" w:rsidR="008A5DAB" w:rsidRPr="008A5DAB" w:rsidRDefault="008A5DAB" w:rsidP="00D43526">
      <w:pPr>
        <w:spacing w:line="360" w:lineRule="auto"/>
        <w:rPr>
          <w:color w:val="000000" w:themeColor="text1"/>
        </w:rPr>
      </w:pPr>
      <w:r>
        <w:rPr>
          <w:color w:val="000000" w:themeColor="text1"/>
        </w:rPr>
        <w:t>The chart below removes dance degrees and looks only at theatre degrees, as th</w:t>
      </w:r>
      <w:r w:rsidR="003A6BF0">
        <w:rPr>
          <w:color w:val="000000" w:themeColor="text1"/>
        </w:rPr>
        <w:t>ose are the programs being discussed in this Annual Update</w:t>
      </w:r>
      <w:r>
        <w:rPr>
          <w:color w:val="000000" w:themeColor="text1"/>
        </w:rPr>
        <w:t>(the last dance degrees were awarded FY 10-11).</w:t>
      </w:r>
    </w:p>
    <w:p w14:paraId="1D0422B1" w14:textId="77777777" w:rsidR="008A5DAB" w:rsidRDefault="008A5DAB" w:rsidP="008258DA">
      <w:pPr>
        <w:rPr>
          <w:rFonts w:ascii="Arial" w:hAnsi="Arial" w:cs="Arial"/>
          <w:color w:val="000000" w:themeColor="text1"/>
        </w:rPr>
      </w:pPr>
    </w:p>
    <w:p w14:paraId="42B39DF8" w14:textId="77777777" w:rsidR="008A5DAB" w:rsidRDefault="008A5DAB" w:rsidP="008258DA">
      <w:pPr>
        <w:rPr>
          <w:rFonts w:ascii="Arial" w:hAnsi="Arial" w:cs="Arial"/>
          <w:color w:val="000000" w:themeColor="text1"/>
        </w:rPr>
      </w:pPr>
    </w:p>
    <w:p w14:paraId="7FBFF95F" w14:textId="26302CFC" w:rsidR="008A5DAB" w:rsidRPr="008A5DAB" w:rsidRDefault="008A5DAB" w:rsidP="008258DA">
      <w:pPr>
        <w:rPr>
          <w:rFonts w:ascii="Arial" w:hAnsi="Arial" w:cs="Arial"/>
          <w:color w:val="000000" w:themeColor="text1"/>
        </w:rPr>
      </w:pPr>
      <w:r>
        <w:rPr>
          <w:noProof/>
        </w:rPr>
        <w:drawing>
          <wp:inline distT="0" distB="0" distL="0" distR="0" wp14:anchorId="213A7DE4" wp14:editId="1075249B">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B9F4BE" w14:textId="77777777" w:rsidR="001A2E6B" w:rsidRDefault="001A2E6B" w:rsidP="009D4417">
      <w:pPr>
        <w:pStyle w:val="ListParagraph"/>
        <w:tabs>
          <w:tab w:val="left" w:pos="5040"/>
        </w:tabs>
        <w:ind w:left="0"/>
        <w:rPr>
          <w:rFonts w:ascii="Arial" w:hAnsi="Arial" w:cs="Arial"/>
          <w:color w:val="000000" w:themeColor="text1"/>
        </w:rPr>
      </w:pPr>
    </w:p>
    <w:p w14:paraId="2450DE31" w14:textId="127B32CA" w:rsidR="00173336" w:rsidRPr="005D3818" w:rsidRDefault="005D3818">
      <w:pPr>
        <w:spacing w:after="200" w:line="276" w:lineRule="auto"/>
        <w:rPr>
          <w:color w:val="000000" w:themeColor="text1"/>
          <w:sz w:val="20"/>
          <w:szCs w:val="20"/>
        </w:rPr>
      </w:pPr>
      <w:r w:rsidRPr="005D3818">
        <w:rPr>
          <w:color w:val="000000" w:themeColor="text1"/>
          <w:sz w:val="20"/>
          <w:szCs w:val="20"/>
        </w:rPr>
        <w:t>*</w:t>
      </w:r>
      <w:r>
        <w:rPr>
          <w:color w:val="000000" w:themeColor="text1"/>
          <w:sz w:val="20"/>
          <w:szCs w:val="20"/>
        </w:rPr>
        <w:t>The</w:t>
      </w:r>
      <w:r w:rsidRPr="005D3818">
        <w:rPr>
          <w:color w:val="000000" w:themeColor="text1"/>
          <w:sz w:val="20"/>
          <w:szCs w:val="20"/>
        </w:rPr>
        <w:t xml:space="preserve"> 10 degrees FY 2</w:t>
      </w:r>
      <w:r w:rsidR="003A6BF0">
        <w:rPr>
          <w:color w:val="000000" w:themeColor="text1"/>
          <w:sz w:val="20"/>
          <w:szCs w:val="20"/>
        </w:rPr>
        <w:t>014-15 are</w:t>
      </w:r>
      <w:r w:rsidR="00173336" w:rsidRPr="005D3818">
        <w:rPr>
          <w:color w:val="000000" w:themeColor="text1"/>
          <w:sz w:val="20"/>
          <w:szCs w:val="20"/>
        </w:rPr>
        <w:t xml:space="preserve"> based on 8 degrees already awarded</w:t>
      </w:r>
      <w:r w:rsidRPr="005D3818">
        <w:rPr>
          <w:color w:val="000000" w:themeColor="text1"/>
          <w:sz w:val="20"/>
          <w:szCs w:val="20"/>
        </w:rPr>
        <w:t xml:space="preserve"> during</w:t>
      </w:r>
      <w:r w:rsidR="00173336" w:rsidRPr="005D3818">
        <w:rPr>
          <w:color w:val="000000" w:themeColor="text1"/>
          <w:sz w:val="20"/>
          <w:szCs w:val="20"/>
        </w:rPr>
        <w:t xml:space="preserve"> Fall14 and Spring15, with 2 more students on track to graduate at the end of Summer15</w:t>
      </w:r>
      <w:r w:rsidRPr="005D3818">
        <w:rPr>
          <w:color w:val="000000" w:themeColor="text1"/>
          <w:sz w:val="20"/>
          <w:szCs w:val="20"/>
        </w:rPr>
        <w:t>;</w:t>
      </w:r>
      <w:r w:rsidR="00173336" w:rsidRPr="005D3818">
        <w:rPr>
          <w:color w:val="000000" w:themeColor="text1"/>
          <w:sz w:val="20"/>
          <w:szCs w:val="20"/>
        </w:rPr>
        <w:t xml:space="preserve"> upon successful completion of the classes they are currently taking.</w:t>
      </w:r>
    </w:p>
    <w:p w14:paraId="71FED1A1" w14:textId="24CC5168" w:rsidR="00493E4B" w:rsidRDefault="0018014B" w:rsidP="00D43526">
      <w:pPr>
        <w:spacing w:after="200" w:line="360" w:lineRule="auto"/>
        <w:rPr>
          <w:color w:val="000000" w:themeColor="text1"/>
        </w:rPr>
      </w:pPr>
      <w:r w:rsidRPr="0018014B">
        <w:rPr>
          <w:color w:val="000000" w:themeColor="text1"/>
        </w:rPr>
        <w:t>It can be seen</w:t>
      </w:r>
      <w:r>
        <w:rPr>
          <w:color w:val="000000" w:themeColor="text1"/>
        </w:rPr>
        <w:t xml:space="preserve"> that the Theatre Degrees </w:t>
      </w:r>
      <w:r w:rsidR="005D3818">
        <w:rPr>
          <w:color w:val="000000" w:themeColor="text1"/>
        </w:rPr>
        <w:t xml:space="preserve">awarded </w:t>
      </w:r>
      <w:r w:rsidR="003A6BF0">
        <w:rPr>
          <w:color w:val="000000" w:themeColor="text1"/>
        </w:rPr>
        <w:t xml:space="preserve">are hitting a solid trend </w:t>
      </w:r>
      <w:r>
        <w:rPr>
          <w:color w:val="000000" w:themeColor="text1"/>
        </w:rPr>
        <w:t>in</w:t>
      </w:r>
      <w:r w:rsidR="003A6BF0">
        <w:rPr>
          <w:color w:val="000000" w:themeColor="text1"/>
        </w:rPr>
        <w:t xml:space="preserve"> looking at these</w:t>
      </w:r>
      <w:r>
        <w:rPr>
          <w:color w:val="000000" w:themeColor="text1"/>
        </w:rPr>
        <w:t xml:space="preserve"> 10 </w:t>
      </w:r>
      <w:r w:rsidR="003A6BF0">
        <w:rPr>
          <w:color w:val="000000" w:themeColor="text1"/>
        </w:rPr>
        <w:t>years</w:t>
      </w:r>
      <w:r w:rsidR="00173336">
        <w:rPr>
          <w:color w:val="000000" w:themeColor="text1"/>
        </w:rPr>
        <w:t>. Going into the 2015-16 year, we have 18</w:t>
      </w:r>
      <w:r w:rsidR="003A6BF0">
        <w:rPr>
          <w:color w:val="000000" w:themeColor="text1"/>
        </w:rPr>
        <w:t xml:space="preserve"> students on track to graduate</w:t>
      </w:r>
      <w:r w:rsidR="00173336">
        <w:rPr>
          <w:color w:val="000000" w:themeColor="text1"/>
        </w:rPr>
        <w:t xml:space="preserve">. Which is an interesting number as going into the 2014-15 year we had 18 on track and have ended up with 10 </w:t>
      </w:r>
      <w:r w:rsidR="003A6BF0">
        <w:rPr>
          <w:color w:val="000000" w:themeColor="text1"/>
        </w:rPr>
        <w:t xml:space="preserve">graduates; so, if that trend continues we should again have at least 10 graduates FY15-16. This drop off in theatre major completion </w:t>
      </w:r>
      <w:r w:rsidR="00D43526">
        <w:rPr>
          <w:color w:val="000000" w:themeColor="text1"/>
        </w:rPr>
        <w:t xml:space="preserve">during the year </w:t>
      </w:r>
      <w:r w:rsidR="003A6BF0">
        <w:rPr>
          <w:color w:val="000000" w:themeColor="text1"/>
        </w:rPr>
        <w:t>is ‘normal’ both with Sinclair Theatre and in theatre programs at 4-year institutions. At Sinclair, both the theatre class work and the theatre production work become more challenging and students are not able to keep up and complete the program in the planned two-years, or sometimes not at all.</w:t>
      </w:r>
    </w:p>
    <w:p w14:paraId="6C8CB2FA" w14:textId="77777777" w:rsidR="00864258" w:rsidRDefault="00493E4B" w:rsidP="007321E1">
      <w:pPr>
        <w:spacing w:after="200" w:line="360" w:lineRule="auto"/>
        <w:rPr>
          <w:color w:val="000000" w:themeColor="text1"/>
        </w:rPr>
      </w:pPr>
      <w:r>
        <w:rPr>
          <w:color w:val="000000" w:themeColor="text1"/>
        </w:rPr>
        <w:t>The last four y</w:t>
      </w:r>
      <w:r w:rsidR="00675DEF">
        <w:rPr>
          <w:color w:val="000000" w:themeColor="text1"/>
        </w:rPr>
        <w:t>ears (FY 11-12 thru 14-15) show</w:t>
      </w:r>
      <w:r>
        <w:rPr>
          <w:color w:val="000000" w:themeColor="text1"/>
        </w:rPr>
        <w:t xml:space="preserve"> a 47% increase over the previous four years (FY 07-08 thru 10-11).</w:t>
      </w:r>
      <w:r w:rsidR="00C87195">
        <w:rPr>
          <w:color w:val="000000" w:themeColor="text1"/>
        </w:rPr>
        <w:t xml:space="preserve"> The department has made many changes to increase the number of degrees awarded.</w:t>
      </w:r>
      <w:r w:rsidR="00E544BD">
        <w:rPr>
          <w:color w:val="000000" w:themeColor="text1"/>
        </w:rPr>
        <w:t xml:space="preserve"> </w:t>
      </w:r>
      <w:r w:rsidR="007321E1">
        <w:rPr>
          <w:color w:val="000000" w:themeColor="text1"/>
        </w:rPr>
        <w:t xml:space="preserve">The department has become </w:t>
      </w:r>
      <w:r w:rsidR="00864258">
        <w:rPr>
          <w:color w:val="000000" w:themeColor="text1"/>
        </w:rPr>
        <w:t>more focused; focusing students towards the</w:t>
      </w:r>
      <w:r w:rsidR="007321E1">
        <w:rPr>
          <w:color w:val="000000" w:themeColor="text1"/>
        </w:rPr>
        <w:t xml:space="preserve"> path </w:t>
      </w:r>
      <w:r w:rsidR="00864258">
        <w:rPr>
          <w:color w:val="000000" w:themeColor="text1"/>
        </w:rPr>
        <w:t>of</w:t>
      </w:r>
      <w:r w:rsidR="007321E1">
        <w:rPr>
          <w:color w:val="000000" w:themeColor="text1"/>
        </w:rPr>
        <w:t xml:space="preserve"> graduation. </w:t>
      </w:r>
      <w:r w:rsidR="00E544BD">
        <w:rPr>
          <w:color w:val="000000" w:themeColor="text1"/>
        </w:rPr>
        <w:t>The most effective changes have been throug</w:t>
      </w:r>
      <w:r w:rsidR="00864258">
        <w:rPr>
          <w:color w:val="000000" w:themeColor="text1"/>
        </w:rPr>
        <w:t xml:space="preserve">h recruitment and advising. </w:t>
      </w:r>
    </w:p>
    <w:p w14:paraId="7BE79EA9" w14:textId="0A9ADFE5" w:rsidR="00E544BD" w:rsidRPr="00864258" w:rsidRDefault="00864258" w:rsidP="00864258">
      <w:pPr>
        <w:spacing w:after="200" w:line="360" w:lineRule="auto"/>
        <w:rPr>
          <w:color w:val="000000" w:themeColor="text1"/>
        </w:rPr>
      </w:pPr>
      <w:r>
        <w:rPr>
          <w:color w:val="000000" w:themeColor="text1"/>
        </w:rPr>
        <w:lastRenderedPageBreak/>
        <w:t>More</w:t>
      </w:r>
      <w:r w:rsidR="00E544BD">
        <w:rPr>
          <w:color w:val="000000" w:themeColor="text1"/>
        </w:rPr>
        <w:t xml:space="preserve"> work needs to be done in the area of recruitment, but the department has increased its efforts in this area.</w:t>
      </w:r>
      <w:r>
        <w:rPr>
          <w:color w:val="000000" w:themeColor="text1"/>
        </w:rPr>
        <w:t xml:space="preserve"> </w:t>
      </w:r>
      <w:r w:rsidR="00E544BD">
        <w:t xml:space="preserve">The department achieves recruitment through many avenues. Attendance at traditional college fairs, both at Sinclair and at the high schools, career day workshops at high schools, attendance at Ohio Thesbian conferences (an organization for high school theatre students), Sinclair’s Young Scholarship Program, and attendance at high school theatre productions to name a few. Other unique recruitment approaches would be our relationship with Tech Prep and the High School DayTony organization. </w:t>
      </w:r>
    </w:p>
    <w:p w14:paraId="3E305F2F" w14:textId="77777777" w:rsidR="00E544BD" w:rsidRPr="00780B59" w:rsidRDefault="00E544BD" w:rsidP="00D43526">
      <w:pPr>
        <w:spacing w:line="360" w:lineRule="auto"/>
      </w:pPr>
      <w:r>
        <w:t xml:space="preserve">Through Tech Prep, the department is visible in local high school theatre programs, as well as bringing these students to campus to work in our shops, tour our facilities and view productions. Terry Stump has had a long, quality relationship with faculty teaching theatre at Centerville High School and this school has our strongest participants in the Tech Prep program; bringing many excellent students to Sinclair.  Centerville Theatre is an awarding-winning, highly-regarded theatre program. The department views many of their productions, provides workshops for them and serves as respondents in their Tech Prep Showcase. Through the Tech Prep program, Centerville students have contributed to the building of scenery and props for many of our productions. </w:t>
      </w:r>
    </w:p>
    <w:p w14:paraId="50DD8B9B" w14:textId="77777777" w:rsidR="00E544BD" w:rsidRDefault="00E544BD" w:rsidP="00D43526">
      <w:pPr>
        <w:pStyle w:val="NormalWeb"/>
        <w:spacing w:line="360" w:lineRule="auto"/>
        <w:contextualSpacing/>
        <w:rPr>
          <w:rFonts w:ascii="Times New Roman" w:hAnsi="Times New Roman"/>
          <w:color w:val="auto"/>
          <w:sz w:val="24"/>
          <w:szCs w:val="24"/>
        </w:rPr>
      </w:pPr>
    </w:p>
    <w:p w14:paraId="36A5999B" w14:textId="77777777" w:rsidR="00E544BD" w:rsidRDefault="00E544BD" w:rsidP="00D43526">
      <w:pPr>
        <w:pStyle w:val="NormalWeb"/>
        <w:spacing w:line="360" w:lineRule="auto"/>
        <w:contextualSpacing/>
        <w:rPr>
          <w:rFonts w:ascii="Times New Roman" w:hAnsi="Times New Roman"/>
          <w:color w:val="auto"/>
          <w:sz w:val="24"/>
          <w:szCs w:val="24"/>
        </w:rPr>
      </w:pPr>
      <w:r>
        <w:rPr>
          <w:rFonts w:ascii="Times New Roman" w:hAnsi="Times New Roman"/>
          <w:color w:val="auto"/>
          <w:sz w:val="24"/>
          <w:szCs w:val="24"/>
        </w:rPr>
        <w:t xml:space="preserve">The High School DayTony organization brings together high school students who participate in their school theatre program. From their web-site: </w:t>
      </w:r>
    </w:p>
    <w:p w14:paraId="0A02A2A2" w14:textId="77777777" w:rsidR="00E544BD" w:rsidRPr="00B55D4D" w:rsidRDefault="00E544BD" w:rsidP="00D43526">
      <w:pPr>
        <w:pStyle w:val="NormalWeb"/>
        <w:spacing w:line="360" w:lineRule="auto"/>
        <w:ind w:left="720"/>
        <w:contextualSpacing/>
        <w:rPr>
          <w:rFonts w:ascii="Times New Roman" w:hAnsi="Times New Roman"/>
          <w:sz w:val="24"/>
          <w:szCs w:val="24"/>
        </w:rPr>
      </w:pPr>
      <w:r w:rsidRPr="00004543">
        <w:rPr>
          <w:rFonts w:ascii="Times New Roman" w:hAnsi="Times New Roman"/>
          <w:color w:val="auto"/>
          <w:sz w:val="24"/>
          <w:szCs w:val="24"/>
        </w:rPr>
        <w:t>“</w:t>
      </w:r>
      <w:r w:rsidRPr="00004543">
        <w:rPr>
          <w:rFonts w:ascii="Times New Roman" w:hAnsi="Times New Roman"/>
          <w:sz w:val="24"/>
          <w:szCs w:val="24"/>
        </w:rPr>
        <w:t xml:space="preserve">The DayTony High School Theatre Awards is an off-shoot of the DayTony / Dayton Theatre Hall of Fame. The program is designed to help students interact with other theatre programs around the area as well as provide recognition for all of our wonderful theatre programs in the Dayton area. Students will adjudicate productions at other schools for both acting and technical elements. These ratings are then compiled and result in awards of merit and excellence for all worthy programs. It is not a competition but rather a chance for all of the great productions to be </w:t>
      </w:r>
      <w:r w:rsidRPr="00B55D4D">
        <w:rPr>
          <w:rFonts w:ascii="Times New Roman" w:hAnsi="Times New Roman"/>
          <w:sz w:val="24"/>
          <w:szCs w:val="24"/>
        </w:rPr>
        <w:t>recognized.”</w:t>
      </w:r>
    </w:p>
    <w:p w14:paraId="2225D3BB" w14:textId="77777777" w:rsidR="00E544BD" w:rsidRDefault="00E544BD" w:rsidP="00D43526">
      <w:pPr>
        <w:pStyle w:val="NormalWeb"/>
        <w:spacing w:line="360" w:lineRule="auto"/>
        <w:ind w:firstLine="720"/>
        <w:contextualSpacing/>
        <w:rPr>
          <w:rFonts w:ascii="Times New Roman" w:hAnsi="Times New Roman"/>
          <w:sz w:val="24"/>
          <w:szCs w:val="24"/>
        </w:rPr>
      </w:pPr>
    </w:p>
    <w:p w14:paraId="20386D39" w14:textId="683497F5" w:rsidR="00E544BD" w:rsidRPr="00904827" w:rsidRDefault="00E544BD" w:rsidP="00D43526">
      <w:pPr>
        <w:pStyle w:val="NormalWeb"/>
        <w:spacing w:line="360" w:lineRule="auto"/>
        <w:contextualSpacing/>
        <w:rPr>
          <w:rFonts w:ascii="Times New Roman" w:hAnsi="Times New Roman"/>
          <w:color w:val="auto"/>
          <w:sz w:val="24"/>
          <w:szCs w:val="24"/>
        </w:rPr>
      </w:pPr>
      <w:r w:rsidRPr="00B55D4D">
        <w:rPr>
          <w:rFonts w:ascii="Times New Roman" w:hAnsi="Times New Roman"/>
          <w:sz w:val="24"/>
          <w:szCs w:val="24"/>
        </w:rPr>
        <w:t>Each summer</w:t>
      </w:r>
      <w:r w:rsidR="00CE21C2">
        <w:rPr>
          <w:rFonts w:ascii="Times New Roman" w:hAnsi="Times New Roman"/>
          <w:sz w:val="24"/>
          <w:szCs w:val="24"/>
        </w:rPr>
        <w:t xml:space="preserve"> since 2010</w:t>
      </w:r>
      <w:r w:rsidRPr="00B55D4D">
        <w:rPr>
          <w:rFonts w:ascii="Times New Roman" w:hAnsi="Times New Roman"/>
          <w:sz w:val="24"/>
          <w:szCs w:val="24"/>
        </w:rPr>
        <w:t xml:space="preserve">, the department </w:t>
      </w:r>
      <w:r w:rsidR="00CE21C2">
        <w:rPr>
          <w:rFonts w:ascii="Times New Roman" w:hAnsi="Times New Roman"/>
          <w:sz w:val="24"/>
          <w:szCs w:val="24"/>
        </w:rPr>
        <w:t>has hosted</w:t>
      </w:r>
      <w:r w:rsidRPr="00B55D4D">
        <w:rPr>
          <w:rFonts w:ascii="Times New Roman" w:hAnsi="Times New Roman"/>
          <w:sz w:val="24"/>
          <w:szCs w:val="24"/>
        </w:rPr>
        <w:t xml:space="preserve"> the annual awards ceremony for this organization in Blair Hall Theatre. This is an outstanding opportunity to reach our target recruiting market: students, teachers and parents within a 50-mile radius, who are involved and/or immersed in theatre. Attending this gala brings these targeted people onto campus, shows them Sinclair¹s theatre facilities, familiarizes them with admission and theatre program options, </w:t>
      </w:r>
      <w:r w:rsidRPr="00B55D4D">
        <w:rPr>
          <w:rFonts w:ascii="Times New Roman" w:hAnsi="Times New Roman"/>
          <w:sz w:val="24"/>
          <w:szCs w:val="24"/>
        </w:rPr>
        <w:lastRenderedPageBreak/>
        <w:t>and HONORS the work they have been doing in their schools. This is truly a face-to-face chance to meet faculty, see lighting/sound/costume</w:t>
      </w:r>
      <w:r>
        <w:rPr>
          <w:rFonts w:ascii="Times New Roman" w:hAnsi="Times New Roman"/>
          <w:sz w:val="24"/>
          <w:szCs w:val="24"/>
        </w:rPr>
        <w:t>s and get a preview of Sinclair’</w:t>
      </w:r>
      <w:r w:rsidRPr="00B55D4D">
        <w:rPr>
          <w:rFonts w:ascii="Times New Roman" w:hAnsi="Times New Roman"/>
          <w:sz w:val="24"/>
          <w:szCs w:val="24"/>
        </w:rPr>
        <w:t>s upcoming theatre season. Wrapping all that in the glitz and glamour of a true awards ceremony goes a long way to</w:t>
      </w:r>
      <w:r>
        <w:rPr>
          <w:rFonts w:ascii="Times New Roman" w:hAnsi="Times New Roman"/>
          <w:sz w:val="24"/>
          <w:szCs w:val="24"/>
        </w:rPr>
        <w:t>ward cementing Sinclair Theatre’</w:t>
      </w:r>
      <w:r w:rsidRPr="00B55D4D">
        <w:rPr>
          <w:rFonts w:ascii="Times New Roman" w:hAnsi="Times New Roman"/>
          <w:sz w:val="24"/>
          <w:szCs w:val="24"/>
        </w:rPr>
        <w:t>s commitment to theatre into their memories (and senior scrapbooks). Students sha</w:t>
      </w:r>
      <w:r>
        <w:rPr>
          <w:rFonts w:ascii="Times New Roman" w:hAnsi="Times New Roman"/>
          <w:sz w:val="24"/>
          <w:szCs w:val="24"/>
        </w:rPr>
        <w:t>ring photos of this formal, red-</w:t>
      </w:r>
      <w:r w:rsidRPr="00B55D4D">
        <w:rPr>
          <w:rFonts w:ascii="Times New Roman" w:hAnsi="Times New Roman"/>
          <w:sz w:val="24"/>
          <w:szCs w:val="24"/>
        </w:rPr>
        <w:t>carpet event online via social media enables us to reach an even broader audience for both our program and our productions</w:t>
      </w:r>
      <w:r>
        <w:rPr>
          <w:rFonts w:ascii="Times New Roman" w:hAnsi="Times New Roman"/>
          <w:sz w:val="24"/>
          <w:szCs w:val="24"/>
        </w:rPr>
        <w:t xml:space="preserve">. </w:t>
      </w:r>
      <w:r w:rsidRPr="00B55D4D">
        <w:rPr>
          <w:rFonts w:ascii="Times New Roman" w:hAnsi="Times New Roman"/>
          <w:sz w:val="24"/>
          <w:szCs w:val="24"/>
        </w:rPr>
        <w:t>This event increases in size every year and has become the event high schoolers a</w:t>
      </w:r>
      <w:r>
        <w:rPr>
          <w:rFonts w:ascii="Times New Roman" w:hAnsi="Times New Roman"/>
          <w:sz w:val="24"/>
          <w:szCs w:val="24"/>
        </w:rPr>
        <w:t>ttend to reunite with cast members</w:t>
      </w:r>
      <w:r w:rsidRPr="00B55D4D">
        <w:rPr>
          <w:rFonts w:ascii="Times New Roman" w:hAnsi="Times New Roman"/>
          <w:sz w:val="24"/>
          <w:szCs w:val="24"/>
        </w:rPr>
        <w:t xml:space="preserve"> and celebrate live theatre.</w:t>
      </w:r>
    </w:p>
    <w:p w14:paraId="2FC2F7B4" w14:textId="1B0F8871" w:rsidR="00E544BD" w:rsidRDefault="00E544BD" w:rsidP="00D43526">
      <w:pPr>
        <w:spacing w:line="360" w:lineRule="auto"/>
      </w:pPr>
      <w:r w:rsidRPr="00B55D4D">
        <w:t>Beyond the high school connection</w:t>
      </w:r>
      <w:r>
        <w:t xml:space="preserve"> through Tech Prep and the High School DayTony organization, the department maintains involvement with area high schools. Many members of the department view high school theatre performances for recruitment and awareness. Of particular importance is the involvement with Stivers School for the Arts (a 7</w:t>
      </w:r>
      <w:r w:rsidRPr="00D85D84">
        <w:rPr>
          <w:vertAlign w:val="superscript"/>
        </w:rPr>
        <w:t>th</w:t>
      </w:r>
      <w:r>
        <w:t xml:space="preserve"> through 12</w:t>
      </w:r>
      <w:r w:rsidRPr="00D85D84">
        <w:rPr>
          <w:vertAlign w:val="superscript"/>
        </w:rPr>
        <w:t>th</w:t>
      </w:r>
      <w:r>
        <w:t xml:space="preserve"> grade Dayton Public school). The department has developed a strong connection to Stivers, thanks to the work of former theatre majors. When Stivers hired its first full-time position to run their theatre technology program and theatre spaces</w:t>
      </w:r>
      <w:r w:rsidR="00D95762">
        <w:t xml:space="preserve"> (2010)</w:t>
      </w:r>
      <w:r>
        <w:t xml:space="preserve">, it was a former Sinclair </w:t>
      </w:r>
      <w:r w:rsidR="00D95762">
        <w:t xml:space="preserve">Theatre </w:t>
      </w:r>
      <w:r>
        <w:t xml:space="preserve">Technology major, then the second and current person in this position is also a former </w:t>
      </w:r>
      <w:r w:rsidR="00D95762">
        <w:t>Sinclair Theatre Technology major</w:t>
      </w:r>
      <w:r>
        <w:t xml:space="preserve">. This has provided a direct connection between the programs, and helped to ensure the quality of the student work, as the department is aware of the skills of the person teaching the technology students. Another beneficial connection to Stivers is through adjunct dance faculty member Rodney Veal. Rodney has taught in the Stivers Dance Magnet </w:t>
      </w:r>
      <w:r w:rsidRPr="004E2672">
        <w:t xml:space="preserve">for </w:t>
      </w:r>
      <w:r>
        <w:t>14</w:t>
      </w:r>
      <w:r w:rsidRPr="004E2672">
        <w:t xml:space="preserve"> years</w:t>
      </w:r>
      <w:r>
        <w:t>,</w:t>
      </w:r>
      <w:r w:rsidRPr="004E2672">
        <w:t xml:space="preserve"> and </w:t>
      </w:r>
      <w:r>
        <w:t xml:space="preserve">as we recently brought back our dance performances (first one in February </w:t>
      </w:r>
      <w:r w:rsidR="00D95762">
        <w:t>2013)</w:t>
      </w:r>
      <w:r>
        <w:t xml:space="preserve">, Rodney has brought dancers from Stivers to the Blair Hall stage. In addition Rodney is heading up a collaboration with the Stivers Dance Magnet for our upcoming Fall 2015 musical. </w:t>
      </w:r>
    </w:p>
    <w:p w14:paraId="65A57F9E" w14:textId="77777777" w:rsidR="00E544BD" w:rsidRDefault="00E544BD" w:rsidP="00D43526">
      <w:pPr>
        <w:spacing w:line="360" w:lineRule="auto"/>
        <w:ind w:firstLine="720"/>
      </w:pPr>
    </w:p>
    <w:p w14:paraId="758B3DBA" w14:textId="7148BC7C" w:rsidR="00CE21C2" w:rsidRDefault="00CE21C2" w:rsidP="00D43526">
      <w:pPr>
        <w:pStyle w:val="NormalWeb"/>
        <w:spacing w:line="360" w:lineRule="auto"/>
        <w:contextualSpacing/>
        <w:rPr>
          <w:rFonts w:ascii="Times New Roman" w:hAnsi="Times New Roman"/>
          <w:sz w:val="24"/>
          <w:szCs w:val="24"/>
        </w:rPr>
      </w:pPr>
      <w:r>
        <w:rPr>
          <w:rFonts w:ascii="Times New Roman" w:hAnsi="Times New Roman"/>
          <w:sz w:val="24"/>
          <w:szCs w:val="24"/>
        </w:rPr>
        <w:t xml:space="preserve">The most successful action that the department has taken to increase </w:t>
      </w:r>
      <w:r w:rsidR="006F4D23">
        <w:rPr>
          <w:rFonts w:ascii="Times New Roman" w:hAnsi="Times New Roman"/>
          <w:sz w:val="24"/>
          <w:szCs w:val="24"/>
        </w:rPr>
        <w:t xml:space="preserve">student </w:t>
      </w:r>
      <w:r>
        <w:rPr>
          <w:rFonts w:ascii="Times New Roman" w:hAnsi="Times New Roman"/>
          <w:sz w:val="24"/>
          <w:szCs w:val="24"/>
        </w:rPr>
        <w:t xml:space="preserve">completion of the program has been through the advising process. </w:t>
      </w:r>
      <w:r w:rsidR="006F4D23">
        <w:rPr>
          <w:rFonts w:ascii="Times New Roman" w:hAnsi="Times New Roman"/>
          <w:sz w:val="24"/>
          <w:szCs w:val="24"/>
        </w:rPr>
        <w:t>For many years, the department has had ‘mandatory advising’ for continuing students, but the process di</w:t>
      </w:r>
      <w:r w:rsidR="00571F69">
        <w:rPr>
          <w:rFonts w:ascii="Times New Roman" w:hAnsi="Times New Roman"/>
          <w:sz w:val="24"/>
          <w:szCs w:val="24"/>
        </w:rPr>
        <w:t>d</w:t>
      </w:r>
      <w:r w:rsidR="006F4D23">
        <w:rPr>
          <w:rFonts w:ascii="Times New Roman" w:hAnsi="Times New Roman"/>
          <w:sz w:val="24"/>
          <w:szCs w:val="24"/>
        </w:rPr>
        <w:t xml:space="preserve"> not have consistency or the ability to be enforced and the process truly needed to start </w:t>
      </w:r>
      <w:r w:rsidR="006F4D23" w:rsidRPr="006F4D23">
        <w:rPr>
          <w:rFonts w:ascii="Times New Roman" w:hAnsi="Times New Roman"/>
          <w:i/>
          <w:sz w:val="24"/>
          <w:szCs w:val="24"/>
          <w:u w:val="single"/>
        </w:rPr>
        <w:t>before</w:t>
      </w:r>
      <w:r w:rsidR="006F4D23">
        <w:rPr>
          <w:rFonts w:ascii="Times New Roman" w:hAnsi="Times New Roman"/>
          <w:sz w:val="24"/>
          <w:szCs w:val="24"/>
        </w:rPr>
        <w:t xml:space="preserve"> students started the program; so </w:t>
      </w:r>
      <w:r w:rsidR="00571F69">
        <w:rPr>
          <w:rFonts w:ascii="Times New Roman" w:hAnsi="Times New Roman"/>
          <w:sz w:val="24"/>
          <w:szCs w:val="24"/>
        </w:rPr>
        <w:t>the process has continued to be</w:t>
      </w:r>
      <w:r w:rsidR="006F4D23">
        <w:rPr>
          <w:rFonts w:ascii="Times New Roman" w:hAnsi="Times New Roman"/>
          <w:sz w:val="24"/>
          <w:szCs w:val="24"/>
        </w:rPr>
        <w:t xml:space="preserve"> imp</w:t>
      </w:r>
      <w:r w:rsidR="00571F69">
        <w:rPr>
          <w:rFonts w:ascii="Times New Roman" w:hAnsi="Times New Roman"/>
          <w:sz w:val="24"/>
          <w:szCs w:val="24"/>
        </w:rPr>
        <w:t>roved</w:t>
      </w:r>
      <w:r w:rsidR="006F4D23">
        <w:rPr>
          <w:rFonts w:ascii="Times New Roman" w:hAnsi="Times New Roman"/>
          <w:sz w:val="24"/>
          <w:szCs w:val="24"/>
        </w:rPr>
        <w:t>.</w:t>
      </w:r>
    </w:p>
    <w:p w14:paraId="6746D396" w14:textId="77777777" w:rsidR="00C97759" w:rsidRDefault="00C97759" w:rsidP="00D43526">
      <w:pPr>
        <w:pStyle w:val="NormalWeb"/>
        <w:spacing w:line="360" w:lineRule="auto"/>
        <w:contextualSpacing/>
        <w:rPr>
          <w:rFonts w:ascii="Times New Roman" w:hAnsi="Times New Roman"/>
          <w:color w:val="auto"/>
          <w:sz w:val="24"/>
          <w:szCs w:val="24"/>
        </w:rPr>
      </w:pPr>
    </w:p>
    <w:p w14:paraId="0D48FEE0" w14:textId="13CC7CE1" w:rsidR="00E544BD" w:rsidRPr="001C7D12" w:rsidRDefault="00CE21C2" w:rsidP="00D43526">
      <w:pPr>
        <w:pStyle w:val="NormalWeb"/>
        <w:spacing w:line="360" w:lineRule="auto"/>
        <w:contextualSpacing/>
        <w:rPr>
          <w:rFonts w:ascii="Times New Roman" w:hAnsi="Times New Roman"/>
          <w:sz w:val="24"/>
          <w:szCs w:val="24"/>
        </w:rPr>
      </w:pPr>
      <w:r>
        <w:rPr>
          <w:rFonts w:ascii="Times New Roman" w:hAnsi="Times New Roman"/>
          <w:color w:val="auto"/>
          <w:sz w:val="24"/>
          <w:szCs w:val="24"/>
        </w:rPr>
        <w:t>With Sinclair being</w:t>
      </w:r>
      <w:r w:rsidR="00E544BD">
        <w:rPr>
          <w:rFonts w:ascii="Times New Roman" w:hAnsi="Times New Roman"/>
          <w:color w:val="auto"/>
          <w:sz w:val="24"/>
          <w:szCs w:val="24"/>
        </w:rPr>
        <w:t xml:space="preserve"> an open enrollment institute, </w:t>
      </w:r>
      <w:r w:rsidR="00E544BD" w:rsidRPr="00015F76">
        <w:rPr>
          <w:rFonts w:ascii="Times New Roman" w:hAnsi="Times New Roman"/>
          <w:sz w:val="24"/>
          <w:szCs w:val="24"/>
        </w:rPr>
        <w:t xml:space="preserve">the department gets many students who think they want to major in theatre before </w:t>
      </w:r>
      <w:r>
        <w:rPr>
          <w:rFonts w:ascii="Times New Roman" w:hAnsi="Times New Roman"/>
          <w:sz w:val="24"/>
          <w:szCs w:val="24"/>
        </w:rPr>
        <w:t xml:space="preserve">having any </w:t>
      </w:r>
      <w:r w:rsidR="00E544BD" w:rsidRPr="00015F76">
        <w:rPr>
          <w:rFonts w:ascii="Times New Roman" w:hAnsi="Times New Roman"/>
          <w:sz w:val="24"/>
          <w:szCs w:val="24"/>
        </w:rPr>
        <w:t>understandin</w:t>
      </w:r>
      <w:r w:rsidR="00E544BD">
        <w:rPr>
          <w:rFonts w:ascii="Times New Roman" w:hAnsi="Times New Roman"/>
          <w:sz w:val="24"/>
          <w:szCs w:val="24"/>
        </w:rPr>
        <w:t xml:space="preserve">g </w:t>
      </w:r>
      <w:r>
        <w:rPr>
          <w:rFonts w:ascii="Times New Roman" w:hAnsi="Times New Roman"/>
          <w:sz w:val="24"/>
          <w:szCs w:val="24"/>
        </w:rPr>
        <w:t xml:space="preserve">of </w:t>
      </w:r>
      <w:r w:rsidR="00E544BD">
        <w:rPr>
          <w:rFonts w:ascii="Times New Roman" w:hAnsi="Times New Roman"/>
          <w:sz w:val="24"/>
          <w:szCs w:val="24"/>
        </w:rPr>
        <w:t xml:space="preserve">the enormous commitment </w:t>
      </w:r>
      <w:r w:rsidR="00E544BD">
        <w:rPr>
          <w:rFonts w:ascii="Times New Roman" w:hAnsi="Times New Roman"/>
          <w:sz w:val="24"/>
          <w:szCs w:val="24"/>
        </w:rPr>
        <w:lastRenderedPageBreak/>
        <w:t>level</w:t>
      </w:r>
      <w:r>
        <w:rPr>
          <w:rFonts w:ascii="Times New Roman" w:hAnsi="Times New Roman"/>
          <w:sz w:val="24"/>
          <w:szCs w:val="24"/>
        </w:rPr>
        <w:t xml:space="preserve"> required</w:t>
      </w:r>
      <w:r w:rsidR="00E544BD">
        <w:rPr>
          <w:rFonts w:ascii="Times New Roman" w:hAnsi="Times New Roman"/>
          <w:sz w:val="24"/>
          <w:szCs w:val="24"/>
        </w:rPr>
        <w:t>. I</w:t>
      </w:r>
      <w:r w:rsidR="00E544BD" w:rsidRPr="00015F76">
        <w:rPr>
          <w:rFonts w:ascii="Times New Roman" w:hAnsi="Times New Roman"/>
          <w:sz w:val="24"/>
          <w:szCs w:val="24"/>
        </w:rPr>
        <w:t xml:space="preserve">t was important for the department to develop a process with the academic advising office to advise theatre majors who have not yet started the program. </w:t>
      </w:r>
      <w:r w:rsidR="006F4D23">
        <w:rPr>
          <w:rFonts w:ascii="Times New Roman" w:hAnsi="Times New Roman"/>
          <w:sz w:val="24"/>
          <w:szCs w:val="24"/>
        </w:rPr>
        <w:t>An advising system (for incoming</w:t>
      </w:r>
      <w:r w:rsidR="00E544BD">
        <w:rPr>
          <w:rFonts w:ascii="Times New Roman" w:hAnsi="Times New Roman"/>
          <w:sz w:val="24"/>
          <w:szCs w:val="24"/>
        </w:rPr>
        <w:t xml:space="preserve"> and continuing</w:t>
      </w:r>
      <w:r w:rsidR="006F4D23">
        <w:rPr>
          <w:rFonts w:ascii="Times New Roman" w:hAnsi="Times New Roman"/>
          <w:sz w:val="24"/>
          <w:szCs w:val="24"/>
        </w:rPr>
        <w:t xml:space="preserve"> students</w:t>
      </w:r>
      <w:r w:rsidR="00E544BD">
        <w:rPr>
          <w:rFonts w:ascii="Times New Roman" w:hAnsi="Times New Roman"/>
          <w:sz w:val="24"/>
          <w:szCs w:val="24"/>
        </w:rPr>
        <w:t xml:space="preserve">) is regarded by the department as </w:t>
      </w:r>
      <w:r w:rsidR="00E544BD" w:rsidRPr="00281D39">
        <w:rPr>
          <w:rFonts w:ascii="Times New Roman" w:hAnsi="Times New Roman"/>
          <w:sz w:val="24"/>
          <w:szCs w:val="24"/>
          <w:u w:val="single"/>
        </w:rPr>
        <w:t>key</w:t>
      </w:r>
      <w:r w:rsidR="00E544BD">
        <w:rPr>
          <w:rFonts w:ascii="Times New Roman" w:hAnsi="Times New Roman"/>
          <w:sz w:val="24"/>
          <w:szCs w:val="24"/>
        </w:rPr>
        <w:t xml:space="preserve"> to student success. Any student can declare Theatre as their m</w:t>
      </w:r>
      <w:r w:rsidR="00E544BD" w:rsidRPr="00015F76">
        <w:rPr>
          <w:rFonts w:ascii="Times New Roman" w:hAnsi="Times New Roman"/>
          <w:sz w:val="24"/>
          <w:szCs w:val="24"/>
        </w:rPr>
        <w:t>ajor by simply filling out an admissions form an</w:t>
      </w:r>
      <w:r w:rsidR="00E544BD">
        <w:rPr>
          <w:rFonts w:ascii="Times New Roman" w:hAnsi="Times New Roman"/>
          <w:sz w:val="24"/>
          <w:szCs w:val="24"/>
        </w:rPr>
        <w:t xml:space="preserve">d state </w:t>
      </w:r>
      <w:r w:rsidR="00E544BD" w:rsidRPr="00015F76">
        <w:rPr>
          <w:rFonts w:ascii="Times New Roman" w:hAnsi="Times New Roman"/>
          <w:sz w:val="24"/>
          <w:szCs w:val="24"/>
        </w:rPr>
        <w:t xml:space="preserve">they want to be a theatre major; so the department needs to connect with these students </w:t>
      </w:r>
      <w:r w:rsidR="00E544BD">
        <w:rPr>
          <w:rFonts w:ascii="Times New Roman" w:hAnsi="Times New Roman"/>
          <w:sz w:val="24"/>
          <w:szCs w:val="24"/>
        </w:rPr>
        <w:t xml:space="preserve">before they start taking </w:t>
      </w:r>
      <w:r w:rsidR="00E544BD" w:rsidRPr="00015F76">
        <w:rPr>
          <w:rFonts w:ascii="Times New Roman" w:hAnsi="Times New Roman"/>
          <w:sz w:val="24"/>
          <w:szCs w:val="24"/>
        </w:rPr>
        <w:t>classes. If the student goes to the academic advising office, a system has been established where they are sent to the department as a first step for advising. This arrangement allows the chair to provide students the opportunity to make an informed decision about becoming a theatre major. During this meeting it is explained that this major cannot be accomplished without attending classes 4 to 5 days a week and requires long periods of evening work and 10 to 12 hour days on the weekends, all on top of their school</w:t>
      </w:r>
      <w:r w:rsidR="00E544BD">
        <w:rPr>
          <w:rFonts w:ascii="Times New Roman" w:hAnsi="Times New Roman"/>
          <w:sz w:val="24"/>
          <w:szCs w:val="24"/>
        </w:rPr>
        <w:t xml:space="preserve"> schedule and homework, and job</w:t>
      </w:r>
      <w:r w:rsidR="00E544BD" w:rsidRPr="00015F76">
        <w:rPr>
          <w:rFonts w:ascii="Times New Roman" w:hAnsi="Times New Roman"/>
          <w:sz w:val="24"/>
          <w:szCs w:val="24"/>
        </w:rPr>
        <w:t xml:space="preserve"> and family, etc… This helps potential students know if they can even fit this major into their life style. If the student feels they can work with this schedule, then theatre education and potential career opportunities are discussed. </w:t>
      </w:r>
      <w:r w:rsidR="00E544BD">
        <w:rPr>
          <w:rFonts w:ascii="Times New Roman" w:hAnsi="Times New Roman"/>
          <w:sz w:val="24"/>
          <w:szCs w:val="24"/>
        </w:rPr>
        <w:t>If the student is</w:t>
      </w:r>
      <w:r w:rsidR="00E544BD" w:rsidRPr="00015F76">
        <w:rPr>
          <w:rFonts w:ascii="Times New Roman" w:hAnsi="Times New Roman"/>
          <w:sz w:val="24"/>
          <w:szCs w:val="24"/>
        </w:rPr>
        <w:t xml:space="preserve"> uncertain about potentially becoming a theatre major, the department does have non-major classes to further explore this option: THE1101, 1103, </w:t>
      </w:r>
      <w:r w:rsidR="00E544BD">
        <w:rPr>
          <w:rFonts w:ascii="Times New Roman" w:hAnsi="Times New Roman"/>
          <w:sz w:val="24"/>
          <w:szCs w:val="24"/>
        </w:rPr>
        <w:t xml:space="preserve">1120, </w:t>
      </w:r>
      <w:r w:rsidR="00E544BD" w:rsidRPr="00015F76">
        <w:rPr>
          <w:rFonts w:ascii="Times New Roman" w:hAnsi="Times New Roman"/>
          <w:sz w:val="24"/>
          <w:szCs w:val="24"/>
        </w:rPr>
        <w:t>2201, 2202</w:t>
      </w:r>
      <w:r w:rsidR="00E544BD">
        <w:rPr>
          <w:rFonts w:ascii="Times New Roman" w:hAnsi="Times New Roman"/>
          <w:sz w:val="24"/>
          <w:szCs w:val="24"/>
        </w:rPr>
        <w:t xml:space="preserve">; all but 1103 and 1120 </w:t>
      </w:r>
      <w:r w:rsidR="00571F69">
        <w:rPr>
          <w:rFonts w:ascii="Times New Roman" w:hAnsi="Times New Roman"/>
          <w:sz w:val="24"/>
          <w:szCs w:val="24"/>
        </w:rPr>
        <w:t xml:space="preserve">don’t </w:t>
      </w:r>
      <w:r w:rsidR="00E544BD">
        <w:rPr>
          <w:rFonts w:ascii="Times New Roman" w:hAnsi="Times New Roman"/>
          <w:sz w:val="24"/>
          <w:szCs w:val="24"/>
        </w:rPr>
        <w:t xml:space="preserve">count towards the OTM, Arts &amp; </w:t>
      </w:r>
      <w:r w:rsidR="00E544BD" w:rsidRPr="001C7D12">
        <w:rPr>
          <w:rFonts w:ascii="Times New Roman" w:hAnsi="Times New Roman"/>
          <w:sz w:val="24"/>
          <w:szCs w:val="24"/>
        </w:rPr>
        <w:t xml:space="preserve">Humanities requirement. </w:t>
      </w:r>
      <w:r w:rsidR="002F540D">
        <w:rPr>
          <w:rFonts w:ascii="Times New Roman" w:hAnsi="Times New Roman"/>
          <w:sz w:val="24"/>
          <w:szCs w:val="24"/>
        </w:rPr>
        <w:t>Thus 1103 and 1120 are in danger of being discontinued.</w:t>
      </w:r>
    </w:p>
    <w:p w14:paraId="44667DE3" w14:textId="77777777" w:rsidR="00E544BD" w:rsidRDefault="00E544BD" w:rsidP="00D43526">
      <w:pPr>
        <w:pStyle w:val="NormalWeb"/>
        <w:spacing w:line="360" w:lineRule="auto"/>
        <w:ind w:firstLine="720"/>
        <w:contextualSpacing/>
        <w:rPr>
          <w:rFonts w:ascii="Times New Roman" w:hAnsi="Times New Roman"/>
          <w:sz w:val="24"/>
          <w:szCs w:val="24"/>
        </w:rPr>
      </w:pPr>
    </w:p>
    <w:p w14:paraId="2AF8553E" w14:textId="3CD0030E" w:rsidR="00E544BD" w:rsidRDefault="00E544BD" w:rsidP="00D43526">
      <w:pPr>
        <w:pStyle w:val="NormalWeb"/>
        <w:spacing w:line="360" w:lineRule="auto"/>
        <w:contextualSpacing/>
        <w:rPr>
          <w:rFonts w:ascii="Times New Roman" w:hAnsi="Times New Roman"/>
          <w:sz w:val="24"/>
          <w:szCs w:val="24"/>
        </w:rPr>
      </w:pPr>
      <w:r w:rsidRPr="001C7D12">
        <w:rPr>
          <w:rFonts w:ascii="Times New Roman" w:hAnsi="Times New Roman"/>
          <w:sz w:val="24"/>
          <w:szCs w:val="24"/>
        </w:rPr>
        <w:t>If the students feels that this major is right</w:t>
      </w:r>
      <w:r w:rsidR="002F540D">
        <w:rPr>
          <w:rFonts w:ascii="Times New Roman" w:hAnsi="Times New Roman"/>
          <w:sz w:val="24"/>
          <w:szCs w:val="24"/>
        </w:rPr>
        <w:t xml:space="preserve"> for them, then a MAP</w:t>
      </w:r>
      <w:r w:rsidRPr="001C7D12">
        <w:rPr>
          <w:rFonts w:ascii="Times New Roman" w:hAnsi="Times New Roman"/>
          <w:sz w:val="24"/>
          <w:szCs w:val="24"/>
        </w:rPr>
        <w:t xml:space="preserve"> is created </w:t>
      </w:r>
      <w:r w:rsidR="002F540D">
        <w:rPr>
          <w:rFonts w:ascii="Times New Roman" w:hAnsi="Times New Roman"/>
          <w:sz w:val="24"/>
          <w:szCs w:val="24"/>
        </w:rPr>
        <w:t xml:space="preserve">by the chair </w:t>
      </w:r>
      <w:r w:rsidRPr="001C7D12">
        <w:rPr>
          <w:rFonts w:ascii="Times New Roman" w:hAnsi="Times New Roman"/>
          <w:sz w:val="24"/>
          <w:szCs w:val="24"/>
        </w:rPr>
        <w:t>in order to show the student what their academic path would be in obtaining the theatre degree</w:t>
      </w:r>
      <w:r>
        <w:rPr>
          <w:rFonts w:ascii="Times New Roman" w:hAnsi="Times New Roman"/>
          <w:sz w:val="24"/>
          <w:szCs w:val="24"/>
        </w:rPr>
        <w:t xml:space="preserve"> at Sinclair</w:t>
      </w:r>
      <w:r w:rsidRPr="001C7D12">
        <w:rPr>
          <w:rFonts w:ascii="Times New Roman" w:hAnsi="Times New Roman"/>
          <w:sz w:val="24"/>
          <w:szCs w:val="24"/>
        </w:rPr>
        <w:t xml:space="preserve">. </w:t>
      </w:r>
      <w:r>
        <w:rPr>
          <w:rFonts w:ascii="Times New Roman" w:hAnsi="Times New Roman"/>
          <w:sz w:val="24"/>
          <w:szCs w:val="24"/>
        </w:rPr>
        <w:t>T</w:t>
      </w:r>
      <w:r w:rsidRPr="001C7D12">
        <w:rPr>
          <w:rFonts w:ascii="Times New Roman" w:hAnsi="Times New Roman"/>
          <w:sz w:val="24"/>
          <w:szCs w:val="24"/>
        </w:rPr>
        <w:t xml:space="preserve">he department and the academic advising office work together to keep theatre majors on track. </w:t>
      </w:r>
      <w:r>
        <w:rPr>
          <w:rFonts w:ascii="Times New Roman" w:hAnsi="Times New Roman"/>
          <w:sz w:val="24"/>
          <w:szCs w:val="24"/>
        </w:rPr>
        <w:t>Mandatory a</w:t>
      </w:r>
      <w:r w:rsidRPr="001C7D12">
        <w:rPr>
          <w:rFonts w:ascii="Times New Roman" w:hAnsi="Times New Roman"/>
          <w:sz w:val="24"/>
          <w:szCs w:val="24"/>
        </w:rPr>
        <w:t>cademic advising continue</w:t>
      </w:r>
      <w:r>
        <w:rPr>
          <w:rFonts w:ascii="Times New Roman" w:hAnsi="Times New Roman"/>
          <w:sz w:val="24"/>
          <w:szCs w:val="24"/>
        </w:rPr>
        <w:t>s for every registration period</w:t>
      </w:r>
      <w:r w:rsidRPr="001C7D12">
        <w:rPr>
          <w:rFonts w:ascii="Times New Roman" w:hAnsi="Times New Roman"/>
          <w:sz w:val="24"/>
          <w:szCs w:val="24"/>
        </w:rPr>
        <w:t>. In this process the students are required to see their department advisor before registering for classes (Gina Neuerer and Kimberly Borst are the department advisors). In order to enforce mandatory advising and to ensure potential theatre majors don’t sign up for classes before meeting with the chair, almost all theatre major classes require department permission in order to register</w:t>
      </w:r>
      <w:r>
        <w:rPr>
          <w:rFonts w:ascii="Times New Roman" w:hAnsi="Times New Roman"/>
          <w:sz w:val="24"/>
          <w:szCs w:val="24"/>
        </w:rPr>
        <w:t xml:space="preserve">. Only </w:t>
      </w:r>
      <w:r w:rsidRPr="001C7D12">
        <w:rPr>
          <w:rFonts w:ascii="Times New Roman" w:hAnsi="Times New Roman"/>
          <w:sz w:val="24"/>
          <w:szCs w:val="24"/>
        </w:rPr>
        <w:t xml:space="preserve">the chair or </w:t>
      </w:r>
      <w:r>
        <w:rPr>
          <w:rFonts w:ascii="Times New Roman" w:hAnsi="Times New Roman"/>
          <w:sz w:val="24"/>
          <w:szCs w:val="24"/>
        </w:rPr>
        <w:t xml:space="preserve">the full-time faculty </w:t>
      </w:r>
      <w:r w:rsidR="003642F7">
        <w:rPr>
          <w:rFonts w:ascii="Times New Roman" w:hAnsi="Times New Roman"/>
          <w:sz w:val="24"/>
          <w:szCs w:val="24"/>
        </w:rPr>
        <w:t xml:space="preserve">member </w:t>
      </w:r>
      <w:r>
        <w:rPr>
          <w:rFonts w:ascii="Times New Roman" w:hAnsi="Times New Roman"/>
          <w:sz w:val="24"/>
          <w:szCs w:val="24"/>
        </w:rPr>
        <w:t>in performance can</w:t>
      </w:r>
      <w:r w:rsidRPr="001C7D12">
        <w:rPr>
          <w:rFonts w:ascii="Times New Roman" w:hAnsi="Times New Roman"/>
          <w:sz w:val="24"/>
          <w:szCs w:val="24"/>
        </w:rPr>
        <w:t xml:space="preserve"> give permission</w:t>
      </w:r>
      <w:r>
        <w:rPr>
          <w:rFonts w:ascii="Times New Roman" w:hAnsi="Times New Roman"/>
          <w:sz w:val="24"/>
          <w:szCs w:val="24"/>
        </w:rPr>
        <w:t xml:space="preserve"> for these classes</w:t>
      </w:r>
      <w:r w:rsidRPr="001C7D12">
        <w:rPr>
          <w:rFonts w:ascii="Times New Roman" w:hAnsi="Times New Roman"/>
          <w:sz w:val="24"/>
          <w:szCs w:val="24"/>
        </w:rPr>
        <w:t>. The only theatre classes that don’t require department permission are: THE1101 Theatre Appreciation</w:t>
      </w:r>
      <w:r w:rsidR="003642F7">
        <w:rPr>
          <w:rFonts w:ascii="Times New Roman" w:hAnsi="Times New Roman"/>
          <w:sz w:val="24"/>
          <w:szCs w:val="24"/>
        </w:rPr>
        <w:t xml:space="preserve"> (a non-major class)</w:t>
      </w:r>
      <w:r w:rsidRPr="001C7D12">
        <w:rPr>
          <w:rFonts w:ascii="Times New Roman" w:hAnsi="Times New Roman"/>
          <w:sz w:val="24"/>
          <w:szCs w:val="24"/>
        </w:rPr>
        <w:t>, THE1103 Acting for the Non-Major, THE1118 Costume Fundamentals (this class serves the community and often has more non-majors than majors), THE1120 Stage Make-up (this is not a major required course and again serves the community as a common area of interest), THE2201 Theatre History I and THE2202 Theatre History II.</w:t>
      </w:r>
    </w:p>
    <w:p w14:paraId="21BFA91B" w14:textId="5E6FD80F" w:rsidR="00B37058" w:rsidRPr="001C7D12" w:rsidRDefault="00B37058" w:rsidP="00D43526">
      <w:pPr>
        <w:pStyle w:val="NormalWeb"/>
        <w:spacing w:line="360" w:lineRule="auto"/>
        <w:contextualSpacing/>
        <w:rPr>
          <w:rFonts w:ascii="Times New Roman" w:hAnsi="Times New Roman"/>
          <w:color w:val="auto"/>
          <w:sz w:val="24"/>
          <w:szCs w:val="24"/>
        </w:rPr>
      </w:pPr>
      <w:r>
        <w:rPr>
          <w:rFonts w:ascii="Times New Roman" w:hAnsi="Times New Roman"/>
          <w:sz w:val="24"/>
          <w:szCs w:val="24"/>
        </w:rPr>
        <w:lastRenderedPageBreak/>
        <w:t xml:space="preserve">This process, along with </w:t>
      </w:r>
      <w:r w:rsidR="00C97759">
        <w:rPr>
          <w:rFonts w:ascii="Times New Roman" w:hAnsi="Times New Roman"/>
          <w:sz w:val="24"/>
          <w:szCs w:val="24"/>
        </w:rPr>
        <w:t>department constantly communicating</w:t>
      </w:r>
      <w:r>
        <w:rPr>
          <w:rFonts w:ascii="Times New Roman" w:hAnsi="Times New Roman"/>
          <w:sz w:val="24"/>
          <w:szCs w:val="24"/>
        </w:rPr>
        <w:t xml:space="preserve"> the idea of degree completion to the students, has had a direct impact on the increase in degrees awarded.</w:t>
      </w:r>
    </w:p>
    <w:p w14:paraId="4EFBFE31" w14:textId="6CC5D0C9" w:rsidR="004C52FC" w:rsidRPr="0018014B" w:rsidRDefault="004C52FC" w:rsidP="00D43526">
      <w:pPr>
        <w:spacing w:after="200"/>
        <w:rPr>
          <w:color w:val="000000" w:themeColor="text1"/>
        </w:rPr>
      </w:pPr>
      <w:r w:rsidRPr="0018014B">
        <w:rPr>
          <w:color w:val="000000" w:themeColor="text1"/>
        </w:rPr>
        <w:br w:type="page"/>
      </w:r>
    </w:p>
    <w:p w14:paraId="34537671" w14:textId="77777777"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14:paraId="00F3A253" w14:textId="77777777" w:rsidR="00585766" w:rsidRDefault="00585766" w:rsidP="00585766">
      <w:pPr>
        <w:rPr>
          <w:rFonts w:ascii="Arial" w:hAnsi="Arial" w:cs="Arial"/>
          <w:color w:val="000000" w:themeColor="text1"/>
        </w:rPr>
      </w:pPr>
    </w:p>
    <w:p w14:paraId="1DA6F264" w14:textId="194B4930" w:rsidR="00637591" w:rsidRDefault="00883104" w:rsidP="00585766">
      <w:pPr>
        <w:rPr>
          <w:rFonts w:ascii="Arial" w:hAnsi="Arial" w:cs="Arial"/>
          <w:color w:val="000000" w:themeColor="text1"/>
        </w:rPr>
      </w:pPr>
      <w:r>
        <w:rPr>
          <w:noProof/>
        </w:rPr>
        <w:drawing>
          <wp:inline distT="0" distB="0" distL="0" distR="0" wp14:anchorId="78436EA1" wp14:editId="710FA205">
            <wp:extent cx="5943600" cy="2438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ADAE90" w14:textId="77777777" w:rsidR="00C50A91" w:rsidRDefault="00C50A91" w:rsidP="00585766">
      <w:pPr>
        <w:rPr>
          <w:rFonts w:ascii="Arial" w:hAnsi="Arial" w:cs="Arial"/>
          <w:color w:val="000000" w:themeColor="text1"/>
        </w:rPr>
      </w:pPr>
    </w:p>
    <w:p w14:paraId="2A0E8D30" w14:textId="77777777" w:rsidR="00C50A91" w:rsidRPr="00585766" w:rsidRDefault="00C50A91" w:rsidP="00585766">
      <w:pPr>
        <w:rPr>
          <w:rFonts w:ascii="Arial" w:hAnsi="Arial" w:cs="Arial"/>
          <w:color w:val="000000" w:themeColor="text1"/>
        </w:rPr>
      </w:pPr>
    </w:p>
    <w:p w14:paraId="0B4B357B" w14:textId="77777777" w:rsidR="00585766" w:rsidRPr="00585766" w:rsidRDefault="00585766" w:rsidP="00585766">
      <w:pPr>
        <w:ind w:left="720"/>
        <w:rPr>
          <w:rFonts w:ascii="Arial" w:hAnsi="Arial" w:cs="Arial"/>
          <w:color w:val="000000" w:themeColor="text1"/>
        </w:rPr>
      </w:pPr>
    </w:p>
    <w:p w14:paraId="5F4F7301" w14:textId="77777777"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14:paraId="05FBE238" w14:textId="77777777" w:rsidR="00CC582B" w:rsidRPr="008258DA" w:rsidRDefault="00CC582B" w:rsidP="008258DA">
      <w:pPr>
        <w:rPr>
          <w:rFonts w:ascii="Arial" w:hAnsi="Arial" w:cs="Arial"/>
          <w:color w:val="000000" w:themeColor="text1"/>
        </w:rPr>
      </w:pPr>
    </w:p>
    <w:p w14:paraId="4EDAC561" w14:textId="53BE6FDE" w:rsidR="00E93633" w:rsidRPr="00E93633" w:rsidRDefault="001B5442" w:rsidP="00E93633">
      <w:pPr>
        <w:spacing w:line="360" w:lineRule="auto"/>
        <w:rPr>
          <w:color w:val="000000" w:themeColor="text1"/>
        </w:rPr>
      </w:pPr>
      <w:r w:rsidRPr="00E93633">
        <w:rPr>
          <w:color w:val="000000" w:themeColor="text1"/>
        </w:rPr>
        <w:t>The course success rates for the department remain higher than the LCS division, as well as the college.</w:t>
      </w:r>
      <w:r w:rsidR="009250B0" w:rsidRPr="00E93633">
        <w:rPr>
          <w:color w:val="000000" w:themeColor="text1"/>
        </w:rPr>
        <w:t xml:space="preserve"> </w:t>
      </w:r>
      <w:r w:rsidR="00E93633" w:rsidRPr="00E93633">
        <w:rPr>
          <w:color w:val="000000" w:themeColor="text1"/>
        </w:rPr>
        <w:t xml:space="preserve">Due to the nature of the theatre major, we have a connection to our students that </w:t>
      </w:r>
      <w:r w:rsidR="00E93633">
        <w:rPr>
          <w:color w:val="000000" w:themeColor="text1"/>
        </w:rPr>
        <w:t>requires</w:t>
      </w:r>
      <w:r w:rsidR="00E93633" w:rsidRPr="00E93633">
        <w:rPr>
          <w:color w:val="000000" w:themeColor="text1"/>
        </w:rPr>
        <w:t xml:space="preserve"> constant hands-on and individual interactions both in and out of the classroom. This type of interaction truly helps with student engagement in both theatre production and classroom work, which certainly helps the success rate.</w:t>
      </w:r>
      <w:r w:rsidR="00E93633">
        <w:rPr>
          <w:color w:val="000000" w:themeColor="text1"/>
        </w:rPr>
        <w:t xml:space="preserve"> </w:t>
      </w:r>
    </w:p>
    <w:p w14:paraId="6FF10C58" w14:textId="4275E4F5" w:rsidR="00D43526" w:rsidRPr="00E93633" w:rsidRDefault="009250B0" w:rsidP="00E93633">
      <w:pPr>
        <w:spacing w:line="360" w:lineRule="auto"/>
        <w:rPr>
          <w:color w:val="000000" w:themeColor="text1"/>
        </w:rPr>
      </w:pPr>
      <w:r w:rsidRPr="00E93633">
        <w:rPr>
          <w:color w:val="000000" w:themeColor="text1"/>
        </w:rPr>
        <w:t>However, this overall success rate has dropped 9.2% over the seven year study in the chart above.</w:t>
      </w:r>
      <w:r w:rsidR="00D43526" w:rsidRPr="00E93633">
        <w:rPr>
          <w:color w:val="000000" w:themeColor="text1"/>
        </w:rPr>
        <w:t xml:space="preserve"> Thu</w:t>
      </w:r>
      <w:r w:rsidRPr="00E93633">
        <w:rPr>
          <w:color w:val="000000" w:themeColor="text1"/>
        </w:rPr>
        <w:t xml:space="preserve">s </w:t>
      </w:r>
      <w:r w:rsidR="00D43526" w:rsidRPr="00E93633">
        <w:rPr>
          <w:color w:val="000000" w:themeColor="text1"/>
        </w:rPr>
        <w:t>as the</w:t>
      </w:r>
      <w:r w:rsidRPr="00E93633">
        <w:rPr>
          <w:color w:val="000000" w:themeColor="text1"/>
        </w:rPr>
        <w:t xml:space="preserve"> numb</w:t>
      </w:r>
      <w:r w:rsidR="00D43526" w:rsidRPr="00E93633">
        <w:rPr>
          <w:color w:val="000000" w:themeColor="text1"/>
        </w:rPr>
        <w:t xml:space="preserve">er of degrees awarded have gone up, the class success rates have gone down. </w:t>
      </w:r>
    </w:p>
    <w:p w14:paraId="39BDD3DF" w14:textId="77777777" w:rsidR="002F361B" w:rsidRDefault="002F361B" w:rsidP="002F361B">
      <w:pPr>
        <w:spacing w:line="360" w:lineRule="auto"/>
        <w:rPr>
          <w:color w:val="000000" w:themeColor="text1"/>
        </w:rPr>
      </w:pPr>
    </w:p>
    <w:p w14:paraId="65EA0D3E" w14:textId="1F11FF36" w:rsidR="003F4224" w:rsidRDefault="002F361B" w:rsidP="002F361B">
      <w:pPr>
        <w:spacing w:after="200" w:line="360" w:lineRule="auto"/>
        <w:rPr>
          <w:color w:val="000000" w:themeColor="text1"/>
        </w:rPr>
      </w:pPr>
      <w:r>
        <w:rPr>
          <w:color w:val="000000" w:themeColor="text1"/>
        </w:rPr>
        <w:t>The number of degrees awarded is going up as the department is able to pay more attention and have an opportunity to</w:t>
      </w:r>
      <w:r w:rsidR="003F4224">
        <w:rPr>
          <w:color w:val="000000" w:themeColor="text1"/>
        </w:rPr>
        <w:t xml:space="preserve"> meet with potential majors;</w:t>
      </w:r>
      <w:r w:rsidR="009250B0">
        <w:rPr>
          <w:color w:val="000000" w:themeColor="text1"/>
        </w:rPr>
        <w:t xml:space="preserve"> so students are starting out more focuse</w:t>
      </w:r>
      <w:r>
        <w:rPr>
          <w:color w:val="000000" w:themeColor="text1"/>
        </w:rPr>
        <w:t>d a</w:t>
      </w:r>
      <w:r w:rsidR="003F4224">
        <w:rPr>
          <w:color w:val="000000" w:themeColor="text1"/>
        </w:rPr>
        <w:t>nd prepared for the major. T</w:t>
      </w:r>
      <w:r>
        <w:rPr>
          <w:color w:val="000000" w:themeColor="text1"/>
        </w:rPr>
        <w:t xml:space="preserve">hen </w:t>
      </w:r>
      <w:r w:rsidR="003F4224">
        <w:rPr>
          <w:color w:val="000000" w:themeColor="text1"/>
        </w:rPr>
        <w:t>through continued</w:t>
      </w:r>
      <w:r w:rsidR="002A5946">
        <w:rPr>
          <w:color w:val="000000" w:themeColor="text1"/>
        </w:rPr>
        <w:t xml:space="preserve">, </w:t>
      </w:r>
      <w:r w:rsidR="001B325C">
        <w:rPr>
          <w:color w:val="000000" w:themeColor="text1"/>
        </w:rPr>
        <w:t>enforced</w:t>
      </w:r>
      <w:r w:rsidR="002A5946">
        <w:rPr>
          <w:color w:val="000000" w:themeColor="text1"/>
        </w:rPr>
        <w:t>,</w:t>
      </w:r>
      <w:r w:rsidR="003F4224">
        <w:rPr>
          <w:color w:val="000000" w:themeColor="text1"/>
        </w:rPr>
        <w:t xml:space="preserve"> mandatory advising, </w:t>
      </w:r>
      <w:r>
        <w:rPr>
          <w:color w:val="000000" w:themeColor="text1"/>
        </w:rPr>
        <w:t>there is</w:t>
      </w:r>
      <w:r w:rsidR="009250B0">
        <w:rPr>
          <w:color w:val="000000" w:themeColor="text1"/>
        </w:rPr>
        <w:t xml:space="preserve"> more </w:t>
      </w:r>
      <w:r>
        <w:rPr>
          <w:color w:val="000000" w:themeColor="text1"/>
        </w:rPr>
        <w:t>con</w:t>
      </w:r>
      <w:r w:rsidR="003F4224">
        <w:rPr>
          <w:color w:val="000000" w:themeColor="text1"/>
        </w:rPr>
        <w:t>trol over the classes students take each semester</w:t>
      </w:r>
      <w:r>
        <w:rPr>
          <w:color w:val="000000" w:themeColor="text1"/>
        </w:rPr>
        <w:t xml:space="preserve">. </w:t>
      </w:r>
      <w:bookmarkStart w:id="0" w:name="_GoBack"/>
      <w:bookmarkEnd w:id="0"/>
    </w:p>
    <w:p w14:paraId="37AAB4BC" w14:textId="5D65D610" w:rsidR="00FD4F51" w:rsidRDefault="002F361B" w:rsidP="007F2049">
      <w:pPr>
        <w:spacing w:after="200" w:line="360" w:lineRule="auto"/>
        <w:rPr>
          <w:color w:val="000000" w:themeColor="text1"/>
        </w:rPr>
      </w:pPr>
      <w:r>
        <w:rPr>
          <w:color w:val="000000" w:themeColor="text1"/>
        </w:rPr>
        <w:t>The department used to have a majority of students</w:t>
      </w:r>
      <w:r w:rsidR="009250B0">
        <w:rPr>
          <w:color w:val="000000" w:themeColor="text1"/>
        </w:rPr>
        <w:t xml:space="preserve"> ‘hanging around’ </w:t>
      </w:r>
      <w:r w:rsidR="003F4224">
        <w:rPr>
          <w:color w:val="000000" w:themeColor="text1"/>
        </w:rPr>
        <w:t xml:space="preserve">picking and choosing the classes they wanted to take and when they wanted to take them. Even with the first start of </w:t>
      </w:r>
      <w:r w:rsidR="003F4224">
        <w:rPr>
          <w:color w:val="000000" w:themeColor="text1"/>
        </w:rPr>
        <w:lastRenderedPageBreak/>
        <w:t>mandatory advising 10 years ago, there was nothing to ‘force’ the advising that was being done; students would leave the advising session and still take what they wanted</w:t>
      </w:r>
      <w:r w:rsidR="007F2049">
        <w:rPr>
          <w:color w:val="000000" w:themeColor="text1"/>
        </w:rPr>
        <w:t>,</w:t>
      </w:r>
      <w:r w:rsidR="003F4224">
        <w:rPr>
          <w:color w:val="000000" w:themeColor="text1"/>
        </w:rPr>
        <w:t xml:space="preserve"> as there was nothing in place to enforce the advising. So, students were still not getting around to taking their general education classes.</w:t>
      </w:r>
      <w:r w:rsidR="007F2049">
        <w:rPr>
          <w:color w:val="000000" w:themeColor="text1"/>
        </w:rPr>
        <w:t xml:space="preserve"> In this scenario students were not graduating, but they were doing well in their theatre classes because they were not balancing the work of general education classes. This situation also did not allow them to be well prepared for successful transfer.</w:t>
      </w:r>
      <w:r w:rsidR="00191E33">
        <w:rPr>
          <w:color w:val="000000" w:themeColor="text1"/>
        </w:rPr>
        <w:t xml:space="preserve"> Thus the class success rates have steadily decreased as the students are required to balance general education classes with theatre classes. Additionally, in both the classroom and production work, the department has raised standards and increased the amount of work to reflect the profession.</w:t>
      </w:r>
    </w:p>
    <w:p w14:paraId="2AE46100" w14:textId="4C785AE6" w:rsidR="00FD4F51" w:rsidRPr="00626B98" w:rsidRDefault="002A5946" w:rsidP="00626B98">
      <w:pPr>
        <w:spacing w:after="200" w:line="360" w:lineRule="auto"/>
      </w:pPr>
      <w:r w:rsidRPr="000742B3">
        <w:rPr>
          <w:color w:val="000000" w:themeColor="text1"/>
        </w:rPr>
        <w:t xml:space="preserve">The department has begun procedures in an attempt to get the success rates back on the rise. </w:t>
      </w:r>
      <w:r w:rsidR="000742B3">
        <w:t>The department has</w:t>
      </w:r>
      <w:r w:rsidR="000742B3" w:rsidRPr="000742B3">
        <w:t xml:space="preserve"> developed our own </w:t>
      </w:r>
      <w:r w:rsidR="000742B3">
        <w:t>‘</w:t>
      </w:r>
      <w:r w:rsidR="000742B3" w:rsidRPr="000742B3">
        <w:t>Early Alert System</w:t>
      </w:r>
      <w:r w:rsidR="000742B3">
        <w:t>’</w:t>
      </w:r>
      <w:r w:rsidR="000742B3" w:rsidRPr="000742B3">
        <w:t xml:space="preserve">, which we call Constant Intervention. Right from the start of the semester, </w:t>
      </w:r>
      <w:r w:rsidR="00626B98">
        <w:t>the chair is</w:t>
      </w:r>
      <w:r w:rsidR="000742B3" w:rsidRPr="000742B3">
        <w:t xml:space="preserve"> reminding the students of our policies. During the first week of the semester </w:t>
      </w:r>
      <w:r w:rsidR="00626B98">
        <w:t>the chair will</w:t>
      </w:r>
      <w:r w:rsidR="000742B3" w:rsidRPr="000742B3">
        <w:t xml:space="preserve"> visit every thea</w:t>
      </w:r>
      <w:r w:rsidR="00626B98">
        <w:t>tre class to w</w:t>
      </w:r>
      <w:r w:rsidR="000742B3" w:rsidRPr="000742B3">
        <w:t xml:space="preserve">elcome them and remind them of our policies and inform them </w:t>
      </w:r>
      <w:r w:rsidR="00626B98">
        <w:t>of upcoming department events. Additionally, all faculty and staff</w:t>
      </w:r>
      <w:r w:rsidR="000742B3" w:rsidRPr="000742B3">
        <w:t xml:space="preserve"> constantly try to stay visible to the students</w:t>
      </w:r>
      <w:r w:rsidR="00626B98">
        <w:t>, especially at the start of each semester. Then starting at the</w:t>
      </w:r>
      <w:r w:rsidR="000742B3" w:rsidRPr="000742B3">
        <w:t xml:space="preserve"> f</w:t>
      </w:r>
      <w:r w:rsidR="00626B98">
        <w:t>irst department meeting each semester, part of the agenda is to have</w:t>
      </w:r>
      <w:r w:rsidR="000742B3" w:rsidRPr="000742B3">
        <w:t xml:space="preserve"> conversations about the students. We identify students who seem to need</w:t>
      </w:r>
      <w:r w:rsidR="00626B98">
        <w:t xml:space="preserve"> extra help early on, and then the chair will</w:t>
      </w:r>
      <w:r w:rsidR="000742B3" w:rsidRPr="000742B3">
        <w:t xml:space="preserve"> pull them aside in a casual manner, to make sure they know they are getting off track and confirm they understand the expectations of being in the program and simply ask how can we help.</w:t>
      </w:r>
      <w:r w:rsidR="00626B98">
        <w:t xml:space="preserve"> This is also a clear example to the students that all faculty and staff know about their performance, no matter what class or production they are part of at that time.</w:t>
      </w:r>
      <w:r w:rsidR="000742B3" w:rsidRPr="000742B3">
        <w:t xml:space="preserve"> If the student is still</w:t>
      </w:r>
      <w:r w:rsidR="00626B98">
        <w:t xml:space="preserve"> struggling a few weeks later, the chair will make</w:t>
      </w:r>
      <w:r w:rsidR="000742B3" w:rsidRPr="000742B3">
        <w:t xml:space="preserve"> an appointment to more formally go over what we are seeing in their class and/or production work, and what they are going to need to d</w:t>
      </w:r>
      <w:r w:rsidR="00626B98">
        <w:t>o in order to get back on track.</w:t>
      </w:r>
      <w:r w:rsidR="000742B3" w:rsidRPr="000742B3">
        <w:t xml:space="preserve"> Sometimes they decide that the theatre major isn’t right for them after all, but often it becomes a session that helps the student get re-focused and set priorities.</w:t>
      </w:r>
    </w:p>
    <w:p w14:paraId="1B210010" w14:textId="77777777"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14:paraId="5C0C2ECB" w14:textId="77777777" w:rsidR="00CC582B" w:rsidRPr="008258DA" w:rsidRDefault="00CC582B" w:rsidP="008258DA">
      <w:pPr>
        <w:rPr>
          <w:rFonts w:ascii="Arial" w:hAnsi="Arial" w:cs="Arial"/>
          <w:color w:val="000000" w:themeColor="text1"/>
        </w:rPr>
      </w:pPr>
    </w:p>
    <w:p w14:paraId="18B7743E" w14:textId="77777777" w:rsidR="001A2E6B" w:rsidRDefault="001A2E6B" w:rsidP="001A2E6B">
      <w:pPr>
        <w:pStyle w:val="ListParagraph"/>
        <w:tabs>
          <w:tab w:val="left" w:pos="5040"/>
        </w:tabs>
        <w:ind w:left="0"/>
        <w:rPr>
          <w:rFonts w:ascii="Arial" w:hAnsi="Arial" w:cs="Arial"/>
          <w:color w:val="000000" w:themeColor="text1"/>
        </w:rPr>
      </w:pPr>
    </w:p>
    <w:p w14:paraId="50F32D16" w14:textId="77777777"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14:paraId="1C159889" w14:textId="77777777"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038976B2" w14:textId="77777777" w:rsidR="001D736E" w:rsidRPr="00CD2613" w:rsidRDefault="001D736E" w:rsidP="00CD2613">
      <w:pPr>
        <w:pStyle w:val="ListParagraph"/>
        <w:ind w:left="0"/>
        <w:rPr>
          <w:rFonts w:ascii="Arial" w:hAnsi="Arial" w:cs="Arial"/>
          <w:b/>
          <w:color w:val="000000" w:themeColor="text1"/>
          <w:u w:val="single"/>
        </w:rPr>
      </w:pPr>
    </w:p>
    <w:p w14:paraId="4B9B439C"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14:paraId="6A6FF006" w14:textId="77777777" w:rsidTr="001A2E6B">
        <w:trPr>
          <w:trHeight w:val="466"/>
        </w:trPr>
        <w:tc>
          <w:tcPr>
            <w:tcW w:w="3951" w:type="dxa"/>
          </w:tcPr>
          <w:p w14:paraId="1E7D9350" w14:textId="77777777"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14:paraId="52891D28"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14:paraId="7130711A" w14:textId="77777777"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14:paraId="286C37C9" w14:textId="77777777" w:rsidTr="001A2E6B">
        <w:trPr>
          <w:trHeight w:val="1399"/>
        </w:trPr>
        <w:tc>
          <w:tcPr>
            <w:tcW w:w="3951" w:type="dxa"/>
          </w:tcPr>
          <w:p w14:paraId="63580080" w14:textId="77777777" w:rsidR="003440D0" w:rsidRDefault="003440D0" w:rsidP="003440D0">
            <w:pPr>
              <w:rPr>
                <w:rFonts w:ascii="Arial" w:hAnsi="Arial" w:cs="Arial"/>
              </w:rPr>
            </w:pPr>
            <w:r>
              <w:rPr>
                <w:rFonts w:ascii="Arial" w:hAnsi="Arial" w:cs="Arial"/>
              </w:rPr>
              <w:t>One of our major goals to improve student learning is discussed in Section II, part C, Admissions Requirements. It dealt with guiding our students better at the beginning of their education.</w:t>
            </w:r>
          </w:p>
          <w:p w14:paraId="42182509" w14:textId="77777777" w:rsidR="001A2E6B" w:rsidRPr="0037786D" w:rsidRDefault="001A2E6B" w:rsidP="00225B53">
            <w:pPr>
              <w:spacing w:line="276" w:lineRule="auto"/>
              <w:rPr>
                <w:rFonts w:ascii="Arial" w:hAnsi="Arial" w:cs="Arial"/>
                <w:color w:val="000000" w:themeColor="text1"/>
              </w:rPr>
            </w:pPr>
          </w:p>
        </w:tc>
        <w:tc>
          <w:tcPr>
            <w:tcW w:w="2647" w:type="dxa"/>
          </w:tcPr>
          <w:p w14:paraId="3351B1BF" w14:textId="77777777" w:rsidR="001A2E6B" w:rsidRDefault="001A2E6B" w:rsidP="00637591">
            <w:pPr>
              <w:pStyle w:val="ListParagraph"/>
              <w:ind w:left="0"/>
              <w:rPr>
                <w:rFonts w:ascii="Arial" w:hAnsi="Arial" w:cs="Arial"/>
                <w:color w:val="000000" w:themeColor="text1"/>
              </w:rPr>
            </w:pPr>
          </w:p>
          <w:p w14:paraId="601CC04E" w14:textId="28884BE6"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68F8">
              <w:fldChar w:fldCharType="begin">
                <w:ffData>
                  <w:name w:val="Check1"/>
                  <w:enabled/>
                  <w:calcOnExit w:val="0"/>
                  <w:checkBox>
                    <w:sizeAuto/>
                    <w:default w:val="0"/>
                  </w:checkBox>
                </w:ffData>
              </w:fldChar>
            </w:r>
            <w:bookmarkStart w:id="1" w:name="Check1"/>
            <w:r w:rsidR="008768F8">
              <w:instrText xml:space="preserve"> FORMCHECKBOX </w:instrText>
            </w:r>
            <w:r w:rsidR="00866D1F">
              <w:fldChar w:fldCharType="separate"/>
            </w:r>
            <w:r w:rsidR="008768F8">
              <w:fldChar w:fldCharType="end"/>
            </w:r>
            <w:bookmarkEnd w:id="1"/>
          </w:p>
          <w:p w14:paraId="4A0A5AF5" w14:textId="77777777" w:rsidR="001A2E6B" w:rsidRDefault="001A2E6B" w:rsidP="00637591">
            <w:pPr>
              <w:pStyle w:val="ListParagraph"/>
              <w:ind w:left="0"/>
              <w:rPr>
                <w:rFonts w:ascii="Arial" w:hAnsi="Arial" w:cs="Arial"/>
                <w:color w:val="000000" w:themeColor="text1"/>
              </w:rPr>
            </w:pPr>
          </w:p>
          <w:p w14:paraId="0A50550E" w14:textId="68FA0772"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B0EDF">
              <w:fldChar w:fldCharType="begin">
                <w:ffData>
                  <w:name w:val=""/>
                  <w:enabled/>
                  <w:calcOnExit w:val="0"/>
                  <w:checkBox>
                    <w:sizeAuto/>
                    <w:default w:val="1"/>
                  </w:checkBox>
                </w:ffData>
              </w:fldChar>
            </w:r>
            <w:r w:rsidR="001B0EDF">
              <w:instrText xml:space="preserve"> FORMCHECKBOX </w:instrText>
            </w:r>
            <w:r w:rsidR="00866D1F">
              <w:fldChar w:fldCharType="separate"/>
            </w:r>
            <w:r w:rsidR="001B0EDF">
              <w:fldChar w:fldCharType="end"/>
            </w:r>
          </w:p>
          <w:p w14:paraId="46DBAAB7" w14:textId="77777777" w:rsidR="001A2E6B" w:rsidRDefault="001A2E6B" w:rsidP="00637591">
            <w:pPr>
              <w:pStyle w:val="ListParagraph"/>
              <w:ind w:left="0"/>
              <w:rPr>
                <w:rFonts w:ascii="Arial" w:hAnsi="Arial" w:cs="Arial"/>
                <w:color w:val="000000" w:themeColor="text1"/>
              </w:rPr>
            </w:pPr>
          </w:p>
          <w:p w14:paraId="743103E5" w14:textId="77777777"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66D1F">
              <w:fldChar w:fldCharType="separate"/>
            </w:r>
            <w:r w:rsidR="00F260DC">
              <w:fldChar w:fldCharType="end"/>
            </w:r>
          </w:p>
        </w:tc>
        <w:tc>
          <w:tcPr>
            <w:tcW w:w="6632" w:type="dxa"/>
          </w:tcPr>
          <w:p w14:paraId="176F6B18" w14:textId="0FD48BC0" w:rsidR="001A2E6B" w:rsidRDefault="001B0EDF" w:rsidP="008768F8">
            <w:r>
              <w:rPr>
                <w:rFonts w:ascii="Arial" w:hAnsi="Arial" w:cs="Arial"/>
                <w:b/>
                <w:color w:val="000000" w:themeColor="text1"/>
              </w:rPr>
              <w:t>This is complete in that the policy is in place to have all new majors first see the chair of the department for an advising session</w:t>
            </w:r>
            <w:r w:rsidR="008B4ACA">
              <w:rPr>
                <w:rFonts w:ascii="Arial" w:hAnsi="Arial" w:cs="Arial"/>
                <w:b/>
                <w:color w:val="000000" w:themeColor="text1"/>
              </w:rPr>
              <w:t>; this is set-up with academic advising to not advise new theatre majors, but to send them to the department. This w</w:t>
            </w:r>
            <w:r w:rsidR="00CA71D6">
              <w:rPr>
                <w:rFonts w:ascii="Arial" w:hAnsi="Arial" w:cs="Arial"/>
                <w:b/>
                <w:color w:val="000000" w:themeColor="text1"/>
              </w:rPr>
              <w:t>orked well going into fall 2013;</w:t>
            </w:r>
            <w:r w:rsidR="008B4ACA">
              <w:rPr>
                <w:rFonts w:ascii="Arial" w:hAnsi="Arial" w:cs="Arial"/>
                <w:b/>
                <w:color w:val="000000" w:themeColor="text1"/>
              </w:rPr>
              <w:t xml:space="preserve"> as almost all new majors were seen by the chair. There were 4 new majors who ‘fell through the crack’ going into fall 2013 and were not sent to the chair by academic advisors; all four were hindered in the start of their theatre studies and the department has done the best they can in getting these students back on track.  </w:t>
            </w:r>
          </w:p>
        </w:tc>
      </w:tr>
      <w:tr w:rsidR="001A2E6B" w14:paraId="0081DE11" w14:textId="77777777" w:rsidTr="001A2E6B">
        <w:trPr>
          <w:trHeight w:val="1399"/>
        </w:trPr>
        <w:tc>
          <w:tcPr>
            <w:tcW w:w="3951" w:type="dxa"/>
          </w:tcPr>
          <w:p w14:paraId="0129DEC4" w14:textId="701E51C2" w:rsidR="001A2E6B" w:rsidRPr="007207DD" w:rsidRDefault="003440D0" w:rsidP="007207DD">
            <w:pPr>
              <w:rPr>
                <w:rFonts w:ascii="Arial" w:hAnsi="Arial" w:cs="Arial"/>
              </w:rPr>
            </w:pPr>
            <w:r>
              <w:rPr>
                <w:rFonts w:ascii="Arial" w:hAnsi="Arial" w:cs="Arial"/>
              </w:rPr>
              <w:t xml:space="preserve">An important goal that affects student learning is our national accreditation. Currently we are Associate Members of the National Association of Schools of Theatre; this is a five-year membership, which is up for re-accreditation in the 2014-2015 year. </w:t>
            </w:r>
          </w:p>
        </w:tc>
        <w:tc>
          <w:tcPr>
            <w:tcW w:w="2647" w:type="dxa"/>
          </w:tcPr>
          <w:p w14:paraId="3E53C5A4" w14:textId="77777777" w:rsidR="001A2E6B" w:rsidRDefault="001A2E6B" w:rsidP="00637591">
            <w:pPr>
              <w:pStyle w:val="ListParagraph"/>
              <w:ind w:left="0"/>
              <w:rPr>
                <w:rFonts w:ascii="Arial" w:hAnsi="Arial" w:cs="Arial"/>
                <w:color w:val="000000" w:themeColor="text1"/>
              </w:rPr>
            </w:pPr>
          </w:p>
          <w:p w14:paraId="4E3962B8" w14:textId="46A10607"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In progress </w:t>
            </w:r>
            <w:r w:rsidR="008B7DDD">
              <w:fldChar w:fldCharType="begin">
                <w:ffData>
                  <w:name w:val=""/>
                  <w:enabled/>
                  <w:calcOnExit w:val="0"/>
                  <w:checkBox>
                    <w:sizeAuto/>
                    <w:default w:val="1"/>
                  </w:checkBox>
                </w:ffData>
              </w:fldChar>
            </w:r>
            <w:r w:rsidR="008B7DDD">
              <w:instrText xml:space="preserve"> FORMCHECKBOX </w:instrText>
            </w:r>
            <w:r w:rsidR="00866D1F">
              <w:fldChar w:fldCharType="separate"/>
            </w:r>
            <w:r w:rsidR="008B7DDD">
              <w:fldChar w:fldCharType="end"/>
            </w:r>
          </w:p>
          <w:p w14:paraId="0A8D14C6" w14:textId="77777777" w:rsidR="00FD4F51" w:rsidRDefault="00FD4F51" w:rsidP="00FD4F51">
            <w:pPr>
              <w:pStyle w:val="ListParagraph"/>
              <w:ind w:left="0"/>
              <w:rPr>
                <w:rFonts w:ascii="Arial" w:hAnsi="Arial" w:cs="Arial"/>
                <w:color w:val="000000" w:themeColor="text1"/>
              </w:rPr>
            </w:pPr>
          </w:p>
          <w:p w14:paraId="6162A0EE" w14:textId="7D3CB3F6"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0"/>
                  </w:checkBox>
                </w:ffData>
              </w:fldChar>
            </w:r>
            <w:r>
              <w:instrText xml:space="preserve"> FORMCHECKBOX </w:instrText>
            </w:r>
            <w:r w:rsidR="00866D1F">
              <w:fldChar w:fldCharType="separate"/>
            </w:r>
            <w:r>
              <w:fldChar w:fldCharType="end"/>
            </w:r>
          </w:p>
          <w:p w14:paraId="1FC4C2B9" w14:textId="77777777" w:rsidR="00FD4F51" w:rsidRDefault="00FD4F51" w:rsidP="00FD4F51">
            <w:pPr>
              <w:pStyle w:val="ListParagraph"/>
              <w:ind w:left="0"/>
              <w:rPr>
                <w:rFonts w:ascii="Arial" w:hAnsi="Arial" w:cs="Arial"/>
                <w:color w:val="000000" w:themeColor="text1"/>
              </w:rPr>
            </w:pPr>
          </w:p>
          <w:p w14:paraId="5A6EFB23" w14:textId="77777777" w:rsidR="00FD4F51" w:rsidRDefault="00FD4F51" w:rsidP="00FD4F5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p>
          <w:p w14:paraId="2678DBEE" w14:textId="7832C195" w:rsidR="001A2E6B" w:rsidRPr="0037786D" w:rsidRDefault="001A2E6B" w:rsidP="00637591">
            <w:pPr>
              <w:pStyle w:val="ListParagraph"/>
              <w:ind w:left="0"/>
              <w:rPr>
                <w:rFonts w:ascii="Arial" w:hAnsi="Arial" w:cs="Arial"/>
                <w:color w:val="000000" w:themeColor="text1"/>
              </w:rPr>
            </w:pPr>
          </w:p>
        </w:tc>
        <w:tc>
          <w:tcPr>
            <w:tcW w:w="6632" w:type="dxa"/>
          </w:tcPr>
          <w:p w14:paraId="059A036B" w14:textId="710EBF18" w:rsidR="001A2E6B" w:rsidRDefault="008B7DDD" w:rsidP="00423FAC">
            <w:r>
              <w:rPr>
                <w:rFonts w:ascii="Arial" w:hAnsi="Arial" w:cs="Arial"/>
                <w:b/>
                <w:color w:val="000000" w:themeColor="text1"/>
              </w:rPr>
              <w:t xml:space="preserve">The department has completed the process for re-accreditation by submitting the NAST self-study in February 2015 and hosting the site visitors in April 2015. Now the department </w:t>
            </w:r>
            <w:r w:rsidR="007207DD">
              <w:rPr>
                <w:rFonts w:ascii="Arial" w:hAnsi="Arial" w:cs="Arial"/>
                <w:b/>
                <w:color w:val="000000" w:themeColor="text1"/>
              </w:rPr>
              <w:t xml:space="preserve">is waiting to receive the report from NAST, which the department will then respond to and then a determination of </w:t>
            </w:r>
            <w:r w:rsidR="00EF3682">
              <w:rPr>
                <w:rFonts w:ascii="Arial" w:hAnsi="Arial" w:cs="Arial"/>
                <w:b/>
                <w:color w:val="000000" w:themeColor="text1"/>
              </w:rPr>
              <w:t xml:space="preserve">continued </w:t>
            </w:r>
            <w:r w:rsidR="007207DD">
              <w:rPr>
                <w:rFonts w:ascii="Arial" w:hAnsi="Arial" w:cs="Arial"/>
                <w:b/>
                <w:color w:val="000000" w:themeColor="text1"/>
              </w:rPr>
              <w:t>accreditation is made at the conference in March 2016.</w:t>
            </w:r>
          </w:p>
        </w:tc>
      </w:tr>
      <w:tr w:rsidR="001A2E6B" w14:paraId="3F0DB168" w14:textId="77777777" w:rsidTr="001A2E6B">
        <w:trPr>
          <w:trHeight w:val="1101"/>
        </w:trPr>
        <w:tc>
          <w:tcPr>
            <w:tcW w:w="3951" w:type="dxa"/>
          </w:tcPr>
          <w:p w14:paraId="1130DC83" w14:textId="77777777" w:rsidR="003440D0" w:rsidRDefault="003440D0" w:rsidP="003440D0">
            <w:pPr>
              <w:rPr>
                <w:rFonts w:ascii="Arial" w:hAnsi="Arial" w:cs="Arial"/>
              </w:rPr>
            </w:pPr>
            <w:r>
              <w:rPr>
                <w:rFonts w:ascii="Arial" w:hAnsi="Arial" w:cs="Arial"/>
              </w:rPr>
              <w:t xml:space="preserve">We plan to improve student learning by utilizing the black box space for both classroom use and additional performance opportunities for our students. Student learning will also increase </w:t>
            </w:r>
            <w:r>
              <w:rPr>
                <w:rFonts w:ascii="Arial" w:hAnsi="Arial" w:cs="Arial"/>
              </w:rPr>
              <w:lastRenderedPageBreak/>
              <w:t xml:space="preserve">as student actors, technicians and designers get the opportunity to learn about theatre production in a different type of theatre configuration (Theatre configuration deals with the different relationship/placement of audience and performer). Blair Hall Theatre is a proscenium configuration and the black box space can be arranged as any configuration and be changed for every performance, thus giving our students many more experiences. </w:t>
            </w:r>
          </w:p>
          <w:p w14:paraId="1A88591F" w14:textId="77777777" w:rsidR="001A2E6B" w:rsidRPr="0037786D" w:rsidRDefault="001A2E6B" w:rsidP="00225B53">
            <w:pPr>
              <w:spacing w:line="276" w:lineRule="auto"/>
              <w:rPr>
                <w:rFonts w:ascii="Arial" w:hAnsi="Arial" w:cs="Arial"/>
                <w:color w:val="000000" w:themeColor="text1"/>
              </w:rPr>
            </w:pPr>
          </w:p>
        </w:tc>
        <w:tc>
          <w:tcPr>
            <w:tcW w:w="2647" w:type="dxa"/>
          </w:tcPr>
          <w:p w14:paraId="7BCFBCD5" w14:textId="77777777" w:rsidR="001A2E6B" w:rsidRDefault="001A2E6B" w:rsidP="00637591">
            <w:pPr>
              <w:pStyle w:val="ListParagraph"/>
              <w:ind w:left="0"/>
              <w:rPr>
                <w:rFonts w:ascii="Arial" w:hAnsi="Arial" w:cs="Arial"/>
                <w:color w:val="000000" w:themeColor="text1"/>
              </w:rPr>
            </w:pPr>
          </w:p>
          <w:p w14:paraId="1372CEA3" w14:textId="77777777"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p>
          <w:p w14:paraId="366E0B26" w14:textId="77777777" w:rsidR="00FD4F51" w:rsidRDefault="00FD4F51" w:rsidP="00FD4F51">
            <w:pPr>
              <w:pStyle w:val="ListParagraph"/>
              <w:ind w:left="0"/>
              <w:rPr>
                <w:rFonts w:ascii="Arial" w:hAnsi="Arial" w:cs="Arial"/>
                <w:color w:val="000000" w:themeColor="text1"/>
              </w:rPr>
            </w:pPr>
          </w:p>
          <w:p w14:paraId="36AE72AB" w14:textId="78BC7DFC"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Completed </w:t>
            </w:r>
            <w:r w:rsidR="00321181">
              <w:fldChar w:fldCharType="begin">
                <w:ffData>
                  <w:name w:val=""/>
                  <w:enabled/>
                  <w:calcOnExit w:val="0"/>
                  <w:checkBox>
                    <w:sizeAuto/>
                    <w:default w:val="1"/>
                  </w:checkBox>
                </w:ffData>
              </w:fldChar>
            </w:r>
            <w:r w:rsidR="00321181">
              <w:instrText xml:space="preserve"> FORMCHECKBOX </w:instrText>
            </w:r>
            <w:r w:rsidR="00866D1F">
              <w:fldChar w:fldCharType="separate"/>
            </w:r>
            <w:r w:rsidR="00321181">
              <w:fldChar w:fldCharType="end"/>
            </w:r>
          </w:p>
          <w:p w14:paraId="5D71D6FF" w14:textId="77777777" w:rsidR="00FD4F51" w:rsidRDefault="00FD4F51" w:rsidP="00FD4F51">
            <w:pPr>
              <w:pStyle w:val="ListParagraph"/>
              <w:ind w:left="0"/>
              <w:rPr>
                <w:rFonts w:ascii="Arial" w:hAnsi="Arial" w:cs="Arial"/>
                <w:color w:val="000000" w:themeColor="text1"/>
              </w:rPr>
            </w:pPr>
          </w:p>
          <w:p w14:paraId="7351DC69" w14:textId="77777777" w:rsidR="00FD4F51" w:rsidRDefault="00FD4F51" w:rsidP="00FD4F51">
            <w:r>
              <w:rPr>
                <w:rFonts w:ascii="Arial" w:hAnsi="Arial" w:cs="Arial"/>
                <w:color w:val="000000" w:themeColor="text1"/>
              </w:rPr>
              <w:t xml:space="preserve">No longer applicable </w:t>
            </w:r>
            <w:r>
              <w:lastRenderedPageBreak/>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p>
          <w:p w14:paraId="4019B47D" w14:textId="2DE709E1" w:rsidR="001A2E6B" w:rsidRPr="0037786D" w:rsidRDefault="001A2E6B" w:rsidP="00637591">
            <w:pPr>
              <w:pStyle w:val="ListParagraph"/>
              <w:ind w:left="0"/>
              <w:rPr>
                <w:rFonts w:ascii="Arial" w:hAnsi="Arial" w:cs="Arial"/>
                <w:color w:val="000000" w:themeColor="text1"/>
              </w:rPr>
            </w:pPr>
          </w:p>
        </w:tc>
        <w:tc>
          <w:tcPr>
            <w:tcW w:w="6632" w:type="dxa"/>
          </w:tcPr>
          <w:p w14:paraId="723A1B96" w14:textId="5D9B51AD" w:rsidR="00321181" w:rsidRDefault="00321181" w:rsidP="00E07F67">
            <w:pPr>
              <w:rPr>
                <w:rFonts w:ascii="Arial" w:hAnsi="Arial" w:cs="Arial"/>
                <w:b/>
                <w:color w:val="000000" w:themeColor="text1"/>
              </w:rPr>
            </w:pPr>
            <w:r>
              <w:rPr>
                <w:rFonts w:ascii="Arial" w:hAnsi="Arial" w:cs="Arial"/>
                <w:b/>
                <w:color w:val="000000" w:themeColor="text1"/>
              </w:rPr>
              <w:lastRenderedPageBreak/>
              <w:t>Since opening the Black Box in November of 2013, the department has used the space</w:t>
            </w:r>
            <w:r w:rsidR="00AD3207">
              <w:rPr>
                <w:rFonts w:ascii="Arial" w:hAnsi="Arial" w:cs="Arial"/>
                <w:b/>
                <w:color w:val="000000" w:themeColor="text1"/>
              </w:rPr>
              <w:t xml:space="preserve"> for 4 main stage productions which utilized 3 different types of configurations. And these main stage productions had 8 student designers and 26 student actors (as well as many student technicians) who learned a great deal </w:t>
            </w:r>
            <w:r w:rsidR="00AD3207">
              <w:rPr>
                <w:rFonts w:ascii="Arial" w:hAnsi="Arial" w:cs="Arial"/>
                <w:b/>
                <w:color w:val="000000" w:themeColor="text1"/>
              </w:rPr>
              <w:lastRenderedPageBreak/>
              <w:t xml:space="preserve">about working in this small intimate space, in the variety of configurations. </w:t>
            </w:r>
          </w:p>
          <w:p w14:paraId="673B899E" w14:textId="0ED80751" w:rsidR="004111F9" w:rsidRDefault="004111F9" w:rsidP="00E07F67">
            <w:pPr>
              <w:rPr>
                <w:rFonts w:ascii="Arial" w:hAnsi="Arial" w:cs="Arial"/>
                <w:b/>
                <w:color w:val="000000" w:themeColor="text1"/>
              </w:rPr>
            </w:pPr>
            <w:r>
              <w:rPr>
                <w:rFonts w:ascii="Arial" w:hAnsi="Arial" w:cs="Arial"/>
                <w:b/>
                <w:color w:val="000000" w:themeColor="text1"/>
              </w:rPr>
              <w:t>As a classroom space, all but one dance class and one acting class are taught in this space, as well as the lab for the lighting fundamentals class.</w:t>
            </w:r>
          </w:p>
          <w:p w14:paraId="109D55D7" w14:textId="46BE5DD9" w:rsidR="004111F9" w:rsidRDefault="004111F9" w:rsidP="00E07F67">
            <w:pPr>
              <w:rPr>
                <w:rFonts w:ascii="Arial" w:hAnsi="Arial" w:cs="Arial"/>
                <w:b/>
                <w:color w:val="000000" w:themeColor="text1"/>
              </w:rPr>
            </w:pPr>
            <w:r>
              <w:rPr>
                <w:rFonts w:ascii="Arial" w:hAnsi="Arial" w:cs="Arial"/>
                <w:b/>
                <w:color w:val="000000" w:themeColor="text1"/>
              </w:rPr>
              <w:t>This space is also where all main stage auditions, call backs and rehearsals take place.</w:t>
            </w:r>
          </w:p>
          <w:p w14:paraId="352DF49B" w14:textId="33B36EF0" w:rsidR="001A2E6B" w:rsidRPr="004111F9" w:rsidRDefault="004111F9" w:rsidP="00E07F67">
            <w:pPr>
              <w:rPr>
                <w:rFonts w:ascii="Arial" w:hAnsi="Arial" w:cs="Arial"/>
                <w:b/>
                <w:color w:val="000000" w:themeColor="text1"/>
              </w:rPr>
            </w:pPr>
            <w:r>
              <w:rPr>
                <w:rFonts w:ascii="Arial" w:hAnsi="Arial" w:cs="Arial"/>
                <w:b/>
                <w:color w:val="000000" w:themeColor="text1"/>
              </w:rPr>
              <w:t>In the</w:t>
            </w:r>
            <w:r w:rsidR="00AD3207">
              <w:rPr>
                <w:rFonts w:ascii="Arial" w:hAnsi="Arial" w:cs="Arial"/>
                <w:b/>
                <w:color w:val="000000" w:themeColor="text1"/>
              </w:rPr>
              <w:t xml:space="preserve"> first year of the Black Box (2013-14) the department introduced the Mac Student Series</w:t>
            </w:r>
            <w:r>
              <w:rPr>
                <w:rFonts w:ascii="Arial" w:hAnsi="Arial" w:cs="Arial"/>
                <w:b/>
                <w:color w:val="000000" w:themeColor="text1"/>
              </w:rPr>
              <w:t>. This series is intended to encourage students to produce live performances on their own. They have to apply to use the space, the department votes to approve the application or not and also determine at what level the project will supported; as in how much of a budget there will be, if the department will purchase the rights to produce it and to what extent the project will be permitted to use stock materials and shop supplies. In this first year, there were only two Mac Student Series projects produced; one was at the end of the year and the other during the summer of 2014. Then this past year there were/are seven projects being produced. They were spread throughout the academic year, with two more currently being produced during the summer of 2015.</w:t>
            </w:r>
          </w:p>
        </w:tc>
      </w:tr>
    </w:tbl>
    <w:p w14:paraId="0B5BA71F" w14:textId="7EF2E168"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14:paraId="5626F68D" w14:textId="77777777"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14:paraId="283B560F" w14:textId="77777777" w:rsidTr="001A2E6B">
        <w:tc>
          <w:tcPr>
            <w:tcW w:w="3708" w:type="dxa"/>
          </w:tcPr>
          <w:p w14:paraId="2FCD5218" w14:textId="77777777"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14:paraId="72D33882"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14:paraId="2C2BD29B" w14:textId="77777777"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14:paraId="0D48880A" w14:textId="77777777" w:rsidTr="001A2E6B">
        <w:tc>
          <w:tcPr>
            <w:tcW w:w="3708" w:type="dxa"/>
          </w:tcPr>
          <w:p w14:paraId="07613773"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t>The department’s mission statement focuses solely on Theatre, but a substantial portion of the FTE generated in this department are from the Dance courses.   The mission statement should be modified to be inclusive of the Dance component of the program.  In addition, the program outcomes for the two Theatre degree programs are the program outcomes that are reported in the Annual Updates.  The department should find ways to ensure that there is assessment of program outcomes that are applicable to Dance also, otherwise Dance will be “invisible” to assessment in the department.  Perhaps the department could explore developing a set of outcomes for the Dance courses that are separate and distinct from the Theatre degree program outcomes, and that would allow for measurement of student learning across these courses.</w:t>
            </w:r>
          </w:p>
          <w:p w14:paraId="3798DA85" w14:textId="77777777" w:rsidR="001A2E6B" w:rsidRPr="00654C15" w:rsidRDefault="001A2E6B" w:rsidP="003E791C">
            <w:pPr>
              <w:pStyle w:val="ListParagraph"/>
              <w:ind w:left="0"/>
              <w:rPr>
                <w:rFonts w:ascii="Arial" w:hAnsi="Arial" w:cs="Arial"/>
                <w:color w:val="000000" w:themeColor="text1"/>
              </w:rPr>
            </w:pPr>
          </w:p>
        </w:tc>
        <w:tc>
          <w:tcPr>
            <w:tcW w:w="2700" w:type="dxa"/>
          </w:tcPr>
          <w:p w14:paraId="7E03EC71" w14:textId="77777777" w:rsidR="001A2E6B" w:rsidRDefault="001A2E6B" w:rsidP="00637591">
            <w:pPr>
              <w:pStyle w:val="ListParagraph"/>
              <w:ind w:left="0"/>
              <w:rPr>
                <w:rFonts w:ascii="Arial" w:hAnsi="Arial" w:cs="Arial"/>
                <w:color w:val="000000" w:themeColor="text1"/>
              </w:rPr>
            </w:pPr>
          </w:p>
          <w:p w14:paraId="4588ADFF" w14:textId="2266E737"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In progress </w:t>
            </w:r>
            <w:r w:rsidR="0094331C">
              <w:fldChar w:fldCharType="begin">
                <w:ffData>
                  <w:name w:val=""/>
                  <w:enabled/>
                  <w:calcOnExit w:val="0"/>
                  <w:checkBox>
                    <w:sizeAuto/>
                    <w:default w:val="1"/>
                  </w:checkBox>
                </w:ffData>
              </w:fldChar>
            </w:r>
            <w:r w:rsidR="0094331C">
              <w:instrText xml:space="preserve"> FORMCHECKBOX </w:instrText>
            </w:r>
            <w:r w:rsidR="00866D1F">
              <w:fldChar w:fldCharType="separate"/>
            </w:r>
            <w:r w:rsidR="0094331C">
              <w:fldChar w:fldCharType="end"/>
            </w:r>
          </w:p>
          <w:p w14:paraId="2787F9BD" w14:textId="77777777" w:rsidR="00FD4F51" w:rsidRDefault="00FD4F51" w:rsidP="00FD4F51">
            <w:pPr>
              <w:pStyle w:val="ListParagraph"/>
              <w:ind w:left="0"/>
              <w:rPr>
                <w:rFonts w:ascii="Arial" w:hAnsi="Arial" w:cs="Arial"/>
                <w:color w:val="000000" w:themeColor="text1"/>
              </w:rPr>
            </w:pPr>
          </w:p>
          <w:p w14:paraId="268482EE" w14:textId="67EA3F13"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Completed </w:t>
            </w:r>
            <w:r w:rsidR="0094331C">
              <w:fldChar w:fldCharType="begin">
                <w:ffData>
                  <w:name w:val=""/>
                  <w:enabled/>
                  <w:calcOnExit w:val="0"/>
                  <w:checkBox>
                    <w:sizeAuto/>
                    <w:default w:val="0"/>
                  </w:checkBox>
                </w:ffData>
              </w:fldChar>
            </w:r>
            <w:r w:rsidR="0094331C">
              <w:instrText xml:space="preserve"> FORMCHECKBOX </w:instrText>
            </w:r>
            <w:r w:rsidR="00866D1F">
              <w:fldChar w:fldCharType="separate"/>
            </w:r>
            <w:r w:rsidR="0094331C">
              <w:fldChar w:fldCharType="end"/>
            </w:r>
          </w:p>
          <w:p w14:paraId="449FB1F0" w14:textId="77777777" w:rsidR="00FD4F51" w:rsidRDefault="00FD4F51" w:rsidP="00FD4F51">
            <w:pPr>
              <w:pStyle w:val="ListParagraph"/>
              <w:ind w:left="0"/>
              <w:rPr>
                <w:rFonts w:ascii="Arial" w:hAnsi="Arial" w:cs="Arial"/>
                <w:color w:val="000000" w:themeColor="text1"/>
              </w:rPr>
            </w:pPr>
          </w:p>
          <w:p w14:paraId="3D7A16FC" w14:textId="77777777" w:rsidR="00FD4F51" w:rsidRDefault="00FD4F51" w:rsidP="00FD4F5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p>
          <w:p w14:paraId="5268D240" w14:textId="19ED7405" w:rsidR="001A2E6B" w:rsidRPr="0037786D" w:rsidRDefault="001A2E6B" w:rsidP="00637591">
            <w:pPr>
              <w:pStyle w:val="ListParagraph"/>
              <w:ind w:left="0"/>
              <w:rPr>
                <w:rFonts w:ascii="Arial" w:hAnsi="Arial" w:cs="Arial"/>
                <w:color w:val="000000" w:themeColor="text1"/>
              </w:rPr>
            </w:pPr>
          </w:p>
        </w:tc>
        <w:tc>
          <w:tcPr>
            <w:tcW w:w="6480" w:type="dxa"/>
          </w:tcPr>
          <w:p w14:paraId="4CF77BA2" w14:textId="0C843646" w:rsidR="00A4272D" w:rsidRDefault="00A4272D" w:rsidP="00E4425B">
            <w:pPr>
              <w:rPr>
                <w:rFonts w:ascii="Arial" w:hAnsi="Arial" w:cs="Arial"/>
                <w:b/>
                <w:color w:val="000000" w:themeColor="text1"/>
              </w:rPr>
            </w:pPr>
            <w:r>
              <w:rPr>
                <w:rFonts w:ascii="Arial" w:hAnsi="Arial" w:cs="Arial"/>
                <w:b/>
                <w:color w:val="000000" w:themeColor="text1"/>
              </w:rPr>
              <w:t xml:space="preserve">The department has revised both the Mission Statement and the </w:t>
            </w:r>
            <w:r w:rsidR="0094331C">
              <w:rPr>
                <w:rFonts w:ascii="Arial" w:hAnsi="Arial" w:cs="Arial"/>
                <w:b/>
                <w:color w:val="000000" w:themeColor="text1"/>
              </w:rPr>
              <w:t>Program Outcomes to be inclusive of the dance component in our program.</w:t>
            </w:r>
          </w:p>
          <w:p w14:paraId="4722D8B9" w14:textId="76EC7527" w:rsidR="0094331C" w:rsidRDefault="0094331C" w:rsidP="00E4425B">
            <w:pPr>
              <w:rPr>
                <w:rFonts w:ascii="Arial" w:hAnsi="Arial" w:cs="Arial"/>
                <w:b/>
                <w:color w:val="000000" w:themeColor="text1"/>
              </w:rPr>
            </w:pPr>
            <w:r>
              <w:rPr>
                <w:rFonts w:ascii="Arial" w:hAnsi="Arial" w:cs="Arial"/>
                <w:b/>
                <w:color w:val="000000" w:themeColor="text1"/>
              </w:rPr>
              <w:t>The departmen</w:t>
            </w:r>
            <w:r w:rsidR="002772BC">
              <w:rPr>
                <w:rFonts w:ascii="Arial" w:hAnsi="Arial" w:cs="Arial"/>
                <w:b/>
                <w:color w:val="000000" w:themeColor="text1"/>
              </w:rPr>
              <w:t>t needs to continue the work in the second half of this recommendation, concerning the outcomes and assessment of the dance area</w:t>
            </w:r>
            <w:r w:rsidR="001538D7">
              <w:rPr>
                <w:rFonts w:ascii="Arial" w:hAnsi="Arial" w:cs="Arial"/>
                <w:b/>
                <w:color w:val="000000" w:themeColor="text1"/>
              </w:rPr>
              <w:t>.</w:t>
            </w:r>
          </w:p>
          <w:p w14:paraId="4D4ED802" w14:textId="77777777" w:rsidR="00A4272D" w:rsidRDefault="00A4272D" w:rsidP="00E4425B">
            <w:pPr>
              <w:rPr>
                <w:rFonts w:ascii="Arial" w:hAnsi="Arial" w:cs="Arial"/>
                <w:b/>
                <w:color w:val="000000" w:themeColor="text1"/>
              </w:rPr>
            </w:pPr>
          </w:p>
          <w:p w14:paraId="1A56C176" w14:textId="664547C0" w:rsidR="001A2E6B" w:rsidRDefault="001A2E6B" w:rsidP="00E4425B"/>
        </w:tc>
      </w:tr>
      <w:tr w:rsidR="001A2E6B" w:rsidRPr="0037786D" w14:paraId="5192E529" w14:textId="77777777" w:rsidTr="001A2E6B">
        <w:tc>
          <w:tcPr>
            <w:tcW w:w="3708" w:type="dxa"/>
          </w:tcPr>
          <w:p w14:paraId="329795A4" w14:textId="1EE108AB" w:rsidR="003440D0" w:rsidRDefault="003440D0" w:rsidP="003440D0">
            <w:pPr>
              <w:autoSpaceDE w:val="0"/>
              <w:autoSpaceDN w:val="0"/>
              <w:adjustRightInd w:val="0"/>
              <w:rPr>
                <w:rFonts w:ascii="Arial" w:hAnsi="Arial" w:cs="Arial"/>
                <w:color w:val="000000"/>
              </w:rPr>
            </w:pPr>
            <w:r>
              <w:rPr>
                <w:rFonts w:ascii="Arial" w:hAnsi="Arial" w:cs="Arial"/>
                <w:color w:val="000000"/>
              </w:rPr>
              <w:lastRenderedPageBreak/>
              <w:t>Regarding assessment, the department should find ways of collecting, compiling, and analyzing some of the data it is already generating.  There is a considerable amount of assessment already taking place in the department, it just needs to be captured, analyzed, and reported.  For example, after every production there is a “post-mortem” discussion regarding what went well and what could be improved – capturing and analyzing these discussions for trends across productions could be a means of conducting program assessment.  Faculty evaluate student performances all the time on an individual level – capturing these individual level assessments and looking for trends related to program outcomes across all students would be an excellent approach to assessment of program outcomes.</w:t>
            </w:r>
          </w:p>
          <w:p w14:paraId="7C547C48" w14:textId="77777777" w:rsidR="001A2E6B" w:rsidRPr="00654C15" w:rsidRDefault="001A2E6B" w:rsidP="003E791C">
            <w:pPr>
              <w:pStyle w:val="ListParagraph"/>
              <w:ind w:left="0"/>
              <w:rPr>
                <w:rFonts w:ascii="Arial" w:hAnsi="Arial" w:cs="Arial"/>
                <w:color w:val="000000" w:themeColor="text1"/>
              </w:rPr>
            </w:pPr>
          </w:p>
        </w:tc>
        <w:tc>
          <w:tcPr>
            <w:tcW w:w="2700" w:type="dxa"/>
          </w:tcPr>
          <w:p w14:paraId="5030CFD7" w14:textId="77777777" w:rsidR="001A2E6B" w:rsidRDefault="001A2E6B" w:rsidP="00637591">
            <w:pPr>
              <w:pStyle w:val="ListParagraph"/>
              <w:ind w:left="0"/>
              <w:rPr>
                <w:rFonts w:ascii="Arial" w:hAnsi="Arial" w:cs="Arial"/>
                <w:color w:val="000000" w:themeColor="text1"/>
              </w:rPr>
            </w:pPr>
          </w:p>
          <w:p w14:paraId="61FDE38A" w14:textId="01958335"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In progress </w:t>
            </w:r>
            <w:r w:rsidR="00756782">
              <w:fldChar w:fldCharType="begin">
                <w:ffData>
                  <w:name w:val=""/>
                  <w:enabled/>
                  <w:calcOnExit w:val="0"/>
                  <w:checkBox>
                    <w:sizeAuto/>
                    <w:default w:val="1"/>
                  </w:checkBox>
                </w:ffData>
              </w:fldChar>
            </w:r>
            <w:r w:rsidR="00756782">
              <w:instrText xml:space="preserve"> FORMCHECKBOX </w:instrText>
            </w:r>
            <w:r w:rsidR="00866D1F">
              <w:fldChar w:fldCharType="separate"/>
            </w:r>
            <w:r w:rsidR="00756782">
              <w:fldChar w:fldCharType="end"/>
            </w:r>
          </w:p>
          <w:p w14:paraId="640F002B" w14:textId="77777777" w:rsidR="00FD4F51" w:rsidRDefault="00FD4F51" w:rsidP="00FD4F51">
            <w:pPr>
              <w:pStyle w:val="ListParagraph"/>
              <w:ind w:left="0"/>
              <w:rPr>
                <w:rFonts w:ascii="Arial" w:hAnsi="Arial" w:cs="Arial"/>
                <w:color w:val="000000" w:themeColor="text1"/>
              </w:rPr>
            </w:pPr>
          </w:p>
          <w:p w14:paraId="2E866610" w14:textId="77777777" w:rsidR="00FD4F51" w:rsidRDefault="00FD4F51" w:rsidP="00FD4F5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p>
          <w:p w14:paraId="750631A0" w14:textId="77777777" w:rsidR="00FD4F51" w:rsidRDefault="00FD4F51" w:rsidP="00FD4F51">
            <w:pPr>
              <w:pStyle w:val="ListParagraph"/>
              <w:ind w:left="0"/>
              <w:rPr>
                <w:rFonts w:ascii="Arial" w:hAnsi="Arial" w:cs="Arial"/>
                <w:color w:val="000000" w:themeColor="text1"/>
              </w:rPr>
            </w:pPr>
          </w:p>
          <w:p w14:paraId="09AAC1B6" w14:textId="77777777" w:rsidR="00FD4F51" w:rsidRDefault="00FD4F51" w:rsidP="00FD4F5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p>
          <w:p w14:paraId="48520F3F" w14:textId="6E879221" w:rsidR="001A2E6B" w:rsidRPr="0037786D" w:rsidRDefault="001A2E6B" w:rsidP="00637591">
            <w:pPr>
              <w:pStyle w:val="ListParagraph"/>
              <w:ind w:left="0"/>
              <w:rPr>
                <w:rFonts w:ascii="Arial" w:hAnsi="Arial" w:cs="Arial"/>
                <w:color w:val="000000" w:themeColor="text1"/>
              </w:rPr>
            </w:pPr>
          </w:p>
        </w:tc>
        <w:tc>
          <w:tcPr>
            <w:tcW w:w="6480" w:type="dxa"/>
          </w:tcPr>
          <w:p w14:paraId="0F1FC9F1" w14:textId="1882FD9A" w:rsidR="001A2E6B" w:rsidRDefault="00756782" w:rsidP="008F078B">
            <w:r>
              <w:rPr>
                <w:rFonts w:ascii="Arial" w:hAnsi="Arial" w:cs="Arial"/>
                <w:b/>
                <w:color w:val="000000" w:themeColor="text1"/>
              </w:rPr>
              <w:t>The department did not focus on this recommendation this past year as the NAST re-accreditation needed to be the priority.</w:t>
            </w:r>
          </w:p>
        </w:tc>
      </w:tr>
      <w:tr w:rsidR="001A2E6B" w:rsidRPr="0037786D" w14:paraId="05B90E3A" w14:textId="77777777" w:rsidTr="001A2E6B">
        <w:tc>
          <w:tcPr>
            <w:tcW w:w="3708" w:type="dxa"/>
          </w:tcPr>
          <w:p w14:paraId="0B6E4218"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t xml:space="preserve">In the self-study and in the review team discussion the department mentioned that </w:t>
            </w:r>
            <w:r>
              <w:rPr>
                <w:rFonts w:ascii="Arial" w:hAnsi="Arial" w:cs="Arial"/>
                <w:color w:val="000000"/>
              </w:rPr>
              <w:lastRenderedPageBreak/>
              <w:t>tracking graduates and former students is a challenge.  Graduates spoke highly of the department, but there may be feedback from other former students that the department isn’t getting that would be useful for making improvements.   The department is encouraged to explore efforts for increasing its ability to get feedback from a more comprehensive sample of graduates and former students.  Social media may provide one avenue for accomplishing this to a greater extent, but there may be other avenues that could also be explored.  The department should examine some of the new techniques being employed by Research, Analytics, and Reporting to increase response rates for its graduate surveys.</w:t>
            </w:r>
          </w:p>
          <w:p w14:paraId="1FEA5149" w14:textId="77777777" w:rsidR="001A2E6B" w:rsidRPr="00654C15" w:rsidRDefault="001A2E6B" w:rsidP="003E791C">
            <w:pPr>
              <w:pStyle w:val="ListParagraph"/>
              <w:ind w:left="0"/>
              <w:rPr>
                <w:rFonts w:ascii="Arial" w:hAnsi="Arial" w:cs="Arial"/>
                <w:color w:val="000000" w:themeColor="text1"/>
              </w:rPr>
            </w:pPr>
          </w:p>
        </w:tc>
        <w:tc>
          <w:tcPr>
            <w:tcW w:w="2700" w:type="dxa"/>
          </w:tcPr>
          <w:p w14:paraId="7B3D2AB1" w14:textId="77777777" w:rsidR="001A2E6B" w:rsidRDefault="001A2E6B" w:rsidP="00637591">
            <w:pPr>
              <w:pStyle w:val="ListParagraph"/>
              <w:ind w:left="0"/>
              <w:rPr>
                <w:rFonts w:ascii="Arial" w:hAnsi="Arial" w:cs="Arial"/>
                <w:color w:val="000000" w:themeColor="text1"/>
              </w:rPr>
            </w:pPr>
          </w:p>
          <w:p w14:paraId="749BCBF2" w14:textId="1E59A889"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68F8">
              <w:fldChar w:fldCharType="begin">
                <w:ffData>
                  <w:name w:val=""/>
                  <w:enabled/>
                  <w:calcOnExit w:val="0"/>
                  <w:checkBox>
                    <w:sizeAuto/>
                    <w:default w:val="0"/>
                  </w:checkBox>
                </w:ffData>
              </w:fldChar>
            </w:r>
            <w:r w:rsidR="008768F8">
              <w:instrText xml:space="preserve"> FORMCHECKBOX </w:instrText>
            </w:r>
            <w:r w:rsidR="00866D1F">
              <w:fldChar w:fldCharType="separate"/>
            </w:r>
            <w:r w:rsidR="008768F8">
              <w:fldChar w:fldCharType="end"/>
            </w:r>
          </w:p>
          <w:p w14:paraId="17EC08AA" w14:textId="77777777" w:rsidR="001A2E6B" w:rsidRDefault="001A2E6B" w:rsidP="00637591">
            <w:pPr>
              <w:pStyle w:val="ListParagraph"/>
              <w:ind w:left="0"/>
              <w:rPr>
                <w:rFonts w:ascii="Arial" w:hAnsi="Arial" w:cs="Arial"/>
                <w:color w:val="000000" w:themeColor="text1"/>
              </w:rPr>
            </w:pPr>
          </w:p>
          <w:p w14:paraId="55151E13" w14:textId="77777777" w:rsidR="001A2E6B" w:rsidRDefault="001A2E6B"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F260DC">
              <w:fldChar w:fldCharType="begin">
                <w:ffData>
                  <w:name w:val="Check1"/>
                  <w:enabled/>
                  <w:calcOnExit w:val="0"/>
                  <w:checkBox>
                    <w:sizeAuto/>
                    <w:default w:val="0"/>
                  </w:checkBox>
                </w:ffData>
              </w:fldChar>
            </w:r>
            <w:r>
              <w:instrText xml:space="preserve"> FORMCHECKBOX </w:instrText>
            </w:r>
            <w:r w:rsidR="00866D1F">
              <w:fldChar w:fldCharType="separate"/>
            </w:r>
            <w:r w:rsidR="00F260DC">
              <w:fldChar w:fldCharType="end"/>
            </w:r>
          </w:p>
          <w:p w14:paraId="262FA136" w14:textId="77777777" w:rsidR="001A2E6B" w:rsidRDefault="001A2E6B" w:rsidP="00637591">
            <w:pPr>
              <w:pStyle w:val="ListParagraph"/>
              <w:ind w:left="0"/>
              <w:rPr>
                <w:rFonts w:ascii="Arial" w:hAnsi="Arial" w:cs="Arial"/>
                <w:color w:val="000000" w:themeColor="text1"/>
              </w:rPr>
            </w:pPr>
          </w:p>
          <w:p w14:paraId="0C485416" w14:textId="519A9BA5" w:rsidR="001A2E6B" w:rsidRPr="0037786D" w:rsidRDefault="001A2E6B" w:rsidP="008768F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68F8">
              <w:fldChar w:fldCharType="begin">
                <w:ffData>
                  <w:name w:val=""/>
                  <w:enabled/>
                  <w:calcOnExit w:val="0"/>
                  <w:checkBox>
                    <w:sizeAuto/>
                    <w:default w:val="1"/>
                  </w:checkBox>
                </w:ffData>
              </w:fldChar>
            </w:r>
            <w:r w:rsidR="008768F8">
              <w:instrText xml:space="preserve"> FORMCHECKBOX </w:instrText>
            </w:r>
            <w:r w:rsidR="00866D1F">
              <w:fldChar w:fldCharType="separate"/>
            </w:r>
            <w:r w:rsidR="008768F8">
              <w:fldChar w:fldCharType="end"/>
            </w:r>
          </w:p>
        </w:tc>
        <w:tc>
          <w:tcPr>
            <w:tcW w:w="6480" w:type="dxa"/>
          </w:tcPr>
          <w:p w14:paraId="69EC7530" w14:textId="0CBA24B4" w:rsidR="002D3A34" w:rsidRDefault="00EF74D5" w:rsidP="00DE276D">
            <w:pPr>
              <w:rPr>
                <w:rFonts w:ascii="Arial" w:hAnsi="Arial" w:cs="Arial"/>
                <w:b/>
                <w:color w:val="000000" w:themeColor="text1"/>
              </w:rPr>
            </w:pPr>
            <w:r>
              <w:rPr>
                <w:rFonts w:ascii="Arial" w:hAnsi="Arial" w:cs="Arial"/>
                <w:b/>
                <w:color w:val="000000" w:themeColor="text1"/>
              </w:rPr>
              <w:lastRenderedPageBreak/>
              <w:t xml:space="preserve">Yes, this is a challenge. But we identified how we </w:t>
            </w:r>
            <w:r w:rsidR="00321CB0">
              <w:rPr>
                <w:rFonts w:ascii="Arial" w:hAnsi="Arial" w:cs="Arial"/>
                <w:b/>
                <w:color w:val="000000" w:themeColor="text1"/>
              </w:rPr>
              <w:t xml:space="preserve">have overcome this challenge and thus this is one of our strengths and this recommendation is no longer </w:t>
            </w:r>
            <w:r w:rsidR="00321CB0">
              <w:rPr>
                <w:rFonts w:ascii="Arial" w:hAnsi="Arial" w:cs="Arial"/>
                <w:b/>
                <w:color w:val="000000" w:themeColor="text1"/>
              </w:rPr>
              <w:lastRenderedPageBreak/>
              <w:t>applicable.</w:t>
            </w:r>
            <w:r>
              <w:rPr>
                <w:rFonts w:ascii="Arial" w:hAnsi="Arial" w:cs="Arial"/>
                <w:b/>
                <w:color w:val="000000" w:themeColor="text1"/>
              </w:rPr>
              <w:t xml:space="preserve"> The Sinclair survey that is sent to graduates just does not seem to reach our students. So we already employ social media and we simply stay in touch with former students, constantly asking them for feedback and often bringing them back to talk to current students about </w:t>
            </w:r>
            <w:r w:rsidR="00321CB0">
              <w:rPr>
                <w:rFonts w:ascii="Arial" w:hAnsi="Arial" w:cs="Arial"/>
                <w:b/>
                <w:color w:val="000000" w:themeColor="text1"/>
              </w:rPr>
              <w:t xml:space="preserve">their post-Sinclair </w:t>
            </w:r>
            <w:r>
              <w:rPr>
                <w:rFonts w:ascii="Arial" w:hAnsi="Arial" w:cs="Arial"/>
                <w:b/>
                <w:color w:val="000000" w:themeColor="text1"/>
              </w:rPr>
              <w:t>experience</w:t>
            </w:r>
            <w:r w:rsidR="00321CB0">
              <w:rPr>
                <w:rFonts w:ascii="Arial" w:hAnsi="Arial" w:cs="Arial"/>
                <w:b/>
                <w:color w:val="000000" w:themeColor="text1"/>
              </w:rPr>
              <w:t>s</w:t>
            </w:r>
            <w:r>
              <w:rPr>
                <w:rFonts w:ascii="Arial" w:hAnsi="Arial" w:cs="Arial"/>
                <w:b/>
                <w:color w:val="000000" w:themeColor="text1"/>
              </w:rPr>
              <w:t xml:space="preserve"> (both transfer to 4year universities and </w:t>
            </w:r>
            <w:r w:rsidR="00321CB0">
              <w:rPr>
                <w:rFonts w:ascii="Arial" w:hAnsi="Arial" w:cs="Arial"/>
                <w:b/>
                <w:color w:val="000000" w:themeColor="text1"/>
              </w:rPr>
              <w:t>employment</w:t>
            </w:r>
            <w:r>
              <w:rPr>
                <w:rFonts w:ascii="Arial" w:hAnsi="Arial" w:cs="Arial"/>
                <w:b/>
                <w:color w:val="000000" w:themeColor="text1"/>
              </w:rPr>
              <w:t>). In our program review we had 26pages of feedback from former students (22 students represented) and 7pages that listed the employment and tran</w:t>
            </w:r>
            <w:r w:rsidR="002D3A34">
              <w:rPr>
                <w:rFonts w:ascii="Arial" w:hAnsi="Arial" w:cs="Arial"/>
                <w:b/>
                <w:color w:val="000000" w:themeColor="text1"/>
              </w:rPr>
              <w:t xml:space="preserve">sfer information of former students. Of course there is feedback and information from former students that we are not getting, but what we are getting is significant. </w:t>
            </w:r>
          </w:p>
          <w:p w14:paraId="13351AF8" w14:textId="77777777" w:rsidR="00C7732E" w:rsidRDefault="00C7732E" w:rsidP="002D3A34">
            <w:pPr>
              <w:rPr>
                <w:rFonts w:ascii="Arial" w:hAnsi="Arial" w:cs="Arial"/>
                <w:b/>
                <w:color w:val="000000" w:themeColor="text1"/>
              </w:rPr>
            </w:pPr>
          </w:p>
          <w:p w14:paraId="4DCE7DB3" w14:textId="5C1ECB6E" w:rsidR="001A2E6B" w:rsidRPr="002D3A34" w:rsidRDefault="001A2E6B" w:rsidP="002D3A34">
            <w:pPr>
              <w:rPr>
                <w:rFonts w:ascii="Arial" w:hAnsi="Arial" w:cs="Arial"/>
                <w:b/>
                <w:color w:val="000000" w:themeColor="text1"/>
              </w:rPr>
            </w:pPr>
          </w:p>
        </w:tc>
      </w:tr>
      <w:tr w:rsidR="001A2E6B" w:rsidRPr="0037786D" w14:paraId="77F5D68A" w14:textId="77777777" w:rsidTr="001A2E6B">
        <w:tc>
          <w:tcPr>
            <w:tcW w:w="3708" w:type="dxa"/>
          </w:tcPr>
          <w:p w14:paraId="27638483"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lastRenderedPageBreak/>
              <w:t xml:space="preserve">The previous Program Review included recommendations to track outside work of students both while at Sinclair and after they graduate.  It is recommended that the department explore ways to better capture what productions outside of Sinclair their students </w:t>
            </w:r>
            <w:r>
              <w:rPr>
                <w:rFonts w:ascii="Arial" w:hAnsi="Arial" w:cs="Arial"/>
                <w:color w:val="000000"/>
              </w:rPr>
              <w:lastRenderedPageBreak/>
              <w:t>are involved in while in the program and what productions they are involved with once they leave Sinclair.</w:t>
            </w:r>
          </w:p>
          <w:p w14:paraId="2FDF6D55" w14:textId="77777777" w:rsidR="001A2E6B" w:rsidRPr="00654C15" w:rsidRDefault="001A2E6B" w:rsidP="003E791C">
            <w:pPr>
              <w:pStyle w:val="ListParagraph"/>
              <w:ind w:left="0"/>
              <w:rPr>
                <w:rFonts w:ascii="Arial" w:hAnsi="Arial" w:cs="Arial"/>
                <w:color w:val="000000" w:themeColor="text1"/>
              </w:rPr>
            </w:pPr>
          </w:p>
        </w:tc>
        <w:tc>
          <w:tcPr>
            <w:tcW w:w="2700" w:type="dxa"/>
          </w:tcPr>
          <w:p w14:paraId="559D1445" w14:textId="77777777" w:rsidR="00FD4F51" w:rsidRDefault="00FD4F51" w:rsidP="00FD4F51">
            <w:pPr>
              <w:rPr>
                <w:rFonts w:ascii="Arial" w:hAnsi="Arial" w:cs="Arial"/>
                <w:color w:val="000000" w:themeColor="text1"/>
              </w:rPr>
            </w:pPr>
          </w:p>
          <w:p w14:paraId="1AE5AB4E" w14:textId="77777777" w:rsidR="001A2E6B" w:rsidRPr="00FD4F51" w:rsidRDefault="001A2E6B" w:rsidP="00FD4F51">
            <w:pPr>
              <w:rPr>
                <w:rFonts w:ascii="Arial" w:hAnsi="Arial" w:cs="Arial"/>
                <w:color w:val="000000" w:themeColor="text1"/>
              </w:rPr>
            </w:pPr>
            <w:r w:rsidRPr="00FD4F51">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866D1F">
              <w:fldChar w:fldCharType="separate"/>
            </w:r>
            <w:r w:rsidR="004D531F">
              <w:fldChar w:fldCharType="end"/>
            </w:r>
          </w:p>
          <w:p w14:paraId="77E99311" w14:textId="77777777" w:rsidR="001A2E6B" w:rsidRDefault="001A2E6B" w:rsidP="00637591">
            <w:pPr>
              <w:pStyle w:val="ListParagraph"/>
              <w:ind w:left="0"/>
              <w:rPr>
                <w:rFonts w:ascii="Arial" w:hAnsi="Arial" w:cs="Arial"/>
                <w:color w:val="000000" w:themeColor="text1"/>
              </w:rPr>
            </w:pPr>
          </w:p>
          <w:p w14:paraId="56BBFB2B" w14:textId="7505C0A0"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E4ABE">
              <w:fldChar w:fldCharType="begin">
                <w:ffData>
                  <w:name w:val=""/>
                  <w:enabled/>
                  <w:calcOnExit w:val="0"/>
                  <w:checkBox>
                    <w:sizeAuto/>
                    <w:default w:val="0"/>
                  </w:checkBox>
                </w:ffData>
              </w:fldChar>
            </w:r>
            <w:r w:rsidR="00AE4ABE">
              <w:instrText xml:space="preserve"> FORMCHECKBOX </w:instrText>
            </w:r>
            <w:r w:rsidR="00866D1F">
              <w:fldChar w:fldCharType="separate"/>
            </w:r>
            <w:r w:rsidR="00AE4ABE">
              <w:fldChar w:fldCharType="end"/>
            </w:r>
          </w:p>
          <w:p w14:paraId="049F948A" w14:textId="77777777" w:rsidR="001A2E6B" w:rsidRDefault="001A2E6B" w:rsidP="00637591">
            <w:pPr>
              <w:pStyle w:val="ListParagraph"/>
              <w:ind w:left="0"/>
              <w:rPr>
                <w:rFonts w:ascii="Arial" w:hAnsi="Arial" w:cs="Arial"/>
                <w:color w:val="000000" w:themeColor="text1"/>
              </w:rPr>
            </w:pPr>
          </w:p>
          <w:p w14:paraId="79122588" w14:textId="32617399" w:rsidR="001A2E6B" w:rsidRPr="0037786D" w:rsidRDefault="001A2E6B" w:rsidP="00AE4ABE">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E4ABE">
              <w:fldChar w:fldCharType="begin">
                <w:ffData>
                  <w:name w:val=""/>
                  <w:enabled/>
                  <w:calcOnExit w:val="0"/>
                  <w:checkBox>
                    <w:sizeAuto/>
                    <w:default w:val="1"/>
                  </w:checkBox>
                </w:ffData>
              </w:fldChar>
            </w:r>
            <w:r w:rsidR="00AE4ABE">
              <w:instrText xml:space="preserve"> FORMCHECKBOX </w:instrText>
            </w:r>
            <w:r w:rsidR="00866D1F">
              <w:fldChar w:fldCharType="separate"/>
            </w:r>
            <w:r w:rsidR="00AE4ABE">
              <w:fldChar w:fldCharType="end"/>
            </w:r>
          </w:p>
        </w:tc>
        <w:tc>
          <w:tcPr>
            <w:tcW w:w="6480" w:type="dxa"/>
          </w:tcPr>
          <w:p w14:paraId="4836C379" w14:textId="3863F4C6" w:rsidR="001A2E6B" w:rsidRDefault="00E91833" w:rsidP="008A4090">
            <w:r>
              <w:rPr>
                <w:rFonts w:ascii="Arial" w:hAnsi="Arial" w:cs="Arial"/>
                <w:b/>
                <w:color w:val="000000" w:themeColor="text1"/>
              </w:rPr>
              <w:t>This is already being accomplished.</w:t>
            </w:r>
          </w:p>
        </w:tc>
      </w:tr>
      <w:tr w:rsidR="001A2E6B" w:rsidRPr="0037786D" w14:paraId="0CB5C6D2" w14:textId="77777777" w:rsidTr="001A2E6B">
        <w:tc>
          <w:tcPr>
            <w:tcW w:w="3708" w:type="dxa"/>
          </w:tcPr>
          <w:p w14:paraId="2D346751" w14:textId="77777777" w:rsidR="003440D0" w:rsidRPr="003440D0" w:rsidRDefault="003440D0" w:rsidP="003440D0">
            <w:pPr>
              <w:rPr>
                <w:rFonts w:ascii="Arial" w:hAnsi="Arial" w:cs="Arial"/>
              </w:rPr>
            </w:pPr>
            <w:r>
              <w:rPr>
                <w:rFonts w:ascii="Arial" w:hAnsi="Arial" w:cs="Arial"/>
                <w:color w:val="000000"/>
              </w:rPr>
              <w:lastRenderedPageBreak/>
              <w:t>Similarly, the successes of Sinclair graduates once they leave the program should be more widely disseminated to the public.  Where appropriate - and with permission - highlighting the successes of former students in promotional materials may be an effective means of doing this.</w:t>
            </w:r>
          </w:p>
          <w:p w14:paraId="4E6C5994" w14:textId="77777777" w:rsidR="001A2E6B" w:rsidRPr="00654C15" w:rsidRDefault="001A2E6B" w:rsidP="00D07030">
            <w:pPr>
              <w:pStyle w:val="ListParagraph"/>
              <w:ind w:left="0"/>
              <w:rPr>
                <w:rFonts w:ascii="Arial" w:hAnsi="Arial" w:cs="Arial"/>
                <w:color w:val="000000" w:themeColor="text1"/>
              </w:rPr>
            </w:pPr>
          </w:p>
        </w:tc>
        <w:tc>
          <w:tcPr>
            <w:tcW w:w="2700" w:type="dxa"/>
          </w:tcPr>
          <w:p w14:paraId="2DB563B9" w14:textId="77777777" w:rsidR="001A2E6B" w:rsidRDefault="001A2E6B" w:rsidP="00D07030">
            <w:pPr>
              <w:pStyle w:val="ListParagraph"/>
              <w:ind w:left="0"/>
              <w:rPr>
                <w:rFonts w:ascii="Arial" w:hAnsi="Arial" w:cs="Arial"/>
                <w:color w:val="000000" w:themeColor="text1"/>
              </w:rPr>
            </w:pPr>
          </w:p>
          <w:p w14:paraId="22BF8BB2" w14:textId="77777777"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866D1F">
              <w:fldChar w:fldCharType="separate"/>
            </w:r>
            <w:r w:rsidR="004D531F">
              <w:fldChar w:fldCharType="end"/>
            </w:r>
          </w:p>
          <w:p w14:paraId="295EFD30" w14:textId="77777777" w:rsidR="001A2E6B" w:rsidRDefault="001A2E6B" w:rsidP="00D07030">
            <w:pPr>
              <w:pStyle w:val="ListParagraph"/>
              <w:ind w:left="0"/>
              <w:rPr>
                <w:rFonts w:ascii="Arial" w:hAnsi="Arial" w:cs="Arial"/>
                <w:color w:val="000000" w:themeColor="text1"/>
              </w:rPr>
            </w:pPr>
          </w:p>
          <w:p w14:paraId="3C23E5E4" w14:textId="31F39223"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D1302">
              <w:fldChar w:fldCharType="begin">
                <w:ffData>
                  <w:name w:val=""/>
                  <w:enabled/>
                  <w:calcOnExit w:val="0"/>
                  <w:checkBox>
                    <w:sizeAuto/>
                    <w:default w:val="1"/>
                  </w:checkBox>
                </w:ffData>
              </w:fldChar>
            </w:r>
            <w:r w:rsidR="001D1302">
              <w:instrText xml:space="preserve"> FORMCHECKBOX </w:instrText>
            </w:r>
            <w:r w:rsidR="00866D1F">
              <w:fldChar w:fldCharType="separate"/>
            </w:r>
            <w:r w:rsidR="001D1302">
              <w:fldChar w:fldCharType="end"/>
            </w:r>
          </w:p>
          <w:p w14:paraId="4837324C" w14:textId="77777777" w:rsidR="001A2E6B" w:rsidRDefault="001A2E6B" w:rsidP="00D07030">
            <w:pPr>
              <w:pStyle w:val="ListParagraph"/>
              <w:ind w:left="0"/>
              <w:rPr>
                <w:rFonts w:ascii="Arial" w:hAnsi="Arial" w:cs="Arial"/>
                <w:color w:val="000000" w:themeColor="text1"/>
              </w:rPr>
            </w:pPr>
          </w:p>
          <w:p w14:paraId="0891589E" w14:textId="77777777"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66D1F">
              <w:fldChar w:fldCharType="separate"/>
            </w:r>
            <w:r w:rsidR="00F260DC">
              <w:fldChar w:fldCharType="end"/>
            </w:r>
          </w:p>
        </w:tc>
        <w:tc>
          <w:tcPr>
            <w:tcW w:w="6480" w:type="dxa"/>
          </w:tcPr>
          <w:p w14:paraId="4B01520E" w14:textId="6687264C" w:rsidR="001A2E6B" w:rsidRDefault="001D1302" w:rsidP="00D62076">
            <w:r>
              <w:rPr>
                <w:rFonts w:ascii="Arial" w:hAnsi="Arial" w:cs="Arial"/>
                <w:b/>
                <w:color w:val="000000" w:themeColor="text1"/>
              </w:rPr>
              <w:t>This is complete, and in place to continue</w:t>
            </w:r>
            <w:r w:rsidR="001D104C">
              <w:rPr>
                <w:rFonts w:ascii="Arial" w:hAnsi="Arial" w:cs="Arial"/>
                <w:b/>
                <w:color w:val="000000" w:themeColor="text1"/>
              </w:rPr>
              <w:t xml:space="preserve"> and grow</w:t>
            </w:r>
            <w:r>
              <w:rPr>
                <w:rFonts w:ascii="Arial" w:hAnsi="Arial" w:cs="Arial"/>
                <w:b/>
                <w:color w:val="000000" w:themeColor="text1"/>
              </w:rPr>
              <w:t>, thanks</w:t>
            </w:r>
            <w:r w:rsidR="00BB5A2B">
              <w:rPr>
                <w:rFonts w:ascii="Arial" w:hAnsi="Arial" w:cs="Arial"/>
                <w:b/>
                <w:color w:val="000000" w:themeColor="text1"/>
              </w:rPr>
              <w:t xml:space="preserve"> mostly</w:t>
            </w:r>
            <w:r>
              <w:rPr>
                <w:rFonts w:ascii="Arial" w:hAnsi="Arial" w:cs="Arial"/>
                <w:b/>
                <w:color w:val="000000" w:themeColor="text1"/>
              </w:rPr>
              <w:t xml:space="preserve"> to our Marketing Specialist, Patti Celek. This </w:t>
            </w:r>
            <w:r w:rsidR="00D62076">
              <w:rPr>
                <w:rFonts w:ascii="Arial" w:hAnsi="Arial" w:cs="Arial"/>
                <w:b/>
                <w:color w:val="000000" w:themeColor="text1"/>
              </w:rPr>
              <w:t xml:space="preserve">is something we have always done, but most recently, this has </w:t>
            </w:r>
            <w:r>
              <w:rPr>
                <w:rFonts w:ascii="Arial" w:hAnsi="Arial" w:cs="Arial"/>
                <w:b/>
                <w:color w:val="000000" w:themeColor="text1"/>
              </w:rPr>
              <w:t>has been accomplished through</w:t>
            </w:r>
            <w:r w:rsidR="00D62076">
              <w:rPr>
                <w:rFonts w:ascii="Arial" w:hAnsi="Arial" w:cs="Arial"/>
                <w:b/>
                <w:color w:val="000000" w:themeColor="text1"/>
              </w:rPr>
              <w:t>:</w:t>
            </w:r>
            <w:r>
              <w:rPr>
                <w:rFonts w:ascii="Arial" w:hAnsi="Arial" w:cs="Arial"/>
                <w:b/>
                <w:color w:val="000000" w:themeColor="text1"/>
              </w:rPr>
              <w:t xml:space="preserve"> Sinclair Foundation brochures that hig</w:t>
            </w:r>
            <w:r w:rsidR="00D62076">
              <w:rPr>
                <w:rFonts w:ascii="Arial" w:hAnsi="Arial" w:cs="Arial"/>
                <w:b/>
                <w:color w:val="000000" w:themeColor="text1"/>
              </w:rPr>
              <w:t xml:space="preserve">hlight former students, </w:t>
            </w:r>
            <w:r>
              <w:rPr>
                <w:rFonts w:ascii="Arial" w:hAnsi="Arial" w:cs="Arial"/>
                <w:b/>
                <w:color w:val="000000" w:themeColor="text1"/>
              </w:rPr>
              <w:t xml:space="preserve">The Vintage Affair, </w:t>
            </w:r>
            <w:r w:rsidR="00BB5A2B">
              <w:rPr>
                <w:rFonts w:ascii="Arial" w:hAnsi="Arial" w:cs="Arial"/>
                <w:b/>
                <w:color w:val="000000" w:themeColor="text1"/>
              </w:rPr>
              <w:t xml:space="preserve">constant </w:t>
            </w:r>
            <w:r w:rsidR="0021208A">
              <w:rPr>
                <w:rFonts w:ascii="Arial" w:hAnsi="Arial" w:cs="Arial"/>
                <w:b/>
                <w:color w:val="000000" w:themeColor="text1"/>
              </w:rPr>
              <w:t xml:space="preserve">press releases, theatre </w:t>
            </w:r>
            <w:r w:rsidR="00D62076">
              <w:rPr>
                <w:rFonts w:ascii="Arial" w:hAnsi="Arial" w:cs="Arial"/>
                <w:b/>
                <w:color w:val="000000" w:themeColor="text1"/>
              </w:rPr>
              <w:t xml:space="preserve">production </w:t>
            </w:r>
            <w:r w:rsidR="0021208A">
              <w:rPr>
                <w:rFonts w:ascii="Arial" w:hAnsi="Arial" w:cs="Arial"/>
                <w:b/>
                <w:color w:val="000000" w:themeColor="text1"/>
              </w:rPr>
              <w:t xml:space="preserve">programs from other theatres where Sinclair is mentioned by current and former students, </w:t>
            </w:r>
            <w:r w:rsidR="001D104C">
              <w:rPr>
                <w:rFonts w:ascii="Arial" w:hAnsi="Arial" w:cs="Arial"/>
                <w:b/>
                <w:color w:val="000000" w:themeColor="text1"/>
              </w:rPr>
              <w:t>involvement with the DayTony organization where our students have won awards that are published</w:t>
            </w:r>
            <w:r w:rsidR="00D62076">
              <w:rPr>
                <w:rFonts w:ascii="Arial" w:hAnsi="Arial" w:cs="Arial"/>
                <w:b/>
                <w:color w:val="000000" w:themeColor="text1"/>
              </w:rPr>
              <w:t xml:space="preserve"> through several media venues</w:t>
            </w:r>
            <w:r w:rsidR="001D104C">
              <w:rPr>
                <w:rFonts w:ascii="Arial" w:hAnsi="Arial" w:cs="Arial"/>
                <w:b/>
                <w:color w:val="000000" w:themeColor="text1"/>
              </w:rPr>
              <w:t xml:space="preserve">, our presence on Facebook and YouTube also disseminates this information, </w:t>
            </w:r>
            <w:r w:rsidR="0021208A">
              <w:rPr>
                <w:rFonts w:ascii="Arial" w:hAnsi="Arial" w:cs="Arial"/>
                <w:b/>
                <w:color w:val="000000" w:themeColor="text1"/>
              </w:rPr>
              <w:t>etc…</w:t>
            </w:r>
          </w:p>
        </w:tc>
      </w:tr>
      <w:tr w:rsidR="003440D0" w:rsidRPr="0037786D" w14:paraId="145D2F0A" w14:textId="77777777" w:rsidTr="001A2E6B">
        <w:tc>
          <w:tcPr>
            <w:tcW w:w="3708" w:type="dxa"/>
          </w:tcPr>
          <w:p w14:paraId="349910B3"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t xml:space="preserve">The department needs to ensure that its resources are not overextended – in terms of the number of productions the department tackles every year, in terms of the level of engagement with the students, or in terms of follow-up with graduates and former students, the department should work to maintain the delicate balance between meeting the needs of a high-quality program and spreading its resources too thin. </w:t>
            </w:r>
          </w:p>
          <w:p w14:paraId="6F227585" w14:textId="77777777" w:rsidR="003440D0" w:rsidRPr="001F53A8" w:rsidRDefault="003440D0" w:rsidP="00D850D0">
            <w:pPr>
              <w:rPr>
                <w:rFonts w:ascii="Arial" w:hAnsi="Arial" w:cs="Arial"/>
              </w:rPr>
            </w:pPr>
          </w:p>
        </w:tc>
        <w:tc>
          <w:tcPr>
            <w:tcW w:w="2700" w:type="dxa"/>
          </w:tcPr>
          <w:p w14:paraId="18036EFF" w14:textId="77777777" w:rsidR="003440D0" w:rsidRDefault="003440D0" w:rsidP="00456B19">
            <w:pPr>
              <w:pStyle w:val="ListParagraph"/>
              <w:ind w:left="0"/>
              <w:rPr>
                <w:rFonts w:ascii="Arial" w:hAnsi="Arial" w:cs="Arial"/>
                <w:color w:val="000000" w:themeColor="text1"/>
              </w:rPr>
            </w:pPr>
          </w:p>
          <w:p w14:paraId="56C5F3E4" w14:textId="350C7208" w:rsidR="003440D0" w:rsidRDefault="003440D0" w:rsidP="00456B19">
            <w:pPr>
              <w:pStyle w:val="ListParagraph"/>
              <w:ind w:left="0"/>
              <w:rPr>
                <w:rFonts w:ascii="Arial" w:hAnsi="Arial" w:cs="Arial"/>
                <w:color w:val="000000" w:themeColor="text1"/>
              </w:rPr>
            </w:pPr>
            <w:r>
              <w:rPr>
                <w:rFonts w:ascii="Arial" w:hAnsi="Arial" w:cs="Arial"/>
                <w:color w:val="000000" w:themeColor="text1"/>
              </w:rPr>
              <w:t xml:space="preserve">In progress </w:t>
            </w:r>
            <w:r w:rsidR="0081473D">
              <w:fldChar w:fldCharType="begin">
                <w:ffData>
                  <w:name w:val=""/>
                  <w:enabled/>
                  <w:calcOnExit w:val="0"/>
                  <w:checkBox>
                    <w:sizeAuto/>
                    <w:default w:val="0"/>
                  </w:checkBox>
                </w:ffData>
              </w:fldChar>
            </w:r>
            <w:r w:rsidR="0081473D">
              <w:instrText xml:space="preserve"> FORMCHECKBOX </w:instrText>
            </w:r>
            <w:r w:rsidR="00866D1F">
              <w:fldChar w:fldCharType="separate"/>
            </w:r>
            <w:r w:rsidR="0081473D">
              <w:fldChar w:fldCharType="end"/>
            </w:r>
          </w:p>
          <w:p w14:paraId="032A6812" w14:textId="77777777" w:rsidR="003440D0" w:rsidRDefault="003440D0" w:rsidP="00456B19">
            <w:pPr>
              <w:pStyle w:val="ListParagraph"/>
              <w:ind w:left="0"/>
              <w:rPr>
                <w:rFonts w:ascii="Arial" w:hAnsi="Arial" w:cs="Arial"/>
                <w:color w:val="000000" w:themeColor="text1"/>
              </w:rPr>
            </w:pPr>
          </w:p>
          <w:p w14:paraId="0CE71FC8" w14:textId="4BC725B4" w:rsidR="003440D0" w:rsidRDefault="003440D0" w:rsidP="00456B19">
            <w:pPr>
              <w:pStyle w:val="ListParagraph"/>
              <w:ind w:left="0"/>
              <w:rPr>
                <w:rFonts w:ascii="Arial" w:hAnsi="Arial" w:cs="Arial"/>
                <w:color w:val="000000" w:themeColor="text1"/>
              </w:rPr>
            </w:pPr>
            <w:r>
              <w:rPr>
                <w:rFonts w:ascii="Arial" w:hAnsi="Arial" w:cs="Arial"/>
                <w:color w:val="000000" w:themeColor="text1"/>
              </w:rPr>
              <w:t xml:space="preserve">Completed </w:t>
            </w:r>
            <w:r w:rsidR="0081473D">
              <w:fldChar w:fldCharType="begin">
                <w:ffData>
                  <w:name w:val=""/>
                  <w:enabled/>
                  <w:calcOnExit w:val="0"/>
                  <w:checkBox>
                    <w:sizeAuto/>
                    <w:default w:val="0"/>
                  </w:checkBox>
                </w:ffData>
              </w:fldChar>
            </w:r>
            <w:r w:rsidR="0081473D">
              <w:instrText xml:space="preserve"> FORMCHECKBOX </w:instrText>
            </w:r>
            <w:r w:rsidR="00866D1F">
              <w:fldChar w:fldCharType="separate"/>
            </w:r>
            <w:r w:rsidR="0081473D">
              <w:fldChar w:fldCharType="end"/>
            </w:r>
          </w:p>
          <w:p w14:paraId="19BAF9B4" w14:textId="77777777" w:rsidR="003440D0" w:rsidRDefault="003440D0" w:rsidP="00456B19">
            <w:pPr>
              <w:pStyle w:val="ListParagraph"/>
              <w:ind w:left="0"/>
              <w:rPr>
                <w:rFonts w:ascii="Arial" w:hAnsi="Arial" w:cs="Arial"/>
                <w:color w:val="000000" w:themeColor="text1"/>
              </w:rPr>
            </w:pPr>
          </w:p>
          <w:p w14:paraId="350A21C8" w14:textId="6E29C3B0" w:rsidR="003440D0" w:rsidRPr="0037786D" w:rsidRDefault="003440D0" w:rsidP="0077259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2594">
              <w:fldChar w:fldCharType="begin">
                <w:ffData>
                  <w:name w:val=""/>
                  <w:enabled/>
                  <w:calcOnExit w:val="0"/>
                  <w:checkBox>
                    <w:sizeAuto/>
                    <w:default w:val="1"/>
                  </w:checkBox>
                </w:ffData>
              </w:fldChar>
            </w:r>
            <w:r w:rsidR="00772594">
              <w:instrText xml:space="preserve"> FORMCHECKBOX </w:instrText>
            </w:r>
            <w:r w:rsidR="00866D1F">
              <w:fldChar w:fldCharType="separate"/>
            </w:r>
            <w:r w:rsidR="00772594">
              <w:fldChar w:fldCharType="end"/>
            </w:r>
          </w:p>
        </w:tc>
        <w:tc>
          <w:tcPr>
            <w:tcW w:w="6480" w:type="dxa"/>
          </w:tcPr>
          <w:p w14:paraId="752BA378" w14:textId="1283980B" w:rsidR="003434A1" w:rsidRDefault="003434A1" w:rsidP="003434A1">
            <w:pPr>
              <w:rPr>
                <w:rFonts w:ascii="Arial" w:hAnsi="Arial" w:cs="Arial"/>
                <w:b/>
                <w:color w:val="000000" w:themeColor="text1"/>
              </w:rPr>
            </w:pPr>
            <w:r>
              <w:rPr>
                <w:rFonts w:ascii="Arial" w:hAnsi="Arial" w:cs="Arial"/>
                <w:b/>
                <w:color w:val="000000" w:themeColor="text1"/>
              </w:rPr>
              <w:t>This is not an applicable recommendation as it is something that is already achieved: this balance is part of nearly every decision we make.</w:t>
            </w:r>
          </w:p>
          <w:p w14:paraId="27AB200C" w14:textId="32C488E0" w:rsidR="003434A1" w:rsidRDefault="003434A1" w:rsidP="003434A1">
            <w:pPr>
              <w:rPr>
                <w:rFonts w:ascii="Arial" w:hAnsi="Arial" w:cs="Arial"/>
                <w:b/>
                <w:color w:val="000000" w:themeColor="text1"/>
              </w:rPr>
            </w:pPr>
            <w:r>
              <w:rPr>
                <w:rFonts w:ascii="Arial" w:hAnsi="Arial" w:cs="Arial"/>
                <w:b/>
                <w:color w:val="000000" w:themeColor="text1"/>
              </w:rPr>
              <w:t>It will</w:t>
            </w:r>
            <w:r w:rsidR="0081473D">
              <w:rPr>
                <w:rFonts w:ascii="Arial" w:hAnsi="Arial" w:cs="Arial"/>
                <w:b/>
                <w:color w:val="000000" w:themeColor="text1"/>
              </w:rPr>
              <w:t xml:space="preserve"> </w:t>
            </w:r>
            <w:r w:rsidR="0081473D" w:rsidRPr="003434A1">
              <w:rPr>
                <w:rFonts w:ascii="Arial" w:hAnsi="Arial" w:cs="Arial"/>
                <w:b/>
                <w:color w:val="000000" w:themeColor="text1"/>
                <w:u w:val="single"/>
              </w:rPr>
              <w:t>always</w:t>
            </w:r>
            <w:r w:rsidR="0081473D">
              <w:rPr>
                <w:rFonts w:ascii="Arial" w:hAnsi="Arial" w:cs="Arial"/>
                <w:b/>
                <w:color w:val="000000" w:themeColor="text1"/>
              </w:rPr>
              <w:t xml:space="preserve"> be a delicate balance </w:t>
            </w:r>
            <w:r>
              <w:rPr>
                <w:rFonts w:ascii="Arial" w:hAnsi="Arial" w:cs="Arial"/>
                <w:b/>
                <w:color w:val="000000" w:themeColor="text1"/>
              </w:rPr>
              <w:t xml:space="preserve">and the make-up of this balance will </w:t>
            </w:r>
            <w:r w:rsidRPr="003434A1">
              <w:rPr>
                <w:rFonts w:ascii="Arial" w:hAnsi="Arial" w:cs="Arial"/>
                <w:b/>
                <w:color w:val="000000" w:themeColor="text1"/>
                <w:u w:val="single"/>
              </w:rPr>
              <w:t>always</w:t>
            </w:r>
            <w:r>
              <w:rPr>
                <w:rFonts w:ascii="Arial" w:hAnsi="Arial" w:cs="Arial"/>
                <w:b/>
                <w:color w:val="000000" w:themeColor="text1"/>
              </w:rPr>
              <w:t xml:space="preserve"> be changing and we will </w:t>
            </w:r>
            <w:r w:rsidRPr="003434A1">
              <w:rPr>
                <w:rFonts w:ascii="Arial" w:hAnsi="Arial" w:cs="Arial"/>
                <w:b/>
                <w:color w:val="000000" w:themeColor="text1"/>
                <w:u w:val="single"/>
              </w:rPr>
              <w:t>always</w:t>
            </w:r>
            <w:r>
              <w:rPr>
                <w:rFonts w:ascii="Arial" w:hAnsi="Arial" w:cs="Arial"/>
                <w:b/>
                <w:color w:val="000000" w:themeColor="text1"/>
              </w:rPr>
              <w:t xml:space="preserve"> be striving for a high quality program while attempting to not spread our resources too thin: this is just what we do.</w:t>
            </w:r>
          </w:p>
          <w:p w14:paraId="07A2C3C2" w14:textId="77777777" w:rsidR="003434A1" w:rsidRDefault="003434A1" w:rsidP="003434A1">
            <w:pPr>
              <w:rPr>
                <w:rFonts w:ascii="Arial" w:hAnsi="Arial" w:cs="Arial"/>
                <w:b/>
                <w:color w:val="000000" w:themeColor="text1"/>
              </w:rPr>
            </w:pPr>
          </w:p>
          <w:p w14:paraId="16FBE36C" w14:textId="77777777" w:rsidR="003434A1" w:rsidRDefault="003434A1" w:rsidP="003434A1">
            <w:pPr>
              <w:rPr>
                <w:rFonts w:ascii="Arial" w:hAnsi="Arial" w:cs="Arial"/>
                <w:b/>
                <w:color w:val="000000" w:themeColor="text1"/>
              </w:rPr>
            </w:pPr>
          </w:p>
          <w:p w14:paraId="60BED779" w14:textId="0A3C95C3" w:rsidR="003440D0" w:rsidRDefault="003440D0" w:rsidP="003434A1"/>
        </w:tc>
      </w:tr>
    </w:tbl>
    <w:tbl>
      <w:tblPr>
        <w:tblStyle w:val="TableGrid"/>
        <w:tblpPr w:leftFromText="180" w:rightFromText="180" w:vertAnchor="page" w:horzAnchor="margin" w:tblpY="3751"/>
        <w:tblW w:w="13135" w:type="dxa"/>
        <w:shd w:val="clear" w:color="auto" w:fill="FFFFFF"/>
        <w:tblLayout w:type="fixed"/>
        <w:tblCellMar>
          <w:left w:w="115" w:type="dxa"/>
          <w:right w:w="115" w:type="dxa"/>
        </w:tblCellMar>
        <w:tblLook w:val="01E0" w:firstRow="1" w:lastRow="1" w:firstColumn="1" w:lastColumn="1" w:noHBand="0" w:noVBand="0"/>
      </w:tblPr>
      <w:tblGrid>
        <w:gridCol w:w="2589"/>
        <w:gridCol w:w="10546"/>
      </w:tblGrid>
      <w:tr w:rsidR="00BF6CCF" w14:paraId="32BE9316" w14:textId="77777777" w:rsidTr="00BF6CCF">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332771BE" w14:textId="77777777" w:rsidR="00BF6CCF" w:rsidRDefault="00BF6CCF" w:rsidP="008A5DAB">
            <w:r>
              <w:lastRenderedPageBreak/>
              <w:t>Please respond to the following items regarding external program accreditation.</w:t>
            </w:r>
          </w:p>
          <w:p w14:paraId="0B435FCB" w14:textId="77777777" w:rsidR="00BF6CCF" w:rsidRDefault="00BF6CCF" w:rsidP="008A5DAB">
            <w:pPr>
              <w:pStyle w:val="ListParagraph"/>
              <w:ind w:left="0"/>
              <w:rPr>
                <w:rFonts w:ascii="Arial" w:hAnsi="Arial" w:cs="Arial"/>
                <w:color w:val="000000" w:themeColor="text1"/>
              </w:rPr>
            </w:pPr>
          </w:p>
        </w:tc>
      </w:tr>
      <w:tr w:rsidR="00BF6CCF" w14:paraId="44556EFB" w14:textId="77777777" w:rsidTr="00BF6CCF">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541D9080" w14:textId="77777777" w:rsidR="00BF6CCF" w:rsidRDefault="00BF6CCF" w:rsidP="008A5DAB">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3D72B8" w14:textId="079D882A" w:rsidR="00BF6CCF" w:rsidRDefault="00BF6CCF" w:rsidP="008A5DAB">
            <w:pPr>
              <w:pStyle w:val="ListParagraph"/>
              <w:ind w:left="0"/>
              <w:rPr>
                <w:rFonts w:ascii="Arial" w:hAnsi="Arial" w:cs="Arial"/>
                <w:color w:val="000000" w:themeColor="text1"/>
              </w:rPr>
            </w:pPr>
            <w:r>
              <w:rPr>
                <w:rFonts w:ascii="Arial" w:hAnsi="Arial" w:cs="Arial"/>
                <w:color w:val="000000" w:themeColor="text1"/>
              </w:rPr>
              <w:t>Date of most recent accreditation review:  __</w:t>
            </w:r>
            <w:r w:rsidR="00001497">
              <w:rPr>
                <w:rFonts w:ascii="Arial" w:hAnsi="Arial" w:cs="Arial"/>
                <w:color w:val="000000" w:themeColor="text1"/>
              </w:rPr>
              <w:t>2014-15</w:t>
            </w:r>
            <w:r>
              <w:rPr>
                <w:rFonts w:ascii="Arial" w:hAnsi="Arial" w:cs="Arial"/>
                <w:color w:val="000000" w:themeColor="text1"/>
              </w:rPr>
              <w:t>___________</w:t>
            </w:r>
          </w:p>
          <w:p w14:paraId="0966A5C2" w14:textId="77777777" w:rsidR="00BF6CCF" w:rsidRDefault="00BF6CCF" w:rsidP="008A5DAB">
            <w:pPr>
              <w:pStyle w:val="ListParagraph"/>
              <w:ind w:left="0"/>
              <w:rPr>
                <w:rFonts w:ascii="Arial" w:hAnsi="Arial" w:cs="Arial"/>
                <w:color w:val="000000" w:themeColor="text1"/>
              </w:rPr>
            </w:pPr>
          </w:p>
          <w:p w14:paraId="41F1BDB2" w14:textId="77777777" w:rsidR="00BF6CCF" w:rsidRPr="00901FB3" w:rsidRDefault="00BF6CCF" w:rsidP="008A5DAB">
            <w:pPr>
              <w:pStyle w:val="ListParagraph"/>
              <w:ind w:left="0"/>
              <w:rPr>
                <w:rFonts w:ascii="Arial" w:hAnsi="Arial" w:cs="Arial"/>
                <w:b/>
                <w:color w:val="000000" w:themeColor="text1"/>
              </w:rPr>
            </w:pPr>
            <w:r w:rsidRPr="00901FB3">
              <w:rPr>
                <w:rFonts w:ascii="Arial" w:hAnsi="Arial" w:cs="Arial"/>
                <w:b/>
                <w:color w:val="000000" w:themeColor="text1"/>
              </w:rPr>
              <w:t>OR</w:t>
            </w:r>
          </w:p>
          <w:p w14:paraId="720734AC" w14:textId="77777777" w:rsidR="00BF6CCF" w:rsidRDefault="00BF6CCF" w:rsidP="008A5DAB">
            <w:pPr>
              <w:pStyle w:val="ListParagraph"/>
              <w:ind w:left="0"/>
              <w:rPr>
                <w:rFonts w:ascii="Arial" w:hAnsi="Arial" w:cs="Arial"/>
                <w:color w:val="000000" w:themeColor="text1"/>
              </w:rPr>
            </w:pPr>
          </w:p>
          <w:p w14:paraId="197C909D" w14:textId="77777777" w:rsidR="00BF6CCF" w:rsidRDefault="00BF6CCF" w:rsidP="008A5DAB">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866D1F">
              <w:fldChar w:fldCharType="separate"/>
            </w:r>
            <w:r>
              <w:fldChar w:fldCharType="end"/>
            </w:r>
            <w:r>
              <w:t xml:space="preserve">   </w:t>
            </w:r>
            <w:r>
              <w:rPr>
                <w:rFonts w:ascii="Arial" w:hAnsi="Arial" w:cs="Arial"/>
                <w:color w:val="000000" w:themeColor="text1"/>
              </w:rPr>
              <w:t xml:space="preserve">Programs in this department do not have external accreditation </w:t>
            </w:r>
          </w:p>
          <w:p w14:paraId="5AC4A0B0" w14:textId="77777777" w:rsidR="00BF6CCF" w:rsidRDefault="00BF6CCF" w:rsidP="008A5DAB">
            <w:pPr>
              <w:rPr>
                <w:rFonts w:asciiTheme="minorHAnsi" w:hAnsiTheme="minorHAnsi" w:cs="Arial"/>
                <w:color w:val="000000" w:themeColor="text1"/>
                <w:sz w:val="20"/>
              </w:rPr>
            </w:pPr>
          </w:p>
        </w:tc>
      </w:tr>
      <w:tr w:rsidR="00BF6CCF" w14:paraId="525D1DDE" w14:textId="77777777" w:rsidTr="00BF6CCF">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C8F745E" w14:textId="77777777" w:rsidR="00BF6CCF" w:rsidRDefault="00BF6CCF" w:rsidP="008A5DAB">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003EC8" w14:textId="7B37A010" w:rsidR="00BF6CCF" w:rsidRDefault="00001497" w:rsidP="008A5DAB">
            <w:pPr>
              <w:rPr>
                <w:rFonts w:asciiTheme="minorHAnsi" w:hAnsiTheme="minorHAnsi" w:cs="Arial"/>
                <w:color w:val="000000" w:themeColor="text1"/>
                <w:sz w:val="20"/>
              </w:rPr>
            </w:pPr>
            <w:r>
              <w:rPr>
                <w:rFonts w:asciiTheme="minorHAnsi" w:hAnsiTheme="minorHAnsi" w:cs="Arial"/>
                <w:color w:val="000000" w:themeColor="text1"/>
                <w:sz w:val="20"/>
              </w:rPr>
              <w:t>The department is still waiting for the report from NAST for the</w:t>
            </w:r>
            <w:r w:rsidR="00705D54">
              <w:rPr>
                <w:rFonts w:asciiTheme="minorHAnsi" w:hAnsiTheme="minorHAnsi" w:cs="Arial"/>
                <w:color w:val="000000" w:themeColor="text1"/>
                <w:sz w:val="20"/>
              </w:rPr>
              <w:t xml:space="preserve"> most recent</w:t>
            </w:r>
            <w:r>
              <w:rPr>
                <w:rFonts w:asciiTheme="minorHAnsi" w:hAnsiTheme="minorHAnsi" w:cs="Arial"/>
                <w:color w:val="000000" w:themeColor="text1"/>
                <w:sz w:val="20"/>
              </w:rPr>
              <w:t xml:space="preserve"> 2014-15 Accreditation Review. </w:t>
            </w:r>
            <w:r w:rsidR="00C57D7F">
              <w:rPr>
                <w:rFonts w:asciiTheme="minorHAnsi" w:hAnsiTheme="minorHAnsi" w:cs="Arial"/>
                <w:color w:val="000000" w:themeColor="text1"/>
                <w:sz w:val="20"/>
              </w:rPr>
              <w:t xml:space="preserve"> Here is the list of Recommendations from the 2006 Review:</w:t>
            </w:r>
          </w:p>
          <w:p w14:paraId="101758D6" w14:textId="77777777" w:rsidR="00C57D7F" w:rsidRDefault="00C57D7F" w:rsidP="00C57D7F">
            <w:pPr>
              <w:numPr>
                <w:ilvl w:val="1"/>
                <w:numId w:val="19"/>
              </w:numPr>
            </w:pPr>
            <w:r>
              <w:t>Recommendations for Improvement</w:t>
            </w:r>
          </w:p>
          <w:p w14:paraId="6AB7C575" w14:textId="77777777" w:rsidR="00C57D7F" w:rsidRDefault="00C57D7F" w:rsidP="00C57D7F">
            <w:pPr>
              <w:numPr>
                <w:ilvl w:val="2"/>
                <w:numId w:val="19"/>
              </w:numPr>
            </w:pPr>
            <w:r>
              <w:t>Stabilization of the third full-time faculty position.</w:t>
            </w:r>
          </w:p>
          <w:p w14:paraId="271F10CB" w14:textId="77777777" w:rsidR="00C57D7F" w:rsidRDefault="00C57D7F" w:rsidP="00C57D7F">
            <w:pPr>
              <w:numPr>
                <w:ilvl w:val="2"/>
                <w:numId w:val="19"/>
              </w:numPr>
            </w:pPr>
            <w:r>
              <w:t>The facilities, equipment, and safety concerns listed in the self-study. This includes additions as well as upgrading current spaces, facilities and equipment.</w:t>
            </w:r>
          </w:p>
          <w:p w14:paraId="6DD3F5D0" w14:textId="77777777" w:rsidR="00C57D7F" w:rsidRDefault="00C57D7F" w:rsidP="00C57D7F">
            <w:pPr>
              <w:numPr>
                <w:ilvl w:val="2"/>
                <w:numId w:val="19"/>
              </w:numPr>
            </w:pPr>
            <w:r>
              <w:t>Additional classroom space, specifically the use of the Forum classroom in Bldg. 14.</w:t>
            </w:r>
          </w:p>
          <w:p w14:paraId="778A23FF" w14:textId="77777777" w:rsidR="00C57D7F" w:rsidRDefault="00C57D7F" w:rsidP="00C57D7F">
            <w:pPr>
              <w:numPr>
                <w:ilvl w:val="2"/>
                <w:numId w:val="19"/>
              </w:numPr>
            </w:pPr>
            <w:r>
              <w:t xml:space="preserve">Increased staffing for the costume shop, scene shop and marketing/box office. </w:t>
            </w:r>
          </w:p>
          <w:p w14:paraId="4670042D" w14:textId="1ECBEB87" w:rsidR="00001497" w:rsidRPr="00001497" w:rsidRDefault="00001497" w:rsidP="008A5DAB">
            <w:pPr>
              <w:rPr>
                <w:rFonts w:asciiTheme="minorHAnsi" w:hAnsiTheme="minorHAnsi" w:cs="Arial"/>
                <w:color w:val="FF0000"/>
                <w:sz w:val="20"/>
              </w:rPr>
            </w:pPr>
          </w:p>
        </w:tc>
      </w:tr>
      <w:tr w:rsidR="00BF6CCF" w14:paraId="796DE863" w14:textId="77777777" w:rsidTr="00BF6CCF">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94FC096" w14:textId="18753355" w:rsidR="00BF6CCF" w:rsidRDefault="00BF6CCF" w:rsidP="008A5DAB">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E3AB5" w14:textId="20046F8A" w:rsidR="005A3683" w:rsidRPr="005A3683" w:rsidRDefault="005A3683" w:rsidP="005A3683">
            <w:pPr>
              <w:ind w:left="360"/>
              <w:rPr>
                <w:rFonts w:asciiTheme="minorHAnsi" w:hAnsiTheme="minorHAnsi" w:cs="Arial"/>
                <w:color w:val="000000" w:themeColor="text1"/>
                <w:sz w:val="20"/>
              </w:rPr>
            </w:pPr>
            <w:r>
              <w:rPr>
                <w:rFonts w:asciiTheme="minorHAnsi" w:hAnsiTheme="minorHAnsi" w:cs="Arial"/>
                <w:color w:val="000000" w:themeColor="text1"/>
                <w:sz w:val="20"/>
              </w:rPr>
              <w:t>From the 2006 Review Recommendations from above:</w:t>
            </w:r>
          </w:p>
          <w:p w14:paraId="57401BC8" w14:textId="6ECD6CEB" w:rsidR="00AE192E" w:rsidRPr="00AE192E" w:rsidRDefault="00AE192E" w:rsidP="00AE192E">
            <w:pPr>
              <w:pStyle w:val="ListParagraph"/>
              <w:numPr>
                <w:ilvl w:val="0"/>
                <w:numId w:val="20"/>
              </w:numPr>
              <w:rPr>
                <w:rFonts w:asciiTheme="minorHAnsi" w:hAnsiTheme="minorHAnsi" w:cs="Arial"/>
                <w:color w:val="000000" w:themeColor="text1"/>
                <w:sz w:val="20"/>
              </w:rPr>
            </w:pPr>
            <w:r>
              <w:rPr>
                <w:rFonts w:asciiTheme="minorHAnsi" w:hAnsiTheme="minorHAnsi" w:cs="Arial"/>
                <w:color w:val="000000" w:themeColor="text1"/>
                <w:sz w:val="20"/>
              </w:rPr>
              <w:t>R</w:t>
            </w:r>
            <w:r w:rsidRPr="00AE192E">
              <w:rPr>
                <w:rFonts w:asciiTheme="minorHAnsi" w:hAnsiTheme="minorHAnsi" w:cs="Arial"/>
                <w:color w:val="000000" w:themeColor="text1"/>
                <w:sz w:val="20"/>
              </w:rPr>
              <w:t>esolved</w:t>
            </w:r>
          </w:p>
          <w:p w14:paraId="5176A0D2" w14:textId="14F1565A" w:rsidR="00AE192E" w:rsidRDefault="00AE192E" w:rsidP="00AE192E">
            <w:pPr>
              <w:pStyle w:val="ListParagraph"/>
              <w:numPr>
                <w:ilvl w:val="0"/>
                <w:numId w:val="20"/>
              </w:numPr>
              <w:rPr>
                <w:rFonts w:asciiTheme="minorHAnsi" w:hAnsiTheme="minorHAnsi" w:cs="Arial"/>
                <w:color w:val="000000" w:themeColor="text1"/>
                <w:sz w:val="20"/>
              </w:rPr>
            </w:pPr>
            <w:r>
              <w:rPr>
                <w:rFonts w:asciiTheme="minorHAnsi" w:hAnsiTheme="minorHAnsi" w:cs="Arial"/>
                <w:color w:val="000000" w:themeColor="text1"/>
                <w:sz w:val="20"/>
              </w:rPr>
              <w:t>In progress, a new performance space was opened in Fall of 2013 (The Black Box). Blair Hall is in greater need of an upgrade than it was in 2006</w:t>
            </w:r>
          </w:p>
          <w:p w14:paraId="00383832" w14:textId="408F1531" w:rsidR="00AE192E" w:rsidRDefault="00AE192E" w:rsidP="00AE192E">
            <w:pPr>
              <w:pStyle w:val="ListParagraph"/>
              <w:numPr>
                <w:ilvl w:val="0"/>
                <w:numId w:val="20"/>
              </w:numPr>
              <w:rPr>
                <w:rFonts w:asciiTheme="minorHAnsi" w:hAnsiTheme="minorHAnsi" w:cs="Arial"/>
                <w:color w:val="000000" w:themeColor="text1"/>
                <w:sz w:val="20"/>
              </w:rPr>
            </w:pPr>
            <w:r>
              <w:rPr>
                <w:rFonts w:asciiTheme="minorHAnsi" w:hAnsiTheme="minorHAnsi" w:cs="Arial"/>
                <w:color w:val="000000" w:themeColor="text1"/>
                <w:sz w:val="20"/>
              </w:rPr>
              <w:t>Resolved. Additional classroom space was gained with the opening of the Black Box, which also serves as a classroom</w:t>
            </w:r>
          </w:p>
          <w:p w14:paraId="639C2CC2" w14:textId="57D98235" w:rsidR="00BF6CCF" w:rsidRPr="00AE192E" w:rsidRDefault="00AE192E" w:rsidP="008A5DAB">
            <w:pPr>
              <w:pStyle w:val="ListParagraph"/>
              <w:numPr>
                <w:ilvl w:val="0"/>
                <w:numId w:val="20"/>
              </w:numPr>
              <w:rPr>
                <w:rFonts w:asciiTheme="minorHAnsi" w:hAnsiTheme="minorHAnsi" w:cs="Arial"/>
                <w:color w:val="000000" w:themeColor="text1"/>
                <w:sz w:val="20"/>
              </w:rPr>
            </w:pPr>
            <w:r>
              <w:rPr>
                <w:rFonts w:asciiTheme="minorHAnsi" w:hAnsiTheme="minorHAnsi" w:cs="Arial"/>
                <w:color w:val="000000" w:themeColor="text1"/>
                <w:sz w:val="20"/>
              </w:rPr>
              <w:t>Some staffing has been re-arranged for the costume shop and marketing, but more is still needed as semester conversion brought about more theatre productions. The scene shop has seen no re-arrangement or increase in staffing.</w:t>
            </w:r>
          </w:p>
        </w:tc>
      </w:tr>
    </w:tbl>
    <w:p w14:paraId="55E247FB" w14:textId="07D07FFA" w:rsidR="00B75DD0" w:rsidRDefault="00B75DD0" w:rsidP="003D6D6E">
      <w:pPr>
        <w:ind w:left="900"/>
        <w:rPr>
          <w:rFonts w:ascii="Arial" w:hAnsi="Arial" w:cs="Arial"/>
          <w:b/>
          <w:color w:val="000000" w:themeColor="text1"/>
          <w:u w:val="single"/>
        </w:rPr>
      </w:pPr>
    </w:p>
    <w:p w14:paraId="434E6FE5" w14:textId="77777777" w:rsidR="00BF6CCF" w:rsidRDefault="00BF6CCF" w:rsidP="002147B2">
      <w:pPr>
        <w:rPr>
          <w:rFonts w:ascii="Arial" w:hAnsi="Arial" w:cs="Arial"/>
          <w:b/>
          <w:color w:val="000000" w:themeColor="text1"/>
          <w:sz w:val="20"/>
          <w:szCs w:val="20"/>
          <w:u w:val="single"/>
        </w:rPr>
        <w:sectPr w:rsidR="00BF6CCF" w:rsidSect="00EF15CD">
          <w:pgSz w:w="15840" w:h="12240" w:orient="landscape"/>
          <w:pgMar w:top="1440" w:right="1152" w:bottom="1440" w:left="1152" w:header="720" w:footer="288" w:gutter="0"/>
          <w:cols w:space="720"/>
          <w:docGrid w:linePitch="360"/>
        </w:sectPr>
      </w:pPr>
    </w:p>
    <w:p w14:paraId="1006DB48" w14:textId="77777777" w:rsidR="009B1C4E" w:rsidRDefault="009B1C4E" w:rsidP="009B1C4E">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14:paraId="721722F5" w14:textId="77777777" w:rsidR="009B1C4E" w:rsidRDefault="009B1C4E" w:rsidP="009B1C4E">
      <w:pPr>
        <w:rPr>
          <w:rFonts w:ascii="Arial" w:hAnsi="Arial" w:cs="Arial"/>
          <w:color w:val="000000"/>
          <w:sz w:val="20"/>
          <w:szCs w:val="20"/>
        </w:rPr>
      </w:pPr>
    </w:p>
    <w:p w14:paraId="7CA50DFB" w14:textId="77777777" w:rsidR="009B1C4E" w:rsidRDefault="009B1C4E" w:rsidP="009B1C4E">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14:paraId="6316557C" w14:textId="77777777" w:rsidR="009B1C4E" w:rsidRDefault="009B1C4E" w:rsidP="009B1C4E">
      <w:pPr>
        <w:rPr>
          <w:rFonts w:ascii="Arial" w:hAnsi="Arial" w:cs="Arial"/>
          <w:color w:val="000000"/>
          <w:sz w:val="20"/>
          <w:szCs w:val="20"/>
        </w:rPr>
      </w:pPr>
    </w:p>
    <w:p w14:paraId="6ADA6743" w14:textId="77777777" w:rsidR="009B1C4E" w:rsidRDefault="009B1C4E" w:rsidP="009B1C4E">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14:paraId="57B860C9" w14:textId="77777777" w:rsidR="009B1C4E" w:rsidRDefault="009B1C4E" w:rsidP="009B1C4E">
      <w:pPr>
        <w:rPr>
          <w:rFonts w:ascii="Arial" w:hAnsi="Arial" w:cs="Arial"/>
          <w:b/>
          <w:color w:val="FF0000"/>
          <w:sz w:val="20"/>
          <w:szCs w:val="20"/>
        </w:rPr>
      </w:pPr>
    </w:p>
    <w:p w14:paraId="5765EB24" w14:textId="77777777" w:rsidR="009B1C4E" w:rsidRDefault="009B1C4E" w:rsidP="009B1C4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14:paraId="7BFAA209" w14:textId="77777777" w:rsidR="009B1C4E" w:rsidRDefault="009B1C4E" w:rsidP="009B1C4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14:paraId="59272AEE" w14:textId="77777777" w:rsidR="009B1C4E" w:rsidRDefault="009B1C4E" w:rsidP="009B1C4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14:paraId="4EA6C972" w14:textId="77777777" w:rsidR="009B1C4E" w:rsidRDefault="009B1C4E" w:rsidP="009B1C4E">
      <w:pPr>
        <w:rPr>
          <w:rFonts w:ascii="Arial" w:hAnsi="Arial" w:cs="Arial"/>
          <w:b/>
          <w:color w:val="FF0000"/>
          <w:sz w:val="20"/>
          <w:szCs w:val="20"/>
        </w:rPr>
      </w:pPr>
    </w:p>
    <w:p w14:paraId="6F8B0436" w14:textId="77777777" w:rsidR="009B1C4E" w:rsidRDefault="009B1C4E" w:rsidP="009B1C4E">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14:paraId="432D77BD" w14:textId="77777777" w:rsidR="009B1C4E" w:rsidRDefault="009B1C4E" w:rsidP="009B1C4E">
      <w:pPr>
        <w:rPr>
          <w:rFonts w:ascii="Arial" w:hAnsi="Arial" w:cs="Arial"/>
          <w:b/>
          <w:color w:val="FF0000"/>
          <w:sz w:val="20"/>
          <w:szCs w:val="20"/>
        </w:rPr>
      </w:pPr>
    </w:p>
    <w:p w14:paraId="42576BB2" w14:textId="77777777" w:rsidR="009B1C4E" w:rsidRDefault="009B1C4E" w:rsidP="009B1C4E">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14:paraId="2ECB63EE" w14:textId="77777777" w:rsidR="009B1C4E" w:rsidRDefault="009B1C4E" w:rsidP="009B1C4E">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9B1C4E" w14:paraId="595CF996" w14:textId="77777777" w:rsidTr="009B1C4E">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57A40" w14:textId="77777777" w:rsidR="009B1C4E" w:rsidRDefault="009B1C4E">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14:paraId="71EFCC74" w14:textId="77777777" w:rsidR="009B1C4E" w:rsidRDefault="009B1C4E">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17836ADD" w14:textId="77777777" w:rsidR="009B1C4E" w:rsidRDefault="009B1C4E">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27A76958" w14:textId="77777777" w:rsidR="009B1C4E" w:rsidRDefault="009B1C4E">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14:paraId="5C810C44" w14:textId="77777777" w:rsidR="009B1C4E" w:rsidRDefault="009B1C4E">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14:paraId="5DC0687D" w14:textId="77777777" w:rsidR="009B1C4E" w:rsidRDefault="009B1C4E">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14:paraId="397570CE" w14:textId="77777777" w:rsidR="009B1C4E" w:rsidRDefault="009B1C4E">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14:paraId="7264647A" w14:textId="77777777" w:rsidR="009B1C4E" w:rsidRDefault="009B1C4E">
            <w:pPr>
              <w:spacing w:line="256" w:lineRule="auto"/>
              <w:jc w:val="center"/>
              <w:rPr>
                <w:rFonts w:ascii="Calibri" w:hAnsi="Calibri" w:cs="Arial"/>
                <w:b/>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p w14:paraId="106F8EAA" w14:textId="77777777" w:rsidR="001A7740" w:rsidRDefault="001A7740">
            <w:pPr>
              <w:spacing w:line="256" w:lineRule="auto"/>
              <w:jc w:val="center"/>
              <w:rPr>
                <w:rFonts w:ascii="Calibri" w:hAnsi="Calibri" w:cs="Arial"/>
                <w:b/>
                <w:color w:val="000000"/>
                <w:sz w:val="20"/>
              </w:rPr>
            </w:pPr>
          </w:p>
          <w:p w14:paraId="6975702A" w14:textId="59229A0D" w:rsidR="001A7740" w:rsidRDefault="001A7740" w:rsidP="001A7740">
            <w:pPr>
              <w:spacing w:line="256" w:lineRule="auto"/>
              <w:rPr>
                <w:rFonts w:ascii="Calibri" w:hAnsi="Calibri" w:cs="Arial"/>
                <w:color w:val="000000"/>
                <w:sz w:val="20"/>
              </w:rPr>
            </w:pPr>
            <w:r>
              <w:rPr>
                <w:rFonts w:ascii="Calibri" w:hAnsi="Calibri" w:cs="Arial"/>
                <w:b/>
                <w:color w:val="000000"/>
                <w:sz w:val="20"/>
              </w:rPr>
              <w:t>Assignments that will be used to assess the mastery of competency</w:t>
            </w:r>
          </w:p>
        </w:tc>
      </w:tr>
      <w:tr w:rsidR="009B1C4E" w14:paraId="197EB2E9" w14:textId="77777777" w:rsidTr="009B1C4E">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DFD2C5" w14:textId="77777777" w:rsidR="009B1C4E" w:rsidRDefault="009B1C4E">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4BA5C341" w14:textId="77777777" w:rsidR="009B1C4E" w:rsidRDefault="009B1C4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31407FD6" w14:textId="77777777" w:rsidR="009B1C4E" w:rsidRDefault="009B1C4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12750BD0" w14:textId="1D796626" w:rsidR="009B1C4E" w:rsidRDefault="001A7740">
            <w:pPr>
              <w:spacing w:line="256" w:lineRule="auto"/>
              <w:ind w:left="72"/>
              <w:rPr>
                <w:rFonts w:ascii="Calibri" w:hAnsi="Calibri" w:cs="Arial"/>
                <w:color w:val="000000"/>
              </w:rPr>
            </w:pPr>
            <w:r>
              <w:rPr>
                <w:rFonts w:ascii="Calibri" w:hAnsi="Calibri" w:cs="Arial"/>
                <w:color w:val="000000"/>
              </w:rPr>
              <w:t>THE2206 Script Analysis</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30119A1B" w14:textId="77777777" w:rsidR="001A7740" w:rsidRDefault="001A7740">
            <w:pPr>
              <w:spacing w:line="256" w:lineRule="auto"/>
              <w:ind w:left="72"/>
              <w:rPr>
                <w:rFonts w:ascii="Calibri" w:hAnsi="Calibri" w:cs="Arial"/>
                <w:color w:val="000000"/>
              </w:rPr>
            </w:pPr>
            <w:r>
              <w:rPr>
                <w:rFonts w:ascii="Calibri" w:hAnsi="Calibri" w:cs="Arial"/>
                <w:color w:val="000000"/>
              </w:rPr>
              <w:t>Buried Child Research Paper</w:t>
            </w:r>
          </w:p>
          <w:p w14:paraId="153AE7F0" w14:textId="77777777" w:rsidR="001A7740" w:rsidRDefault="001A7740">
            <w:pPr>
              <w:spacing w:line="256" w:lineRule="auto"/>
              <w:ind w:left="72"/>
              <w:rPr>
                <w:rFonts w:ascii="Calibri" w:hAnsi="Calibri" w:cs="Arial"/>
                <w:color w:val="000000"/>
              </w:rPr>
            </w:pPr>
            <w:r>
              <w:rPr>
                <w:rFonts w:ascii="Calibri" w:hAnsi="Calibri" w:cs="Arial"/>
                <w:color w:val="000000"/>
              </w:rPr>
              <w:t>Production Review</w:t>
            </w:r>
          </w:p>
          <w:p w14:paraId="2F52E096" w14:textId="34B259C0" w:rsidR="001A7740" w:rsidRDefault="001A7740">
            <w:pPr>
              <w:spacing w:line="256" w:lineRule="auto"/>
              <w:ind w:left="72"/>
              <w:rPr>
                <w:rFonts w:ascii="Calibri" w:hAnsi="Calibri" w:cs="Arial"/>
                <w:color w:val="000000"/>
              </w:rPr>
            </w:pPr>
            <w:r>
              <w:rPr>
                <w:rFonts w:ascii="Calibri" w:hAnsi="Calibri" w:cs="Arial"/>
                <w:color w:val="000000"/>
              </w:rPr>
              <w:t>Angels in America Directors binder and presentation</w:t>
            </w:r>
          </w:p>
        </w:tc>
      </w:tr>
      <w:tr w:rsidR="009B1C4E" w14:paraId="6556719C" w14:textId="77777777" w:rsidTr="009B1C4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A25502" w14:textId="0FE08DF3" w:rsidR="009B1C4E" w:rsidRDefault="009B1C4E">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6AA408B0" w14:textId="77777777" w:rsidR="009B1C4E" w:rsidRDefault="009B1C4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31EE3569" w14:textId="77777777" w:rsidR="009B1C4E" w:rsidRDefault="009B1C4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1A83BF16" w14:textId="21D33868" w:rsidR="009B1C4E" w:rsidRDefault="001A7740">
            <w:pPr>
              <w:spacing w:line="256" w:lineRule="auto"/>
              <w:ind w:left="72"/>
              <w:rPr>
                <w:rFonts w:ascii="Calibri" w:hAnsi="Calibri" w:cs="Arial"/>
                <w:color w:val="000000"/>
              </w:rPr>
            </w:pPr>
            <w:r>
              <w:rPr>
                <w:rFonts w:ascii="Calibri" w:hAnsi="Calibri" w:cs="Arial"/>
                <w:color w:val="000000"/>
              </w:rPr>
              <w:t>THE2206 Script Analysis</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665475F0" w14:textId="77777777" w:rsidR="001A7740" w:rsidRDefault="001A7740" w:rsidP="001A7740">
            <w:pPr>
              <w:spacing w:line="256" w:lineRule="auto"/>
              <w:ind w:left="72"/>
              <w:rPr>
                <w:rFonts w:ascii="Calibri" w:hAnsi="Calibri" w:cs="Arial"/>
                <w:color w:val="000000"/>
              </w:rPr>
            </w:pPr>
            <w:r>
              <w:rPr>
                <w:rFonts w:ascii="Calibri" w:hAnsi="Calibri" w:cs="Arial"/>
                <w:color w:val="000000"/>
              </w:rPr>
              <w:t>Buried Child Research Paper</w:t>
            </w:r>
          </w:p>
          <w:p w14:paraId="4B465C79" w14:textId="3949DF2A" w:rsidR="009B1C4E" w:rsidRDefault="001A7740" w:rsidP="001A7740">
            <w:pPr>
              <w:spacing w:line="256" w:lineRule="auto"/>
              <w:ind w:left="72"/>
              <w:rPr>
                <w:rFonts w:ascii="Calibri" w:hAnsi="Calibri" w:cs="Arial"/>
                <w:color w:val="000000"/>
              </w:rPr>
            </w:pPr>
            <w:r>
              <w:rPr>
                <w:rFonts w:ascii="Calibri" w:hAnsi="Calibri" w:cs="Arial"/>
                <w:color w:val="000000"/>
              </w:rPr>
              <w:t>Angels in America Directors binder and presentation</w:t>
            </w:r>
          </w:p>
        </w:tc>
      </w:tr>
      <w:tr w:rsidR="009B1C4E" w14:paraId="3E333F67" w14:textId="77777777" w:rsidTr="009B1C4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515DD7" w14:textId="77777777" w:rsidR="009B1C4E" w:rsidRDefault="009B1C4E">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0C89D7BA" w14:textId="77777777" w:rsidR="009B1C4E" w:rsidRDefault="009B1C4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1F25AD26" w14:textId="77777777" w:rsidR="009B1C4E" w:rsidRDefault="009B1C4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03705596" w14:textId="3F27BC02" w:rsidR="009B1C4E" w:rsidRDefault="001A7740">
            <w:pPr>
              <w:spacing w:line="256" w:lineRule="auto"/>
              <w:ind w:left="72"/>
              <w:rPr>
                <w:rFonts w:ascii="Calibri" w:hAnsi="Calibri" w:cs="Arial"/>
                <w:color w:val="000000"/>
              </w:rPr>
            </w:pPr>
            <w:r>
              <w:rPr>
                <w:rFonts w:ascii="Calibri" w:hAnsi="Calibri" w:cs="Arial"/>
                <w:color w:val="000000"/>
              </w:rPr>
              <w:t xml:space="preserve">THE2206 Script </w:t>
            </w:r>
            <w:r>
              <w:rPr>
                <w:rFonts w:ascii="Calibri" w:hAnsi="Calibri" w:cs="Arial"/>
                <w:color w:val="000000"/>
              </w:rPr>
              <w:lastRenderedPageBreak/>
              <w:t>Analysis</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620313B7" w14:textId="77777777" w:rsidR="001A7740" w:rsidRDefault="001A7740" w:rsidP="001A7740">
            <w:pPr>
              <w:spacing w:line="256" w:lineRule="auto"/>
              <w:ind w:left="72"/>
              <w:rPr>
                <w:rFonts w:ascii="Calibri" w:hAnsi="Calibri" w:cs="Arial"/>
                <w:color w:val="000000"/>
              </w:rPr>
            </w:pPr>
            <w:r>
              <w:rPr>
                <w:rFonts w:ascii="Calibri" w:hAnsi="Calibri" w:cs="Arial"/>
                <w:color w:val="000000"/>
              </w:rPr>
              <w:lastRenderedPageBreak/>
              <w:t>Buried Child Research Paper</w:t>
            </w:r>
          </w:p>
          <w:p w14:paraId="0790199D" w14:textId="5BBFFB3E" w:rsidR="009B1C4E" w:rsidRDefault="001A7740" w:rsidP="001A7740">
            <w:pPr>
              <w:spacing w:line="256" w:lineRule="auto"/>
              <w:ind w:left="72"/>
              <w:rPr>
                <w:rFonts w:ascii="Calibri" w:hAnsi="Calibri" w:cs="Arial"/>
                <w:color w:val="000000"/>
              </w:rPr>
            </w:pPr>
            <w:r>
              <w:rPr>
                <w:rFonts w:ascii="Calibri" w:hAnsi="Calibri" w:cs="Arial"/>
                <w:color w:val="000000"/>
              </w:rPr>
              <w:lastRenderedPageBreak/>
              <w:t>Angels in America Directors binder and presentation</w:t>
            </w:r>
          </w:p>
        </w:tc>
      </w:tr>
      <w:tr w:rsidR="009B1C4E" w14:paraId="4411DAE8" w14:textId="77777777" w:rsidTr="009B1C4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F142211" w14:textId="77777777" w:rsidR="009B1C4E" w:rsidRDefault="009B1C4E">
            <w:pPr>
              <w:tabs>
                <w:tab w:val="left" w:pos="5040"/>
              </w:tabs>
              <w:spacing w:line="256" w:lineRule="auto"/>
              <w:rPr>
                <w:rFonts w:ascii="Calibri" w:hAnsi="Calibri" w:cs="Arial"/>
                <w:color w:val="FFFFFF"/>
              </w:rPr>
            </w:pPr>
            <w:r>
              <w:rPr>
                <w:rFonts w:ascii="Calibri" w:hAnsi="Calibri" w:cs="Arial"/>
                <w:color w:val="FFFFFF"/>
              </w:rPr>
              <w:lastRenderedPageBreak/>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526BC33C" w14:textId="77777777" w:rsidR="009B1C4E" w:rsidRDefault="009B1C4E">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0B2DC591" w14:textId="77777777" w:rsidR="009B1C4E" w:rsidRDefault="009B1C4E">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76010D4F" w14:textId="77777777" w:rsidR="009B1C4E" w:rsidRDefault="009B1C4E">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21689466" w14:textId="77777777" w:rsidR="009B1C4E" w:rsidRDefault="009B1C4E">
            <w:pPr>
              <w:spacing w:line="256" w:lineRule="auto"/>
              <w:ind w:left="72"/>
              <w:rPr>
                <w:rFonts w:ascii="Calibri" w:hAnsi="Calibri" w:cs="Arial"/>
                <w:color w:val="FFFFFF"/>
              </w:rPr>
            </w:pPr>
          </w:p>
        </w:tc>
      </w:tr>
      <w:tr w:rsidR="009B1C4E" w14:paraId="6479DC19" w14:textId="77777777" w:rsidTr="009B1C4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7C07C58D" w14:textId="77777777" w:rsidR="009B1C4E" w:rsidRDefault="009B1C4E">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5132B92B" w14:textId="77777777" w:rsidR="009B1C4E" w:rsidRDefault="009B1C4E">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21F685B5" w14:textId="77777777" w:rsidR="009B1C4E" w:rsidRDefault="009B1C4E">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0974377D" w14:textId="77777777" w:rsidR="009B1C4E" w:rsidRDefault="009B1C4E">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4A817BDE" w14:textId="77777777" w:rsidR="009B1C4E" w:rsidRDefault="009B1C4E">
            <w:pPr>
              <w:spacing w:line="256" w:lineRule="auto"/>
              <w:ind w:left="72"/>
              <w:rPr>
                <w:rFonts w:ascii="Calibri" w:hAnsi="Calibri" w:cs="Arial"/>
                <w:color w:val="FFFFFF"/>
              </w:rPr>
            </w:pPr>
          </w:p>
        </w:tc>
      </w:tr>
      <w:tr w:rsidR="009B1C4E" w14:paraId="116D0793" w14:textId="77777777" w:rsidTr="009B1C4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1FD8CDD" w14:textId="77777777" w:rsidR="009B1C4E" w:rsidRDefault="009B1C4E">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6711D5B2" w14:textId="77777777" w:rsidR="009B1C4E" w:rsidRDefault="009B1C4E">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323FFE95" w14:textId="77777777" w:rsidR="009B1C4E" w:rsidRDefault="009B1C4E">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5C1669B4" w14:textId="77777777" w:rsidR="009B1C4E" w:rsidRDefault="009B1C4E">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62E1F47B" w14:textId="77777777" w:rsidR="009B1C4E" w:rsidRDefault="009B1C4E">
            <w:pPr>
              <w:spacing w:line="256" w:lineRule="auto"/>
              <w:ind w:left="72"/>
              <w:rPr>
                <w:rFonts w:ascii="Calibri" w:hAnsi="Calibri" w:cs="Arial"/>
                <w:color w:val="FFFFFF"/>
              </w:rPr>
            </w:pPr>
          </w:p>
        </w:tc>
      </w:tr>
      <w:tr w:rsidR="009B1C4E" w14:paraId="51F2B9BA" w14:textId="77777777" w:rsidTr="00FD4F5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EC853AB" w14:textId="77777777" w:rsidR="009B1C4E" w:rsidRDefault="009B1C4E">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14:paraId="063E829E" w14:textId="77777777" w:rsidR="009B1C4E" w:rsidRDefault="009B1C4E">
            <w:pPr>
              <w:spacing w:line="256" w:lineRule="auto"/>
              <w:ind w:left="72"/>
              <w:rPr>
                <w:rFonts w:ascii="Calibri" w:hAnsi="Calibri" w:cs="Arial"/>
                <w:color w:val="000000"/>
              </w:rPr>
            </w:pPr>
          </w:p>
          <w:p w14:paraId="2725A36B" w14:textId="77777777" w:rsidR="009B1C4E" w:rsidRDefault="009B1C4E">
            <w:pPr>
              <w:spacing w:line="256" w:lineRule="auto"/>
              <w:ind w:left="72"/>
              <w:rPr>
                <w:rFonts w:ascii="Calibri" w:hAnsi="Calibri" w:cs="Arial"/>
                <w:b/>
                <w:color w:val="000000"/>
              </w:rPr>
            </w:pPr>
            <w:r>
              <w:rPr>
                <w:rFonts w:ascii="Calibri" w:hAnsi="Calibri" w:cs="Arial"/>
                <w:b/>
                <w:color w:val="000000"/>
              </w:rPr>
              <w:t>OPTIONAL FOR FY 2014-15</w:t>
            </w:r>
          </w:p>
          <w:p w14:paraId="69FB064D" w14:textId="77777777" w:rsidR="009B1C4E" w:rsidRDefault="009B1C4E">
            <w:pPr>
              <w:spacing w:line="256" w:lineRule="auto"/>
              <w:ind w:left="72"/>
              <w:rPr>
                <w:rFonts w:ascii="Calibri" w:hAnsi="Calibri" w:cs="Arial"/>
                <w:color w:val="000000"/>
              </w:rPr>
            </w:pPr>
          </w:p>
          <w:p w14:paraId="5E2DAE48" w14:textId="77777777" w:rsidR="009B1C4E" w:rsidRDefault="009B1C4E">
            <w:pPr>
              <w:spacing w:line="256" w:lineRule="auto"/>
              <w:ind w:left="72"/>
              <w:rPr>
                <w:rFonts w:ascii="Calibri" w:hAnsi="Calibri" w:cs="Arial"/>
                <w:color w:val="000000"/>
              </w:rPr>
            </w:pPr>
          </w:p>
          <w:p w14:paraId="1983F918" w14:textId="77777777" w:rsidR="009B1C4E" w:rsidRDefault="009B1C4E">
            <w:pPr>
              <w:spacing w:line="256" w:lineRule="auto"/>
              <w:ind w:left="72"/>
              <w:rPr>
                <w:rFonts w:ascii="Calibri" w:hAnsi="Calibri" w:cs="Arial"/>
                <w:color w:val="000000"/>
              </w:rPr>
            </w:pPr>
          </w:p>
          <w:p w14:paraId="76F7C7A3" w14:textId="77777777" w:rsidR="009B1C4E" w:rsidRDefault="009B1C4E">
            <w:pPr>
              <w:spacing w:line="256" w:lineRule="auto"/>
              <w:ind w:left="72"/>
              <w:rPr>
                <w:rFonts w:ascii="Calibri" w:hAnsi="Calibri" w:cs="Arial"/>
                <w:color w:val="000000"/>
              </w:rPr>
            </w:pPr>
          </w:p>
          <w:p w14:paraId="1AB2A1B7" w14:textId="77777777" w:rsidR="009B1C4E" w:rsidRDefault="009B1C4E">
            <w:pPr>
              <w:spacing w:line="256" w:lineRule="auto"/>
              <w:ind w:left="72"/>
              <w:rPr>
                <w:rFonts w:ascii="Calibri" w:hAnsi="Calibri" w:cs="Arial"/>
                <w:color w:val="000000"/>
              </w:rPr>
            </w:pPr>
          </w:p>
        </w:tc>
      </w:tr>
      <w:tr w:rsidR="009B1C4E" w14:paraId="3C1C1B55" w14:textId="77777777" w:rsidTr="00FD4F5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CC0303" w14:textId="77777777" w:rsidR="009B1C4E" w:rsidRDefault="009B1C4E">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14:paraId="189C8041" w14:textId="77777777" w:rsidR="009B1C4E" w:rsidRDefault="009B1C4E">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14:paraId="46F1023F" w14:textId="77777777" w:rsidR="009B1C4E" w:rsidRDefault="009B1C4E">
            <w:pPr>
              <w:spacing w:line="256" w:lineRule="auto"/>
              <w:ind w:left="72"/>
              <w:rPr>
                <w:rFonts w:ascii="Calibri" w:hAnsi="Calibri" w:cs="Arial"/>
                <w:color w:val="000000"/>
              </w:rPr>
            </w:pPr>
          </w:p>
          <w:p w14:paraId="26F0136A" w14:textId="77777777" w:rsidR="009B1C4E" w:rsidRDefault="009B1C4E">
            <w:pPr>
              <w:spacing w:line="256" w:lineRule="auto"/>
              <w:ind w:left="72"/>
              <w:rPr>
                <w:rFonts w:ascii="Calibri" w:hAnsi="Calibri" w:cs="Arial"/>
                <w:color w:val="000000"/>
              </w:rPr>
            </w:pPr>
          </w:p>
          <w:p w14:paraId="63258BE4" w14:textId="77777777" w:rsidR="009B1C4E" w:rsidRDefault="009B1C4E">
            <w:pPr>
              <w:spacing w:line="256" w:lineRule="auto"/>
              <w:ind w:left="72"/>
              <w:rPr>
                <w:rFonts w:ascii="Calibri" w:hAnsi="Calibri" w:cs="Arial"/>
                <w:b/>
                <w:color w:val="000000"/>
              </w:rPr>
            </w:pPr>
            <w:r>
              <w:rPr>
                <w:rFonts w:ascii="Calibri" w:hAnsi="Calibri" w:cs="Arial"/>
                <w:b/>
                <w:color w:val="000000"/>
              </w:rPr>
              <w:t>OPTIONAL FOR FY 2014-15</w:t>
            </w:r>
          </w:p>
          <w:p w14:paraId="3274A77C" w14:textId="77777777" w:rsidR="009B1C4E" w:rsidRDefault="009B1C4E">
            <w:pPr>
              <w:spacing w:line="256" w:lineRule="auto"/>
              <w:ind w:left="72"/>
              <w:rPr>
                <w:rFonts w:ascii="Calibri" w:hAnsi="Calibri" w:cs="Arial"/>
                <w:color w:val="000000"/>
              </w:rPr>
            </w:pPr>
          </w:p>
          <w:p w14:paraId="404A0AFA" w14:textId="77777777" w:rsidR="009B1C4E" w:rsidRDefault="009B1C4E">
            <w:pPr>
              <w:spacing w:line="256" w:lineRule="auto"/>
              <w:ind w:left="72"/>
              <w:rPr>
                <w:rFonts w:ascii="Calibri" w:hAnsi="Calibri" w:cs="Arial"/>
                <w:color w:val="000000"/>
              </w:rPr>
            </w:pPr>
          </w:p>
          <w:p w14:paraId="7393E4DF" w14:textId="77777777" w:rsidR="009B1C4E" w:rsidRDefault="009B1C4E">
            <w:pPr>
              <w:spacing w:line="256" w:lineRule="auto"/>
              <w:ind w:left="72"/>
              <w:rPr>
                <w:rFonts w:ascii="Calibri" w:hAnsi="Calibri" w:cs="Arial"/>
                <w:color w:val="000000"/>
              </w:rPr>
            </w:pPr>
          </w:p>
          <w:p w14:paraId="0BC026DE" w14:textId="77777777" w:rsidR="009B1C4E" w:rsidRDefault="009B1C4E">
            <w:pPr>
              <w:spacing w:line="256" w:lineRule="auto"/>
              <w:ind w:left="72"/>
              <w:rPr>
                <w:rFonts w:ascii="Calibri" w:hAnsi="Calibri" w:cs="Arial"/>
                <w:color w:val="000000"/>
              </w:rPr>
            </w:pPr>
          </w:p>
          <w:p w14:paraId="659FBCD5" w14:textId="77777777" w:rsidR="009B1C4E" w:rsidRDefault="009B1C4E">
            <w:pPr>
              <w:spacing w:line="256" w:lineRule="auto"/>
              <w:ind w:left="72"/>
              <w:rPr>
                <w:rFonts w:ascii="Calibri" w:hAnsi="Calibri" w:cs="Arial"/>
                <w:color w:val="000000"/>
              </w:rPr>
            </w:pPr>
          </w:p>
        </w:tc>
      </w:tr>
    </w:tbl>
    <w:p w14:paraId="1D51718F" w14:textId="77777777" w:rsidR="009B1C4E" w:rsidRDefault="009B1C4E" w:rsidP="009B1C4E"/>
    <w:p w14:paraId="587E4115" w14:textId="77777777" w:rsidR="009B1C4E" w:rsidRDefault="009B1C4E" w:rsidP="009B1C4E"/>
    <w:p w14:paraId="7E939D10" w14:textId="77777777" w:rsidR="009B1C4E" w:rsidRDefault="009B1C4E" w:rsidP="009B1C4E">
      <w:pPr>
        <w:ind w:left="900"/>
        <w:rPr>
          <w:rFonts w:ascii="Arial" w:hAnsi="Arial" w:cs="Arial"/>
          <w:b/>
          <w:color w:val="000000"/>
          <w:u w:val="single"/>
        </w:rPr>
      </w:pPr>
    </w:p>
    <w:p w14:paraId="7FFD783A" w14:textId="77777777" w:rsidR="009B1C4E" w:rsidRDefault="009B1C4E" w:rsidP="009B1C4E">
      <w:pPr>
        <w:rPr>
          <w:rFonts w:ascii="Arial" w:hAnsi="Arial" w:cs="Arial"/>
          <w:b/>
          <w:color w:val="000000"/>
          <w:u w:val="single"/>
        </w:rPr>
        <w:sectPr w:rsidR="009B1C4E">
          <w:pgSz w:w="15840" w:h="12240" w:orient="landscape"/>
          <w:pgMar w:top="1440" w:right="1152" w:bottom="1440" w:left="1152" w:header="720" w:footer="288" w:gutter="0"/>
          <w:cols w:space="720"/>
        </w:sectPr>
      </w:pPr>
    </w:p>
    <w:p w14:paraId="6961C392" w14:textId="77777777" w:rsidR="002147B2" w:rsidRDefault="002147B2" w:rsidP="002147B2"/>
    <w:p w14:paraId="2D00E553" w14:textId="77777777" w:rsidR="002147B2" w:rsidRDefault="002147B2"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14:paraId="783FC971" w14:textId="77777777" w:rsidTr="001A2E6B">
        <w:trPr>
          <w:trHeight w:val="274"/>
        </w:trPr>
        <w:tc>
          <w:tcPr>
            <w:tcW w:w="3708" w:type="dxa"/>
            <w:shd w:val="clear" w:color="auto" w:fill="FFFFFF"/>
            <w:vAlign w:val="center"/>
          </w:tcPr>
          <w:p w14:paraId="3977E257" w14:textId="77777777"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14:paraId="4732EC36" w14:textId="77777777"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079CADD6"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20C59288"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6933030"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7AC97E6" w14:textId="77777777" w:rsidR="00B34F9E" w:rsidRPr="004C52FC" w:rsidRDefault="00B34F9E" w:rsidP="00C50A91">
            <w:pPr>
              <w:jc w:val="center"/>
              <w:rPr>
                <w:rFonts w:asciiTheme="minorHAnsi" w:hAnsiTheme="minorHAnsi" w:cs="Arial"/>
                <w:color w:val="000000" w:themeColor="text1"/>
                <w:sz w:val="20"/>
              </w:rPr>
            </w:pPr>
          </w:p>
        </w:tc>
        <w:tc>
          <w:tcPr>
            <w:tcW w:w="4028" w:type="dxa"/>
          </w:tcPr>
          <w:p w14:paraId="634C330F"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7D4FC4DA"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440D0" w:rsidRPr="004C52FC" w14:paraId="260B6AD0" w14:textId="77777777" w:rsidTr="003440D0">
        <w:trPr>
          <w:trHeight w:val="274"/>
        </w:trPr>
        <w:tc>
          <w:tcPr>
            <w:tcW w:w="3708" w:type="dxa"/>
            <w:shd w:val="clear" w:color="auto" w:fill="FFFFFF"/>
          </w:tcPr>
          <w:p w14:paraId="421FE3C5"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Analyze a play's structure, character, themes and production values.</w:t>
            </w:r>
          </w:p>
        </w:tc>
        <w:tc>
          <w:tcPr>
            <w:tcW w:w="1742" w:type="dxa"/>
          </w:tcPr>
          <w:p w14:paraId="5C71CFCF" w14:textId="6E77B3A7" w:rsidR="003440D0" w:rsidRDefault="003440D0" w:rsidP="00BD0D2A">
            <w:pPr>
              <w:rPr>
                <w:rFonts w:ascii="Calibri" w:hAnsi="Calibri" w:cs="Calibri"/>
                <w:color w:val="000000"/>
                <w:sz w:val="22"/>
                <w:szCs w:val="22"/>
              </w:rPr>
            </w:pPr>
            <w:r>
              <w:rPr>
                <w:rFonts w:ascii="Calibri" w:hAnsi="Calibri" w:cs="Calibri"/>
                <w:color w:val="000000"/>
                <w:sz w:val="22"/>
                <w:szCs w:val="22"/>
              </w:rPr>
              <w:t xml:space="preserve">THE-1105  THE-1111 THE-1112  THE-2113  THE-2201  THE-2202  THE-2206                        </w:t>
            </w:r>
          </w:p>
        </w:tc>
        <w:tc>
          <w:tcPr>
            <w:tcW w:w="1430" w:type="dxa"/>
            <w:shd w:val="clear" w:color="auto" w:fill="auto"/>
          </w:tcPr>
          <w:p w14:paraId="153E30D6" w14:textId="0133FE4A" w:rsidR="003440D0"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14:paraId="096419CB" w14:textId="77777777" w:rsidR="003440D0" w:rsidRPr="004C52FC" w:rsidRDefault="003440D0" w:rsidP="000B42B6">
            <w:pPr>
              <w:pStyle w:val="ListParagraph"/>
              <w:tabs>
                <w:tab w:val="left" w:pos="5040"/>
              </w:tabs>
              <w:ind w:left="0"/>
              <w:rPr>
                <w:rFonts w:asciiTheme="minorHAnsi" w:hAnsiTheme="minorHAnsi" w:cs="Arial"/>
                <w:color w:val="000000" w:themeColor="text1"/>
              </w:rPr>
            </w:pPr>
          </w:p>
        </w:tc>
        <w:tc>
          <w:tcPr>
            <w:tcW w:w="4028" w:type="dxa"/>
          </w:tcPr>
          <w:p w14:paraId="4BBCD385" w14:textId="77777777" w:rsidR="003440D0" w:rsidRPr="004C52FC" w:rsidRDefault="003440D0" w:rsidP="000B42B6">
            <w:pPr>
              <w:pStyle w:val="ListParagraph"/>
              <w:tabs>
                <w:tab w:val="left" w:pos="5040"/>
              </w:tabs>
              <w:ind w:left="0"/>
              <w:rPr>
                <w:rFonts w:asciiTheme="minorHAnsi" w:hAnsiTheme="minorHAnsi" w:cs="Arial"/>
                <w:color w:val="000000" w:themeColor="text1"/>
              </w:rPr>
            </w:pPr>
          </w:p>
        </w:tc>
      </w:tr>
      <w:tr w:rsidR="009B5A54" w:rsidRPr="004C52FC" w14:paraId="7C53D49A" w14:textId="77777777" w:rsidTr="003440D0">
        <w:trPr>
          <w:trHeight w:val="72"/>
        </w:trPr>
        <w:tc>
          <w:tcPr>
            <w:tcW w:w="3708" w:type="dxa"/>
            <w:shd w:val="clear" w:color="auto" w:fill="FFFFFF"/>
          </w:tcPr>
          <w:p w14:paraId="1F0D6AB5"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Demonstrate competency in at least two different areas within the field of theatre (Acting; Directing; Costume Design; Set Design; Lighting Design; Stage Management; Technical Direction)</w:t>
            </w:r>
          </w:p>
        </w:tc>
        <w:tc>
          <w:tcPr>
            <w:tcW w:w="1742" w:type="dxa"/>
          </w:tcPr>
          <w:p w14:paraId="68DF1D8A" w14:textId="77777777" w:rsidR="00874898" w:rsidRDefault="009B5A54" w:rsidP="00BA21C1">
            <w:pPr>
              <w:rPr>
                <w:rFonts w:ascii="Calibri" w:hAnsi="Calibri" w:cs="Calibri"/>
                <w:color w:val="000000"/>
                <w:sz w:val="22"/>
                <w:szCs w:val="22"/>
              </w:rPr>
            </w:pPr>
            <w:r>
              <w:rPr>
                <w:rFonts w:ascii="Calibri" w:hAnsi="Calibri" w:cs="Calibri"/>
                <w:color w:val="000000"/>
                <w:sz w:val="22"/>
                <w:szCs w:val="22"/>
              </w:rPr>
              <w:t xml:space="preserve">THE-1105  </w:t>
            </w:r>
          </w:p>
          <w:p w14:paraId="23FDE6C0" w14:textId="77777777" w:rsidR="00874898" w:rsidRDefault="009B5A54" w:rsidP="00BA21C1">
            <w:pPr>
              <w:rPr>
                <w:rFonts w:ascii="Calibri" w:hAnsi="Calibri" w:cs="Calibri"/>
                <w:color w:val="000000"/>
                <w:sz w:val="22"/>
                <w:szCs w:val="22"/>
              </w:rPr>
            </w:pPr>
            <w:r>
              <w:rPr>
                <w:rFonts w:ascii="Calibri" w:hAnsi="Calibri" w:cs="Calibri"/>
                <w:color w:val="000000"/>
                <w:sz w:val="22"/>
                <w:szCs w:val="22"/>
              </w:rPr>
              <w:t xml:space="preserve">THE-1106 </w:t>
            </w:r>
          </w:p>
          <w:p w14:paraId="7357AA4E" w14:textId="77777777" w:rsidR="00874898" w:rsidRDefault="009B5A54" w:rsidP="00BA21C1">
            <w:pPr>
              <w:rPr>
                <w:rFonts w:ascii="Calibri" w:hAnsi="Calibri" w:cs="Calibri"/>
                <w:color w:val="000000"/>
                <w:sz w:val="22"/>
                <w:szCs w:val="22"/>
              </w:rPr>
            </w:pPr>
            <w:r>
              <w:rPr>
                <w:rFonts w:ascii="Calibri" w:hAnsi="Calibri" w:cs="Calibri"/>
                <w:color w:val="000000"/>
                <w:sz w:val="22"/>
                <w:szCs w:val="22"/>
              </w:rPr>
              <w:t>THE-2206</w:t>
            </w:r>
            <w:r w:rsidR="00874898">
              <w:rPr>
                <w:rFonts w:ascii="Calibri" w:hAnsi="Calibri" w:cs="Calibri"/>
                <w:color w:val="000000"/>
                <w:sz w:val="22"/>
                <w:szCs w:val="22"/>
              </w:rPr>
              <w:t xml:space="preserve"> </w:t>
            </w:r>
          </w:p>
          <w:p w14:paraId="60C35D9F" w14:textId="052D6175" w:rsidR="009B5A54" w:rsidRDefault="00874898" w:rsidP="00BA21C1">
            <w:pPr>
              <w:rPr>
                <w:rFonts w:ascii="Calibri" w:hAnsi="Calibri" w:cs="Calibri"/>
                <w:color w:val="000000"/>
                <w:sz w:val="22"/>
                <w:szCs w:val="22"/>
              </w:rPr>
            </w:pPr>
            <w:r>
              <w:rPr>
                <w:rFonts w:ascii="Calibri" w:hAnsi="Calibri" w:cs="Calibri"/>
                <w:color w:val="000000"/>
                <w:sz w:val="22"/>
                <w:szCs w:val="22"/>
              </w:rPr>
              <w:t>THE-1194/6</w:t>
            </w:r>
            <w:r w:rsidR="009B5A54">
              <w:rPr>
                <w:rFonts w:ascii="Calibri" w:hAnsi="Calibri" w:cs="Calibri"/>
                <w:color w:val="000000"/>
                <w:sz w:val="22"/>
                <w:szCs w:val="22"/>
              </w:rPr>
              <w:t xml:space="preserve">                          </w:t>
            </w:r>
          </w:p>
        </w:tc>
        <w:tc>
          <w:tcPr>
            <w:tcW w:w="1430" w:type="dxa"/>
            <w:shd w:val="clear" w:color="auto" w:fill="auto"/>
          </w:tcPr>
          <w:p w14:paraId="41EB7B9F" w14:textId="58C81D1B"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14:paraId="01F25AF5" w14:textId="3BC425AA" w:rsidR="009B5A54" w:rsidRDefault="009B5A54" w:rsidP="001A2E6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49981476" w14:textId="77777777" w:rsidR="009B5A54" w:rsidRPr="004C52FC" w:rsidRDefault="009B5A54" w:rsidP="001A2E6B">
            <w:pPr>
              <w:ind w:left="72"/>
              <w:rPr>
                <w:rFonts w:asciiTheme="minorHAnsi" w:hAnsiTheme="minorHAnsi" w:cs="Arial"/>
                <w:color w:val="000000" w:themeColor="text1"/>
              </w:rPr>
            </w:pPr>
          </w:p>
        </w:tc>
        <w:tc>
          <w:tcPr>
            <w:tcW w:w="4028" w:type="dxa"/>
          </w:tcPr>
          <w:p w14:paraId="6628D6BA" w14:textId="77777777" w:rsidR="009B5A54" w:rsidRDefault="009B5A54" w:rsidP="000E34EE">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7AA08D26" w14:textId="77777777" w:rsidR="009B5A54" w:rsidRPr="004C52FC" w:rsidRDefault="009B5A54" w:rsidP="001A2E6B">
            <w:pPr>
              <w:ind w:left="72"/>
              <w:rPr>
                <w:rFonts w:asciiTheme="minorHAnsi" w:hAnsiTheme="minorHAnsi" w:cs="Arial"/>
                <w:color w:val="000000" w:themeColor="text1"/>
              </w:rPr>
            </w:pPr>
          </w:p>
        </w:tc>
      </w:tr>
      <w:tr w:rsidR="009B5A54" w:rsidRPr="004C52FC" w14:paraId="72A34A05" w14:textId="77777777" w:rsidTr="003440D0">
        <w:trPr>
          <w:trHeight w:val="72"/>
        </w:trPr>
        <w:tc>
          <w:tcPr>
            <w:tcW w:w="3708" w:type="dxa"/>
            <w:shd w:val="clear" w:color="auto" w:fill="FFFFFF"/>
          </w:tcPr>
          <w:p w14:paraId="37100411"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Demonstrate competency with basic audition and performance techniques.</w:t>
            </w:r>
          </w:p>
        </w:tc>
        <w:tc>
          <w:tcPr>
            <w:tcW w:w="1742" w:type="dxa"/>
          </w:tcPr>
          <w:p w14:paraId="7C78DE35" w14:textId="4C6E7AFD"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THE-1111 THE-1112 THE2113 THE2114                               </w:t>
            </w:r>
          </w:p>
        </w:tc>
        <w:tc>
          <w:tcPr>
            <w:tcW w:w="1430" w:type="dxa"/>
            <w:shd w:val="clear" w:color="auto" w:fill="auto"/>
          </w:tcPr>
          <w:p w14:paraId="43F195E2" w14:textId="45F71A9E"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260FD80B"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8DFE8C6" w14:textId="77777777" w:rsidR="009B5A54" w:rsidRPr="004C52FC" w:rsidRDefault="009B5A54" w:rsidP="001A2E6B">
            <w:pPr>
              <w:ind w:left="72"/>
              <w:rPr>
                <w:rFonts w:asciiTheme="minorHAnsi" w:hAnsiTheme="minorHAnsi" w:cs="Arial"/>
                <w:color w:val="000000" w:themeColor="text1"/>
              </w:rPr>
            </w:pPr>
          </w:p>
        </w:tc>
        <w:tc>
          <w:tcPr>
            <w:tcW w:w="4028" w:type="dxa"/>
          </w:tcPr>
          <w:p w14:paraId="50F1D868"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6907FDDF" w14:textId="77777777" w:rsidR="009B5A54" w:rsidRPr="004C52FC" w:rsidRDefault="009B5A54" w:rsidP="001A2E6B">
            <w:pPr>
              <w:ind w:left="72"/>
              <w:rPr>
                <w:rFonts w:asciiTheme="minorHAnsi" w:hAnsiTheme="minorHAnsi" w:cs="Arial"/>
                <w:color w:val="000000" w:themeColor="text1"/>
              </w:rPr>
            </w:pPr>
          </w:p>
        </w:tc>
      </w:tr>
      <w:tr w:rsidR="009B5A54" w:rsidRPr="004C52FC" w14:paraId="1325D1BA" w14:textId="77777777" w:rsidTr="003440D0">
        <w:tblPrEx>
          <w:shd w:val="clear" w:color="auto" w:fill="auto"/>
          <w:tblLook w:val="04A0" w:firstRow="1" w:lastRow="0" w:firstColumn="1" w:lastColumn="0" w:noHBand="0" w:noVBand="1"/>
        </w:tblPrEx>
        <w:trPr>
          <w:trHeight w:val="72"/>
        </w:trPr>
        <w:tc>
          <w:tcPr>
            <w:tcW w:w="3708" w:type="dxa"/>
          </w:tcPr>
          <w:p w14:paraId="7D5BA53D"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3FDF0614"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THE-1105  THE-1106  THE-1111 THE-1112  THE-2201  THE-2202  THE-2206                          </w:t>
            </w:r>
          </w:p>
        </w:tc>
        <w:tc>
          <w:tcPr>
            <w:tcW w:w="1430" w:type="dxa"/>
          </w:tcPr>
          <w:p w14:paraId="69F8FCEA" w14:textId="4E3C4A85"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14:paraId="100B7A12"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356CEF2" w14:textId="77777777" w:rsidR="009B5A54" w:rsidRPr="004C52FC" w:rsidRDefault="009B5A54" w:rsidP="001A2E6B">
            <w:pPr>
              <w:ind w:left="72"/>
              <w:rPr>
                <w:rFonts w:asciiTheme="minorHAnsi" w:hAnsiTheme="minorHAnsi" w:cs="Arial"/>
                <w:color w:val="000000" w:themeColor="text1"/>
              </w:rPr>
            </w:pPr>
          </w:p>
        </w:tc>
        <w:tc>
          <w:tcPr>
            <w:tcW w:w="4028" w:type="dxa"/>
          </w:tcPr>
          <w:p w14:paraId="544DDB8D"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9EC8E8F" w14:textId="77777777" w:rsidR="009B5A54" w:rsidRPr="004C52FC" w:rsidRDefault="009B5A54" w:rsidP="001A2E6B">
            <w:pPr>
              <w:ind w:left="72"/>
              <w:rPr>
                <w:rFonts w:asciiTheme="minorHAnsi" w:hAnsiTheme="minorHAnsi" w:cs="Arial"/>
                <w:color w:val="000000" w:themeColor="text1"/>
              </w:rPr>
            </w:pPr>
          </w:p>
        </w:tc>
      </w:tr>
      <w:tr w:rsidR="009B5A54" w:rsidRPr="004C52FC" w14:paraId="3163CB6B" w14:textId="77777777" w:rsidTr="003440D0">
        <w:tblPrEx>
          <w:shd w:val="clear" w:color="auto" w:fill="auto"/>
          <w:tblLook w:val="04A0" w:firstRow="1" w:lastRow="0" w:firstColumn="1" w:lastColumn="0" w:noHBand="0" w:noVBand="1"/>
        </w:tblPrEx>
        <w:trPr>
          <w:trHeight w:val="72"/>
        </w:trPr>
        <w:tc>
          <w:tcPr>
            <w:tcW w:w="3708" w:type="dxa"/>
          </w:tcPr>
          <w:p w14:paraId="2CEB94E1"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Evaluate the contribution of the director, actors, designers and technical crew to a live theatrical production.</w:t>
            </w:r>
          </w:p>
        </w:tc>
        <w:tc>
          <w:tcPr>
            <w:tcW w:w="1742" w:type="dxa"/>
          </w:tcPr>
          <w:p w14:paraId="64BB3A14"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THE-1105  THE-1106  THE-1111 THE-1112  THE-2113                              </w:t>
            </w:r>
          </w:p>
        </w:tc>
        <w:tc>
          <w:tcPr>
            <w:tcW w:w="1430" w:type="dxa"/>
          </w:tcPr>
          <w:p w14:paraId="7DAFEFE6" w14:textId="33518CCB"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2015-16</w:t>
            </w:r>
          </w:p>
        </w:tc>
        <w:tc>
          <w:tcPr>
            <w:tcW w:w="2250" w:type="dxa"/>
          </w:tcPr>
          <w:p w14:paraId="61933434"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67468D39" w14:textId="77777777" w:rsidR="009B5A54" w:rsidRPr="004C52FC" w:rsidRDefault="009B5A54" w:rsidP="001A2E6B">
            <w:pPr>
              <w:ind w:left="72"/>
              <w:rPr>
                <w:rFonts w:asciiTheme="minorHAnsi" w:hAnsiTheme="minorHAnsi" w:cs="Arial"/>
                <w:color w:val="000000" w:themeColor="text1"/>
              </w:rPr>
            </w:pPr>
          </w:p>
        </w:tc>
        <w:tc>
          <w:tcPr>
            <w:tcW w:w="4028" w:type="dxa"/>
          </w:tcPr>
          <w:p w14:paraId="18A4B7D9"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022DC824" w14:textId="77777777" w:rsidR="009B5A54" w:rsidRPr="004C52FC" w:rsidRDefault="009B5A54" w:rsidP="001A2E6B">
            <w:pPr>
              <w:ind w:left="72"/>
              <w:rPr>
                <w:rFonts w:asciiTheme="minorHAnsi" w:hAnsiTheme="minorHAnsi" w:cs="Arial"/>
                <w:color w:val="000000" w:themeColor="text1"/>
              </w:rPr>
            </w:pPr>
          </w:p>
        </w:tc>
      </w:tr>
      <w:tr w:rsidR="009B5A54" w:rsidRPr="004C52FC" w14:paraId="35699609" w14:textId="77777777" w:rsidTr="003440D0">
        <w:tblPrEx>
          <w:shd w:val="clear" w:color="auto" w:fill="auto"/>
          <w:tblLook w:val="04A0" w:firstRow="1" w:lastRow="0" w:firstColumn="1" w:lastColumn="0" w:noHBand="0" w:noVBand="1"/>
        </w:tblPrEx>
        <w:trPr>
          <w:trHeight w:val="72"/>
        </w:trPr>
        <w:tc>
          <w:tcPr>
            <w:tcW w:w="3708" w:type="dxa"/>
          </w:tcPr>
          <w:p w14:paraId="5C7FA682"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Analyze a play's structure, character, themes and production values.</w:t>
            </w:r>
          </w:p>
        </w:tc>
        <w:tc>
          <w:tcPr>
            <w:tcW w:w="1742" w:type="dxa"/>
          </w:tcPr>
          <w:p w14:paraId="2823A384"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THE-1105  THE-1111  THE-2201 THE-2202  THE-2206                              </w:t>
            </w:r>
          </w:p>
        </w:tc>
        <w:tc>
          <w:tcPr>
            <w:tcW w:w="1430" w:type="dxa"/>
          </w:tcPr>
          <w:p w14:paraId="7A44D412" w14:textId="33B59955"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14:paraId="3D889D91" w14:textId="2DC4B59A" w:rsidR="009B5A54" w:rsidRDefault="009B5A54" w:rsidP="001A2E6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Play Structure” to see the assignments in major classes that look at this outcome</w:t>
            </w:r>
          </w:p>
          <w:p w14:paraId="3D119439" w14:textId="77777777" w:rsidR="009B5A54" w:rsidRPr="004C52FC" w:rsidRDefault="009B5A54" w:rsidP="001A2E6B">
            <w:pPr>
              <w:ind w:left="72"/>
              <w:rPr>
                <w:rFonts w:asciiTheme="minorHAnsi" w:hAnsiTheme="minorHAnsi" w:cs="Arial"/>
                <w:color w:val="000000" w:themeColor="text1"/>
              </w:rPr>
            </w:pPr>
          </w:p>
        </w:tc>
        <w:tc>
          <w:tcPr>
            <w:tcW w:w="4028" w:type="dxa"/>
          </w:tcPr>
          <w:p w14:paraId="667032A9" w14:textId="329D3674" w:rsidR="009B5A54" w:rsidRDefault="009B5A54" w:rsidP="001A2E6B">
            <w:pPr>
              <w:pStyle w:val="ListParagraph"/>
              <w:tabs>
                <w:tab w:val="left" w:pos="5040"/>
              </w:tabs>
              <w:ind w:left="0"/>
              <w:rPr>
                <w:rFonts w:ascii="Arial" w:hAnsi="Arial" w:cs="Arial"/>
                <w:color w:val="000000" w:themeColor="text1"/>
              </w:rPr>
            </w:pPr>
            <w:r w:rsidRPr="005A2AE5">
              <w:rPr>
                <w:rFonts w:asciiTheme="minorHAnsi" w:hAnsiTheme="minorHAnsi" w:cs="Arial"/>
                <w:b/>
                <w:color w:val="000000" w:themeColor="text1"/>
                <w:sz w:val="20"/>
                <w:szCs w:val="20"/>
              </w:rPr>
              <w:lastRenderedPageBreak/>
              <w:t>See Attachment: “Section III Assessment of Gen Ed - Degree Prog Outcomes”</w:t>
            </w:r>
          </w:p>
          <w:p w14:paraId="79546312" w14:textId="77777777" w:rsidR="009B5A54" w:rsidRPr="004C52FC" w:rsidRDefault="009B5A54" w:rsidP="001A2E6B">
            <w:pPr>
              <w:ind w:left="72"/>
              <w:rPr>
                <w:rFonts w:asciiTheme="minorHAnsi" w:hAnsiTheme="minorHAnsi" w:cs="Arial"/>
                <w:color w:val="000000" w:themeColor="text1"/>
              </w:rPr>
            </w:pPr>
          </w:p>
        </w:tc>
      </w:tr>
      <w:tr w:rsidR="009B5A54" w:rsidRPr="004C52FC" w14:paraId="2A54C017" w14:textId="77777777" w:rsidTr="003440D0">
        <w:tblPrEx>
          <w:shd w:val="clear" w:color="auto" w:fill="auto"/>
          <w:tblLook w:val="04A0" w:firstRow="1" w:lastRow="0" w:firstColumn="1" w:lastColumn="0" w:noHBand="0" w:noVBand="1"/>
        </w:tblPrEx>
        <w:trPr>
          <w:trHeight w:val="72"/>
        </w:trPr>
        <w:tc>
          <w:tcPr>
            <w:tcW w:w="3708" w:type="dxa"/>
          </w:tcPr>
          <w:p w14:paraId="2EADB1B6"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lastRenderedPageBreak/>
              <w:t>Demonstrate competency in at least two different areas within the field of theatre (Acting; Directing; Costume Design; Set Design; Lighting Design; Stage Management; Technical Direction)</w:t>
            </w:r>
          </w:p>
        </w:tc>
        <w:tc>
          <w:tcPr>
            <w:tcW w:w="1742" w:type="dxa"/>
          </w:tcPr>
          <w:p w14:paraId="2CC0268A" w14:textId="77777777" w:rsidR="00874898" w:rsidRDefault="00874898" w:rsidP="003440D0">
            <w:pPr>
              <w:rPr>
                <w:rFonts w:ascii="Calibri" w:hAnsi="Calibri" w:cs="Calibri"/>
                <w:color w:val="000000"/>
                <w:sz w:val="22"/>
                <w:szCs w:val="22"/>
              </w:rPr>
            </w:pPr>
            <w:r>
              <w:rPr>
                <w:rFonts w:ascii="Calibri" w:hAnsi="Calibri" w:cs="Calibri"/>
                <w:color w:val="000000"/>
                <w:sz w:val="22"/>
                <w:szCs w:val="22"/>
              </w:rPr>
              <w:t xml:space="preserve">THE-1105  </w:t>
            </w:r>
          </w:p>
          <w:p w14:paraId="4692E2F1" w14:textId="77777777" w:rsidR="00874898" w:rsidRDefault="00874898" w:rsidP="003440D0">
            <w:pPr>
              <w:rPr>
                <w:rFonts w:ascii="Calibri" w:hAnsi="Calibri" w:cs="Calibri"/>
                <w:color w:val="000000"/>
                <w:sz w:val="22"/>
                <w:szCs w:val="22"/>
              </w:rPr>
            </w:pPr>
            <w:r>
              <w:rPr>
                <w:rFonts w:ascii="Calibri" w:hAnsi="Calibri" w:cs="Calibri"/>
                <w:color w:val="000000"/>
                <w:sz w:val="22"/>
                <w:szCs w:val="22"/>
              </w:rPr>
              <w:t xml:space="preserve">THE-1111 </w:t>
            </w:r>
          </w:p>
          <w:p w14:paraId="3B1E5F95" w14:textId="77777777" w:rsidR="00874898" w:rsidRDefault="00874898" w:rsidP="003440D0">
            <w:pPr>
              <w:rPr>
                <w:rFonts w:ascii="Calibri" w:hAnsi="Calibri" w:cs="Calibri"/>
                <w:color w:val="000000"/>
                <w:sz w:val="22"/>
                <w:szCs w:val="22"/>
              </w:rPr>
            </w:pPr>
            <w:r>
              <w:rPr>
                <w:rFonts w:ascii="Calibri" w:hAnsi="Calibri" w:cs="Calibri"/>
                <w:color w:val="000000"/>
                <w:sz w:val="22"/>
                <w:szCs w:val="22"/>
              </w:rPr>
              <w:t xml:space="preserve">THE-2206 </w:t>
            </w:r>
          </w:p>
          <w:p w14:paraId="58874FCF" w14:textId="1745B936" w:rsidR="009B5A54" w:rsidRDefault="00874898" w:rsidP="003440D0">
            <w:pPr>
              <w:rPr>
                <w:rFonts w:ascii="Calibri" w:hAnsi="Calibri" w:cs="Calibri"/>
                <w:color w:val="000000"/>
                <w:sz w:val="22"/>
                <w:szCs w:val="22"/>
              </w:rPr>
            </w:pPr>
            <w:r>
              <w:rPr>
                <w:rFonts w:ascii="Calibri" w:hAnsi="Calibri" w:cs="Calibri"/>
                <w:color w:val="000000"/>
                <w:sz w:val="22"/>
                <w:szCs w:val="22"/>
              </w:rPr>
              <w:t xml:space="preserve">THE-1194/6                          </w:t>
            </w:r>
          </w:p>
        </w:tc>
        <w:tc>
          <w:tcPr>
            <w:tcW w:w="1430" w:type="dxa"/>
          </w:tcPr>
          <w:p w14:paraId="5A0D96FB" w14:textId="15067892"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14:paraId="3B7AC469" w14:textId="77777777" w:rsidR="009B5A54" w:rsidRDefault="009B5A54" w:rsidP="00AD5A73">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24EAE583" w14:textId="77777777" w:rsidR="009B5A54" w:rsidRPr="004C52FC" w:rsidRDefault="009B5A54" w:rsidP="001A2E6B">
            <w:pPr>
              <w:ind w:left="72"/>
              <w:rPr>
                <w:rFonts w:asciiTheme="minorHAnsi" w:hAnsiTheme="minorHAnsi" w:cs="Arial"/>
                <w:color w:val="000000" w:themeColor="text1"/>
              </w:rPr>
            </w:pPr>
          </w:p>
        </w:tc>
        <w:tc>
          <w:tcPr>
            <w:tcW w:w="4028" w:type="dxa"/>
          </w:tcPr>
          <w:p w14:paraId="79897596" w14:textId="77777777" w:rsidR="009B5A54" w:rsidRDefault="009B5A54" w:rsidP="000E34EE">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06E21538" w14:textId="77777777" w:rsidR="009B5A54" w:rsidRPr="004C52FC" w:rsidRDefault="009B5A54" w:rsidP="001A2E6B">
            <w:pPr>
              <w:ind w:left="72"/>
              <w:rPr>
                <w:rFonts w:asciiTheme="minorHAnsi" w:hAnsiTheme="minorHAnsi" w:cs="Arial"/>
                <w:color w:val="000000" w:themeColor="text1"/>
              </w:rPr>
            </w:pPr>
          </w:p>
        </w:tc>
      </w:tr>
      <w:tr w:rsidR="009B5A54" w:rsidRPr="004C52FC" w14:paraId="61BFACC6" w14:textId="77777777" w:rsidTr="003440D0">
        <w:tblPrEx>
          <w:shd w:val="clear" w:color="auto" w:fill="auto"/>
          <w:tblLook w:val="04A0" w:firstRow="1" w:lastRow="0" w:firstColumn="1" w:lastColumn="0" w:noHBand="0" w:noVBand="1"/>
        </w:tblPrEx>
        <w:trPr>
          <w:trHeight w:val="72"/>
        </w:trPr>
        <w:tc>
          <w:tcPr>
            <w:tcW w:w="3708" w:type="dxa"/>
          </w:tcPr>
          <w:p w14:paraId="1059F56B"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Demonstrate competency with the basic skills needed in theatre technology as a technician or crew member.</w:t>
            </w:r>
          </w:p>
        </w:tc>
        <w:tc>
          <w:tcPr>
            <w:tcW w:w="1742" w:type="dxa"/>
          </w:tcPr>
          <w:p w14:paraId="6628D326"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THE-1106  THE-1111  THE-2220 THE-2240                                </w:t>
            </w:r>
          </w:p>
        </w:tc>
        <w:tc>
          <w:tcPr>
            <w:tcW w:w="1430" w:type="dxa"/>
          </w:tcPr>
          <w:p w14:paraId="47394B5F" w14:textId="09337EA5"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7C0D4AEF"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500A158" w14:textId="77777777" w:rsidR="009B5A54" w:rsidRPr="004C52FC" w:rsidRDefault="009B5A54" w:rsidP="001A2E6B">
            <w:pPr>
              <w:ind w:left="72"/>
              <w:rPr>
                <w:rFonts w:asciiTheme="minorHAnsi" w:hAnsiTheme="minorHAnsi" w:cs="Arial"/>
                <w:color w:val="000000" w:themeColor="text1"/>
              </w:rPr>
            </w:pPr>
          </w:p>
        </w:tc>
        <w:tc>
          <w:tcPr>
            <w:tcW w:w="4028" w:type="dxa"/>
          </w:tcPr>
          <w:p w14:paraId="243A83D0"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3DF8A0B" w14:textId="77777777" w:rsidR="009B5A54" w:rsidRPr="004C52FC" w:rsidRDefault="009B5A54" w:rsidP="001A2E6B">
            <w:pPr>
              <w:ind w:left="72"/>
              <w:rPr>
                <w:rFonts w:asciiTheme="minorHAnsi" w:hAnsiTheme="minorHAnsi" w:cs="Arial"/>
                <w:color w:val="000000" w:themeColor="text1"/>
              </w:rPr>
            </w:pPr>
          </w:p>
        </w:tc>
      </w:tr>
      <w:tr w:rsidR="009B5A54" w:rsidRPr="004C52FC" w14:paraId="758CD76A" w14:textId="77777777" w:rsidTr="003440D0">
        <w:tblPrEx>
          <w:shd w:val="clear" w:color="auto" w:fill="auto"/>
          <w:tblLook w:val="04A0" w:firstRow="1" w:lastRow="0" w:firstColumn="1" w:lastColumn="0" w:noHBand="0" w:noVBand="1"/>
        </w:tblPrEx>
        <w:trPr>
          <w:trHeight w:val="72"/>
        </w:trPr>
        <w:tc>
          <w:tcPr>
            <w:tcW w:w="3708" w:type="dxa"/>
          </w:tcPr>
          <w:p w14:paraId="11540D9C"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609ADFCE"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THE-1105  THE-1106  THE-1111 THE-2201  THE-2202  THE-2206                            </w:t>
            </w:r>
          </w:p>
        </w:tc>
        <w:tc>
          <w:tcPr>
            <w:tcW w:w="1430" w:type="dxa"/>
          </w:tcPr>
          <w:p w14:paraId="3088BC47" w14:textId="6A289E66"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14:paraId="08ABAC7D"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3D04EFD5" w14:textId="77777777" w:rsidR="009B5A54" w:rsidRPr="004C52FC" w:rsidRDefault="009B5A54" w:rsidP="001A2E6B">
            <w:pPr>
              <w:ind w:left="72"/>
              <w:rPr>
                <w:rFonts w:asciiTheme="minorHAnsi" w:hAnsiTheme="minorHAnsi" w:cs="Arial"/>
                <w:color w:val="000000" w:themeColor="text1"/>
              </w:rPr>
            </w:pPr>
          </w:p>
        </w:tc>
        <w:tc>
          <w:tcPr>
            <w:tcW w:w="4028" w:type="dxa"/>
          </w:tcPr>
          <w:p w14:paraId="01718F9B"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C9EDCE2" w14:textId="77777777" w:rsidR="009B5A54" w:rsidRPr="004C52FC" w:rsidRDefault="009B5A54" w:rsidP="001A2E6B">
            <w:pPr>
              <w:ind w:left="72"/>
              <w:rPr>
                <w:rFonts w:asciiTheme="minorHAnsi" w:hAnsiTheme="minorHAnsi" w:cs="Arial"/>
                <w:color w:val="000000" w:themeColor="text1"/>
              </w:rPr>
            </w:pPr>
          </w:p>
        </w:tc>
      </w:tr>
      <w:tr w:rsidR="009B5A54" w:rsidRPr="004C52FC" w14:paraId="21382EEF" w14:textId="77777777" w:rsidTr="003440D0">
        <w:tblPrEx>
          <w:shd w:val="clear" w:color="auto" w:fill="auto"/>
          <w:tblLook w:val="04A0" w:firstRow="1" w:lastRow="0" w:firstColumn="1" w:lastColumn="0" w:noHBand="0" w:noVBand="1"/>
        </w:tblPrEx>
        <w:trPr>
          <w:trHeight w:val="72"/>
        </w:trPr>
        <w:tc>
          <w:tcPr>
            <w:tcW w:w="3708" w:type="dxa"/>
          </w:tcPr>
          <w:p w14:paraId="3730F8EA"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Evaluate the contribution of the director, actors, designers and technical crew to a live theatrical production.</w:t>
            </w:r>
          </w:p>
        </w:tc>
        <w:tc>
          <w:tcPr>
            <w:tcW w:w="1742" w:type="dxa"/>
          </w:tcPr>
          <w:p w14:paraId="6CCA0923" w14:textId="77777777" w:rsidR="009B5A54" w:rsidRDefault="009B5A54" w:rsidP="003440D0">
            <w:pPr>
              <w:rPr>
                <w:rFonts w:ascii="Calibri" w:hAnsi="Calibri" w:cs="Calibri"/>
                <w:color w:val="000000"/>
                <w:sz w:val="22"/>
                <w:szCs w:val="22"/>
              </w:rPr>
            </w:pPr>
            <w:r>
              <w:rPr>
                <w:rFonts w:ascii="Calibri" w:hAnsi="Calibri" w:cs="Calibri"/>
                <w:color w:val="000000"/>
                <w:sz w:val="22"/>
                <w:szCs w:val="22"/>
              </w:rPr>
              <w:t xml:space="preserve">THE-1105  THE-1106  THE-1111 THE-2206  THE-2220  THE-2240                            </w:t>
            </w:r>
          </w:p>
        </w:tc>
        <w:tc>
          <w:tcPr>
            <w:tcW w:w="1430" w:type="dxa"/>
          </w:tcPr>
          <w:p w14:paraId="1DCD85A5" w14:textId="55129BFD" w:rsidR="009B5A54" w:rsidRPr="004C52FC" w:rsidRDefault="009B5A54" w:rsidP="001A2E6B">
            <w:pPr>
              <w:rPr>
                <w:rFonts w:asciiTheme="minorHAnsi" w:hAnsiTheme="minorHAnsi" w:cs="Arial"/>
                <w:color w:val="000000" w:themeColor="text1"/>
              </w:rPr>
            </w:pPr>
            <w:r>
              <w:rPr>
                <w:rFonts w:asciiTheme="minorHAnsi" w:hAnsiTheme="minorHAnsi" w:cs="Arial"/>
                <w:color w:val="000000" w:themeColor="text1"/>
              </w:rPr>
              <w:t>2015-16</w:t>
            </w:r>
          </w:p>
        </w:tc>
        <w:tc>
          <w:tcPr>
            <w:tcW w:w="2250" w:type="dxa"/>
          </w:tcPr>
          <w:p w14:paraId="708CBD37"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6243E29C" w14:textId="77777777" w:rsidR="009B5A54" w:rsidRPr="004C52FC" w:rsidRDefault="009B5A54" w:rsidP="001A2E6B">
            <w:pPr>
              <w:ind w:left="72"/>
              <w:rPr>
                <w:rFonts w:asciiTheme="minorHAnsi" w:hAnsiTheme="minorHAnsi" w:cs="Arial"/>
                <w:color w:val="000000" w:themeColor="text1"/>
              </w:rPr>
            </w:pPr>
          </w:p>
        </w:tc>
        <w:tc>
          <w:tcPr>
            <w:tcW w:w="4028" w:type="dxa"/>
          </w:tcPr>
          <w:p w14:paraId="61596FC8" w14:textId="77777777" w:rsidR="009B5A54" w:rsidRDefault="009B5A54"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3F224830" w14:textId="77777777" w:rsidR="009B5A54" w:rsidRPr="004C52FC" w:rsidRDefault="009B5A54" w:rsidP="001A2E6B">
            <w:pPr>
              <w:ind w:left="72"/>
              <w:rPr>
                <w:rFonts w:asciiTheme="minorHAnsi" w:hAnsiTheme="minorHAnsi" w:cs="Arial"/>
                <w:color w:val="000000" w:themeColor="text1"/>
              </w:rPr>
            </w:pPr>
          </w:p>
        </w:tc>
      </w:tr>
    </w:tbl>
    <w:p w14:paraId="036D43F8" w14:textId="77777777" w:rsidR="002E6B01" w:rsidRDefault="002E6B01">
      <w:pPr>
        <w:spacing w:after="200" w:line="276" w:lineRule="auto"/>
        <w:rPr>
          <w:rFonts w:ascii="Arial" w:hAnsi="Arial" w:cs="Arial"/>
          <w:b/>
          <w:color w:val="000000" w:themeColor="text1"/>
        </w:rPr>
      </w:pPr>
    </w:p>
    <w:p w14:paraId="1E9434ED" w14:textId="77777777" w:rsidR="00901345" w:rsidRDefault="00901345">
      <w:pPr>
        <w:spacing w:after="200" w:line="276" w:lineRule="auto"/>
        <w:rPr>
          <w:rFonts w:ascii="Arial" w:hAnsi="Arial" w:cs="Arial"/>
          <w:b/>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901345" w14:paraId="2CB14102" w14:textId="77777777" w:rsidTr="00901345">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989B027" w14:textId="77777777" w:rsidR="00901345" w:rsidRDefault="00901345">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3237D2C9" w14:textId="77777777" w:rsidR="00901345" w:rsidRDefault="00901345">
            <w:pPr>
              <w:rPr>
                <w:rFonts w:ascii="Calibri" w:hAnsi="Calibri" w:cs="Calibri"/>
                <w:color w:val="000000"/>
                <w:sz w:val="22"/>
                <w:szCs w:val="22"/>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929373D" w14:textId="77777777" w:rsidR="00901345" w:rsidRDefault="000E34EE" w:rsidP="00475154">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The department is pleased with the class success rates as far as this Program Outcome is concerned. The department would like to see the success rate for Technology Majors for THE1194/6 be higher. With such small numbers  (there were 9 successful out of 10 in FA13: 90%, and 3 successful out of 5 in SP14: 60%) it doesn’t take much to have the success rates drop. The </w:t>
            </w:r>
            <w:r w:rsidR="00475154">
              <w:rPr>
                <w:rFonts w:ascii="Arial" w:hAnsi="Arial" w:cs="Arial"/>
                <w:color w:val="000000" w:themeColor="text1"/>
              </w:rPr>
              <w:t>3 students that did not complete successfully are no longer theatre majors, as they decided that this program was not right for them. The department will continue to help students make the correct choice about pursuing this major, but ultimately they get to choose, despite strong warnings about the amount of time and work that this major requires.</w:t>
            </w:r>
          </w:p>
          <w:p w14:paraId="229E445C" w14:textId="4D38F2B4" w:rsidR="00475154" w:rsidRDefault="00475154" w:rsidP="00475154">
            <w:pPr>
              <w:pStyle w:val="ListParagraph"/>
              <w:tabs>
                <w:tab w:val="left" w:pos="5040"/>
              </w:tabs>
              <w:ind w:left="0"/>
              <w:rPr>
                <w:rFonts w:ascii="Arial" w:hAnsi="Arial" w:cs="Arial"/>
                <w:color w:val="000000" w:themeColor="text1"/>
              </w:rPr>
            </w:pPr>
            <w:r>
              <w:rPr>
                <w:rFonts w:ascii="Arial" w:hAnsi="Arial" w:cs="Arial"/>
                <w:color w:val="000000" w:themeColor="text1"/>
              </w:rPr>
              <w:t>So, no changes are planned as a result of looking at this Program Outcome.</w:t>
            </w:r>
          </w:p>
        </w:tc>
      </w:tr>
      <w:tr w:rsidR="00901345" w14:paraId="187EA4CF" w14:textId="77777777" w:rsidTr="00901345">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717BD6C" w14:textId="77777777" w:rsidR="00901345" w:rsidRDefault="00901345">
            <w:pPr>
              <w:tabs>
                <w:tab w:val="left" w:pos="5040"/>
              </w:tabs>
              <w:rPr>
                <w:rFonts w:ascii="Arial" w:hAnsi="Arial" w:cs="Arial"/>
                <w:b/>
                <w:color w:val="000000" w:themeColor="text1"/>
              </w:rPr>
            </w:pPr>
            <w:r>
              <w:rPr>
                <w:rFonts w:ascii="Arial" w:hAnsi="Arial" w:cs="Arial"/>
                <w:b/>
                <w:color w:val="000000" w:themeColor="text1"/>
              </w:rPr>
              <w:t xml:space="preserve">How will you determine </w:t>
            </w:r>
            <w:r>
              <w:rPr>
                <w:rFonts w:ascii="Arial" w:hAnsi="Arial" w:cs="Arial"/>
                <w:b/>
                <w:color w:val="000000" w:themeColor="text1"/>
              </w:rPr>
              <w:lastRenderedPageBreak/>
              <w:t xml:space="preserve">whether those changes had an impact? </w:t>
            </w:r>
          </w:p>
          <w:p w14:paraId="54CAADF4" w14:textId="77777777" w:rsidR="00901345" w:rsidRDefault="00901345">
            <w:pPr>
              <w:rPr>
                <w:rFonts w:ascii="Calibri" w:hAnsi="Calibri" w:cs="Calibri"/>
                <w:color w:val="000000"/>
                <w:sz w:val="22"/>
                <w:szCs w:val="22"/>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E803BAF" w14:textId="77777777" w:rsidR="00901345" w:rsidRDefault="00901345">
            <w:pPr>
              <w:pStyle w:val="ListParagraph"/>
              <w:tabs>
                <w:tab w:val="left" w:pos="5040"/>
              </w:tabs>
              <w:ind w:left="0"/>
              <w:rPr>
                <w:rFonts w:ascii="Arial" w:hAnsi="Arial" w:cs="Arial"/>
                <w:color w:val="000000" w:themeColor="text1"/>
              </w:rPr>
            </w:pPr>
          </w:p>
        </w:tc>
      </w:tr>
    </w:tbl>
    <w:p w14:paraId="5EF5EC87" w14:textId="77777777" w:rsidR="00901345" w:rsidRDefault="00901345">
      <w:pPr>
        <w:spacing w:after="200" w:line="276" w:lineRule="auto"/>
        <w:rPr>
          <w:rFonts w:ascii="Arial" w:hAnsi="Arial" w:cs="Arial"/>
          <w:b/>
          <w:color w:val="000000" w:themeColor="text1"/>
        </w:rPr>
        <w:sectPr w:rsidR="00901345" w:rsidSect="00EF15CD">
          <w:pgSz w:w="15840" w:h="12240" w:orient="landscape"/>
          <w:pgMar w:top="1440" w:right="1152" w:bottom="1440" w:left="1152" w:header="720" w:footer="288" w:gutter="0"/>
          <w:cols w:space="720"/>
          <w:docGrid w:linePitch="360"/>
        </w:sectPr>
      </w:pPr>
    </w:p>
    <w:p w14:paraId="03C26C5D" w14:textId="77777777"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14:paraId="54C3E840" w14:textId="77777777" w:rsidR="00174C4B" w:rsidRDefault="00174C4B" w:rsidP="00FA24D1">
      <w:pPr>
        <w:pStyle w:val="ListParagraph"/>
        <w:tabs>
          <w:tab w:val="left" w:pos="5040"/>
        </w:tabs>
        <w:rPr>
          <w:rFonts w:ascii="Arial" w:hAnsi="Arial" w:cs="Arial"/>
          <w:b/>
          <w:color w:val="000000" w:themeColor="text1"/>
        </w:rPr>
      </w:pPr>
    </w:p>
    <w:p w14:paraId="7AB1CF7D" w14:textId="77777777" w:rsidR="00174C4B" w:rsidRDefault="00174C4B" w:rsidP="00174C4B">
      <w:pPr>
        <w:rPr>
          <w:rFonts w:ascii="Arial" w:hAnsi="Arial" w:cs="Arial"/>
          <w:color w:val="000000" w:themeColor="text1"/>
        </w:rPr>
      </w:pPr>
    </w:p>
    <w:p w14:paraId="1271F25D" w14:textId="77777777"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14:paraId="6F2A051C" w14:textId="77777777" w:rsidR="003440D0" w:rsidRDefault="003440D0">
      <w:pPr>
        <w:spacing w:after="200" w:line="276" w:lineRule="auto"/>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274E73" w:rsidRPr="00274E73" w14:paraId="3E13F69C" w14:textId="77777777" w:rsidTr="00274E73">
        <w:trPr>
          <w:trHeight w:val="600"/>
        </w:trPr>
        <w:tc>
          <w:tcPr>
            <w:tcW w:w="960" w:type="dxa"/>
            <w:tcBorders>
              <w:top w:val="nil"/>
              <w:left w:val="nil"/>
              <w:bottom w:val="nil"/>
              <w:right w:val="nil"/>
            </w:tcBorders>
            <w:shd w:val="clear" w:color="auto" w:fill="auto"/>
            <w:noWrap/>
            <w:hideMark/>
          </w:tcPr>
          <w:p w14:paraId="76BC15AF"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14:paraId="2898E305"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14:paraId="0C4A07D1"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14:paraId="0F1A9DF8"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Program</w:t>
            </w:r>
          </w:p>
        </w:tc>
        <w:tc>
          <w:tcPr>
            <w:tcW w:w="760" w:type="dxa"/>
            <w:tcBorders>
              <w:top w:val="nil"/>
              <w:left w:val="nil"/>
              <w:bottom w:val="nil"/>
              <w:right w:val="nil"/>
            </w:tcBorders>
            <w:shd w:val="clear" w:color="auto" w:fill="auto"/>
            <w:hideMark/>
          </w:tcPr>
          <w:p w14:paraId="0B2AD9AF"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07-08</w:t>
            </w:r>
          </w:p>
        </w:tc>
        <w:tc>
          <w:tcPr>
            <w:tcW w:w="760" w:type="dxa"/>
            <w:tcBorders>
              <w:top w:val="nil"/>
              <w:left w:val="nil"/>
              <w:bottom w:val="nil"/>
              <w:right w:val="nil"/>
            </w:tcBorders>
            <w:shd w:val="clear" w:color="auto" w:fill="auto"/>
            <w:hideMark/>
          </w:tcPr>
          <w:p w14:paraId="05EDD6F5"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08-09</w:t>
            </w:r>
          </w:p>
        </w:tc>
        <w:tc>
          <w:tcPr>
            <w:tcW w:w="760" w:type="dxa"/>
            <w:tcBorders>
              <w:top w:val="nil"/>
              <w:left w:val="nil"/>
              <w:bottom w:val="nil"/>
              <w:right w:val="nil"/>
            </w:tcBorders>
            <w:shd w:val="clear" w:color="auto" w:fill="auto"/>
            <w:hideMark/>
          </w:tcPr>
          <w:p w14:paraId="105C3A51"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09-10</w:t>
            </w:r>
          </w:p>
        </w:tc>
        <w:tc>
          <w:tcPr>
            <w:tcW w:w="760" w:type="dxa"/>
            <w:tcBorders>
              <w:top w:val="nil"/>
              <w:left w:val="nil"/>
              <w:bottom w:val="nil"/>
              <w:right w:val="nil"/>
            </w:tcBorders>
            <w:shd w:val="clear" w:color="auto" w:fill="auto"/>
            <w:hideMark/>
          </w:tcPr>
          <w:p w14:paraId="3D35E994"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10-11</w:t>
            </w:r>
          </w:p>
        </w:tc>
        <w:tc>
          <w:tcPr>
            <w:tcW w:w="760" w:type="dxa"/>
            <w:tcBorders>
              <w:top w:val="nil"/>
              <w:left w:val="nil"/>
              <w:bottom w:val="nil"/>
              <w:right w:val="nil"/>
            </w:tcBorders>
            <w:shd w:val="clear" w:color="auto" w:fill="auto"/>
            <w:hideMark/>
          </w:tcPr>
          <w:p w14:paraId="584E966D"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11-12</w:t>
            </w:r>
          </w:p>
        </w:tc>
        <w:tc>
          <w:tcPr>
            <w:tcW w:w="760" w:type="dxa"/>
            <w:tcBorders>
              <w:top w:val="nil"/>
              <w:left w:val="nil"/>
              <w:bottom w:val="nil"/>
              <w:right w:val="nil"/>
            </w:tcBorders>
            <w:shd w:val="clear" w:color="auto" w:fill="auto"/>
            <w:hideMark/>
          </w:tcPr>
          <w:p w14:paraId="59EDAE42"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12-13</w:t>
            </w:r>
          </w:p>
        </w:tc>
        <w:tc>
          <w:tcPr>
            <w:tcW w:w="760" w:type="dxa"/>
            <w:tcBorders>
              <w:top w:val="nil"/>
              <w:left w:val="nil"/>
              <w:bottom w:val="nil"/>
              <w:right w:val="nil"/>
            </w:tcBorders>
            <w:shd w:val="clear" w:color="auto" w:fill="auto"/>
            <w:hideMark/>
          </w:tcPr>
          <w:p w14:paraId="0E4311F1" w14:textId="77777777" w:rsidR="00274E73" w:rsidRPr="00274E73" w:rsidRDefault="00274E73" w:rsidP="00274E73">
            <w:pPr>
              <w:jc w:val="center"/>
              <w:rPr>
                <w:rFonts w:ascii="Calibri" w:hAnsi="Calibri"/>
                <w:color w:val="000000"/>
                <w:sz w:val="22"/>
                <w:szCs w:val="22"/>
              </w:rPr>
            </w:pPr>
            <w:r w:rsidRPr="00274E73">
              <w:rPr>
                <w:rFonts w:ascii="Calibri" w:hAnsi="Calibri"/>
                <w:color w:val="000000"/>
                <w:sz w:val="22"/>
                <w:szCs w:val="22"/>
              </w:rPr>
              <w:t>FY 13-14</w:t>
            </w:r>
          </w:p>
        </w:tc>
      </w:tr>
      <w:tr w:rsidR="00274E73" w:rsidRPr="00274E73" w14:paraId="3ED900BD" w14:textId="77777777" w:rsidTr="00274E73">
        <w:trPr>
          <w:trHeight w:val="300"/>
        </w:trPr>
        <w:tc>
          <w:tcPr>
            <w:tcW w:w="960" w:type="dxa"/>
            <w:tcBorders>
              <w:top w:val="nil"/>
              <w:left w:val="nil"/>
              <w:bottom w:val="nil"/>
              <w:right w:val="nil"/>
            </w:tcBorders>
            <w:shd w:val="clear" w:color="000000" w:fill="D9D9D9"/>
            <w:noWrap/>
            <w:vAlign w:val="bottom"/>
            <w:hideMark/>
          </w:tcPr>
          <w:p w14:paraId="1EE89105"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14:paraId="5B103831"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1848A5AA"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360839E2"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DAN.AA</w:t>
            </w:r>
          </w:p>
        </w:tc>
        <w:tc>
          <w:tcPr>
            <w:tcW w:w="760" w:type="dxa"/>
            <w:tcBorders>
              <w:top w:val="nil"/>
              <w:left w:val="nil"/>
              <w:bottom w:val="nil"/>
              <w:right w:val="nil"/>
            </w:tcBorders>
            <w:shd w:val="clear" w:color="000000" w:fill="D9D9D9"/>
            <w:noWrap/>
            <w:vAlign w:val="bottom"/>
            <w:hideMark/>
          </w:tcPr>
          <w:p w14:paraId="74A165BF"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14:paraId="6EC937A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14:paraId="38684DBE"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47B50A9"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14:paraId="59D226AE"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6E22BF6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46156BE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r>
      <w:tr w:rsidR="00274E73" w:rsidRPr="00274E73" w14:paraId="64E0B3E2" w14:textId="77777777" w:rsidTr="00274E73">
        <w:trPr>
          <w:trHeight w:val="300"/>
        </w:trPr>
        <w:tc>
          <w:tcPr>
            <w:tcW w:w="960" w:type="dxa"/>
            <w:tcBorders>
              <w:top w:val="nil"/>
              <w:left w:val="nil"/>
              <w:bottom w:val="nil"/>
              <w:right w:val="nil"/>
            </w:tcBorders>
            <w:shd w:val="clear" w:color="auto" w:fill="auto"/>
            <w:noWrap/>
            <w:vAlign w:val="bottom"/>
            <w:hideMark/>
          </w:tcPr>
          <w:p w14:paraId="25FE369E"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14:paraId="24820AB7"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2BE1D49D"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11A6657A"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DAN.STC</w:t>
            </w:r>
          </w:p>
        </w:tc>
        <w:tc>
          <w:tcPr>
            <w:tcW w:w="760" w:type="dxa"/>
            <w:tcBorders>
              <w:top w:val="nil"/>
              <w:left w:val="nil"/>
              <w:bottom w:val="nil"/>
              <w:right w:val="nil"/>
            </w:tcBorders>
            <w:shd w:val="clear" w:color="auto" w:fill="auto"/>
            <w:noWrap/>
            <w:vAlign w:val="bottom"/>
            <w:hideMark/>
          </w:tcPr>
          <w:p w14:paraId="378FB60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14:paraId="1F466FE0"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14:paraId="6C3EB598"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3CC98486"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19EDEFB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14:paraId="5811C33A"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14:paraId="3C7B650F"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r>
      <w:tr w:rsidR="00274E73" w:rsidRPr="00274E73" w14:paraId="6D3997F6" w14:textId="77777777" w:rsidTr="00274E73">
        <w:trPr>
          <w:trHeight w:val="300"/>
        </w:trPr>
        <w:tc>
          <w:tcPr>
            <w:tcW w:w="960" w:type="dxa"/>
            <w:tcBorders>
              <w:top w:val="nil"/>
              <w:left w:val="nil"/>
              <w:bottom w:val="nil"/>
              <w:right w:val="nil"/>
            </w:tcBorders>
            <w:shd w:val="clear" w:color="000000" w:fill="D9D9D9"/>
            <w:noWrap/>
            <w:vAlign w:val="bottom"/>
            <w:hideMark/>
          </w:tcPr>
          <w:p w14:paraId="1B61D13A"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14:paraId="12A455AC"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577526B"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0DA1AFC9"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THE.AA</w:t>
            </w:r>
          </w:p>
        </w:tc>
        <w:tc>
          <w:tcPr>
            <w:tcW w:w="760" w:type="dxa"/>
            <w:tcBorders>
              <w:top w:val="nil"/>
              <w:left w:val="nil"/>
              <w:bottom w:val="nil"/>
              <w:right w:val="nil"/>
            </w:tcBorders>
            <w:shd w:val="clear" w:color="000000" w:fill="D9D9D9"/>
            <w:noWrap/>
            <w:vAlign w:val="bottom"/>
            <w:hideMark/>
          </w:tcPr>
          <w:p w14:paraId="0EE16E7D"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79587B49"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527EA378"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5F52077C"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14:paraId="68F61888"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4417F63E"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664E8462"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r>
      <w:tr w:rsidR="00274E73" w:rsidRPr="00274E73" w14:paraId="54FA7077" w14:textId="77777777" w:rsidTr="00274E73">
        <w:trPr>
          <w:trHeight w:val="300"/>
        </w:trPr>
        <w:tc>
          <w:tcPr>
            <w:tcW w:w="960" w:type="dxa"/>
            <w:tcBorders>
              <w:top w:val="nil"/>
              <w:left w:val="nil"/>
              <w:bottom w:val="nil"/>
              <w:right w:val="nil"/>
            </w:tcBorders>
            <w:shd w:val="clear" w:color="auto" w:fill="auto"/>
            <w:noWrap/>
            <w:vAlign w:val="bottom"/>
            <w:hideMark/>
          </w:tcPr>
          <w:p w14:paraId="5587BBF1"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14:paraId="5341E4E4"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21F6DE97"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16C5FF94"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THEP.AA</w:t>
            </w:r>
          </w:p>
        </w:tc>
        <w:tc>
          <w:tcPr>
            <w:tcW w:w="760" w:type="dxa"/>
            <w:tcBorders>
              <w:top w:val="nil"/>
              <w:left w:val="nil"/>
              <w:bottom w:val="nil"/>
              <w:right w:val="nil"/>
            </w:tcBorders>
            <w:shd w:val="clear" w:color="auto" w:fill="auto"/>
            <w:noWrap/>
            <w:vAlign w:val="bottom"/>
            <w:hideMark/>
          </w:tcPr>
          <w:p w14:paraId="44EA977F"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8</w:t>
            </w:r>
          </w:p>
        </w:tc>
        <w:tc>
          <w:tcPr>
            <w:tcW w:w="760" w:type="dxa"/>
            <w:tcBorders>
              <w:top w:val="nil"/>
              <w:left w:val="nil"/>
              <w:bottom w:val="nil"/>
              <w:right w:val="nil"/>
            </w:tcBorders>
            <w:shd w:val="clear" w:color="auto" w:fill="auto"/>
            <w:noWrap/>
            <w:vAlign w:val="bottom"/>
            <w:hideMark/>
          </w:tcPr>
          <w:p w14:paraId="76C2CEF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14:paraId="2A8A757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14:paraId="1CC8C51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5D3D2CE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14:paraId="0EEFE92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14:paraId="24CFDA67"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2</w:t>
            </w:r>
          </w:p>
        </w:tc>
      </w:tr>
      <w:tr w:rsidR="00274E73" w:rsidRPr="00274E73" w14:paraId="3675206E" w14:textId="77777777" w:rsidTr="00274E73">
        <w:trPr>
          <w:trHeight w:val="300"/>
        </w:trPr>
        <w:tc>
          <w:tcPr>
            <w:tcW w:w="960" w:type="dxa"/>
            <w:tcBorders>
              <w:top w:val="nil"/>
              <w:left w:val="nil"/>
              <w:bottom w:val="nil"/>
              <w:right w:val="nil"/>
            </w:tcBorders>
            <w:shd w:val="clear" w:color="000000" w:fill="D9D9D9"/>
            <w:noWrap/>
            <w:vAlign w:val="bottom"/>
            <w:hideMark/>
          </w:tcPr>
          <w:p w14:paraId="26B97746"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14:paraId="34217D71"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3D616B2"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47315872"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THEP.S.AA</w:t>
            </w:r>
          </w:p>
        </w:tc>
        <w:tc>
          <w:tcPr>
            <w:tcW w:w="760" w:type="dxa"/>
            <w:tcBorders>
              <w:top w:val="nil"/>
              <w:left w:val="nil"/>
              <w:bottom w:val="nil"/>
              <w:right w:val="nil"/>
            </w:tcBorders>
            <w:shd w:val="clear" w:color="000000" w:fill="D9D9D9"/>
            <w:noWrap/>
            <w:vAlign w:val="bottom"/>
            <w:hideMark/>
          </w:tcPr>
          <w:p w14:paraId="4B1AE694"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620C9B7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8B462E5"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5B42B60B"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294EAF72"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4AAD6E06"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14:paraId="7A62AC3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r>
      <w:tr w:rsidR="00274E73" w:rsidRPr="00274E73" w14:paraId="1BFBDAD7" w14:textId="77777777" w:rsidTr="00274E73">
        <w:trPr>
          <w:trHeight w:val="300"/>
        </w:trPr>
        <w:tc>
          <w:tcPr>
            <w:tcW w:w="960" w:type="dxa"/>
            <w:tcBorders>
              <w:top w:val="nil"/>
              <w:left w:val="nil"/>
              <w:bottom w:val="nil"/>
              <w:right w:val="nil"/>
            </w:tcBorders>
            <w:shd w:val="clear" w:color="auto" w:fill="auto"/>
            <w:noWrap/>
            <w:vAlign w:val="bottom"/>
            <w:hideMark/>
          </w:tcPr>
          <w:p w14:paraId="4669F833"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14:paraId="6A638701"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73F2056"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1BC83718"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THET.AA</w:t>
            </w:r>
          </w:p>
        </w:tc>
        <w:tc>
          <w:tcPr>
            <w:tcW w:w="760" w:type="dxa"/>
            <w:tcBorders>
              <w:top w:val="nil"/>
              <w:left w:val="nil"/>
              <w:bottom w:val="nil"/>
              <w:right w:val="nil"/>
            </w:tcBorders>
            <w:shd w:val="clear" w:color="auto" w:fill="auto"/>
            <w:noWrap/>
            <w:vAlign w:val="bottom"/>
            <w:hideMark/>
          </w:tcPr>
          <w:p w14:paraId="6AF661DE"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09156CCD"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14:paraId="15FB9E5C"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14:paraId="70F6F780"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14:paraId="4D81DFA9"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14:paraId="0A6E4178"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14:paraId="42D261B9"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1</w:t>
            </w:r>
          </w:p>
        </w:tc>
      </w:tr>
      <w:tr w:rsidR="00274E73" w:rsidRPr="00274E73" w14:paraId="397FBBD9" w14:textId="77777777" w:rsidTr="00274E73">
        <w:trPr>
          <w:trHeight w:val="300"/>
        </w:trPr>
        <w:tc>
          <w:tcPr>
            <w:tcW w:w="960" w:type="dxa"/>
            <w:tcBorders>
              <w:top w:val="nil"/>
              <w:left w:val="nil"/>
              <w:bottom w:val="nil"/>
              <w:right w:val="nil"/>
            </w:tcBorders>
            <w:shd w:val="clear" w:color="000000" w:fill="D9D9D9"/>
            <w:noWrap/>
            <w:vAlign w:val="bottom"/>
            <w:hideMark/>
          </w:tcPr>
          <w:p w14:paraId="28071B69"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14:paraId="33B3528D"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172C909"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2B9721A2" w14:textId="77777777" w:rsidR="00274E73" w:rsidRPr="00274E73" w:rsidRDefault="00274E73" w:rsidP="00274E73">
            <w:pPr>
              <w:rPr>
                <w:rFonts w:ascii="Calibri" w:hAnsi="Calibri"/>
                <w:color w:val="000000"/>
                <w:sz w:val="22"/>
                <w:szCs w:val="22"/>
              </w:rPr>
            </w:pPr>
            <w:r w:rsidRPr="00274E73">
              <w:rPr>
                <w:rFonts w:ascii="Calibri" w:hAnsi="Calibri"/>
                <w:color w:val="000000"/>
                <w:sz w:val="22"/>
                <w:szCs w:val="22"/>
              </w:rPr>
              <w:t>THET.S.AA</w:t>
            </w:r>
          </w:p>
        </w:tc>
        <w:tc>
          <w:tcPr>
            <w:tcW w:w="760" w:type="dxa"/>
            <w:tcBorders>
              <w:top w:val="nil"/>
              <w:left w:val="nil"/>
              <w:bottom w:val="nil"/>
              <w:right w:val="nil"/>
            </w:tcBorders>
            <w:shd w:val="clear" w:color="000000" w:fill="D9D9D9"/>
            <w:noWrap/>
            <w:vAlign w:val="bottom"/>
            <w:hideMark/>
          </w:tcPr>
          <w:p w14:paraId="5FF202A4"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625C3B29"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07567382"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A99ED0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E265B11"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40805FE3"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14:paraId="17EB5099" w14:textId="77777777" w:rsidR="00274E73" w:rsidRPr="00274E73" w:rsidRDefault="00274E73" w:rsidP="00274E73">
            <w:pPr>
              <w:jc w:val="right"/>
              <w:rPr>
                <w:rFonts w:ascii="Calibri" w:hAnsi="Calibri"/>
                <w:color w:val="000000"/>
                <w:sz w:val="22"/>
                <w:szCs w:val="22"/>
              </w:rPr>
            </w:pPr>
            <w:r w:rsidRPr="00274E73">
              <w:rPr>
                <w:rFonts w:ascii="Calibri" w:hAnsi="Calibri"/>
                <w:color w:val="000000"/>
                <w:sz w:val="22"/>
                <w:szCs w:val="22"/>
              </w:rPr>
              <w:t>3</w:t>
            </w:r>
          </w:p>
        </w:tc>
      </w:tr>
    </w:tbl>
    <w:p w14:paraId="48A15E7D" w14:textId="77777777" w:rsidR="00274E73" w:rsidRDefault="00274E73">
      <w:pPr>
        <w:spacing w:after="200" w:line="276" w:lineRule="auto"/>
        <w:rPr>
          <w:rFonts w:ascii="Arial" w:hAnsi="Arial" w:cs="Arial"/>
          <w:b/>
          <w:color w:val="000000" w:themeColor="text1"/>
        </w:rPr>
      </w:pPr>
    </w:p>
    <w:p w14:paraId="3A12E661" w14:textId="77777777" w:rsidR="003440D0" w:rsidRDefault="003440D0">
      <w:pPr>
        <w:spacing w:after="200" w:line="276" w:lineRule="auto"/>
        <w:rPr>
          <w:rFonts w:ascii="Arial" w:hAnsi="Arial" w:cs="Arial"/>
          <w:b/>
          <w:color w:val="000000" w:themeColor="text1"/>
        </w:rPr>
      </w:pPr>
    </w:p>
    <w:p w14:paraId="021CDD9A" w14:textId="77777777"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7C0720" w:rsidRPr="007C0720" w14:paraId="31CA3C07" w14:textId="77777777" w:rsidTr="007C0720">
        <w:trPr>
          <w:trHeight w:val="300"/>
        </w:trPr>
        <w:tc>
          <w:tcPr>
            <w:tcW w:w="1420" w:type="dxa"/>
            <w:tcBorders>
              <w:top w:val="nil"/>
              <w:left w:val="nil"/>
              <w:bottom w:val="nil"/>
              <w:right w:val="nil"/>
            </w:tcBorders>
            <w:shd w:val="clear" w:color="auto" w:fill="auto"/>
            <w:hideMark/>
          </w:tcPr>
          <w:p w14:paraId="30980E0C" w14:textId="77777777" w:rsidR="007C0720" w:rsidRPr="007C0720" w:rsidRDefault="007C0720" w:rsidP="007C0720">
            <w:pPr>
              <w:rPr>
                <w:rFonts w:ascii="Calibri" w:hAnsi="Calibri"/>
                <w:b/>
                <w:bCs/>
                <w:color w:val="000000"/>
                <w:sz w:val="22"/>
                <w:szCs w:val="22"/>
              </w:rPr>
            </w:pPr>
            <w:r w:rsidRPr="007C0720">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14:paraId="545FC15E" w14:textId="77777777" w:rsidR="007C0720" w:rsidRPr="007C0720" w:rsidRDefault="007C0720" w:rsidP="007C0720">
            <w:pPr>
              <w:rPr>
                <w:rFonts w:ascii="Calibri" w:hAnsi="Calibri"/>
                <w:b/>
                <w:bCs/>
                <w:color w:val="000000"/>
                <w:sz w:val="22"/>
                <w:szCs w:val="22"/>
              </w:rPr>
            </w:pPr>
            <w:r w:rsidRPr="007C0720">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14:paraId="788A1946" w14:textId="77777777" w:rsidR="007C0720" w:rsidRPr="007C0720" w:rsidRDefault="007C0720" w:rsidP="007C0720">
            <w:pPr>
              <w:rPr>
                <w:rFonts w:ascii="Calibri" w:hAnsi="Calibri"/>
                <w:b/>
                <w:bCs/>
                <w:color w:val="000000"/>
                <w:sz w:val="22"/>
                <w:szCs w:val="22"/>
              </w:rPr>
            </w:pPr>
            <w:r w:rsidRPr="007C0720">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14:paraId="64F8825F" w14:textId="77777777" w:rsidR="007C0720" w:rsidRPr="007C0720" w:rsidRDefault="007C0720" w:rsidP="007C0720">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14:paraId="2CAE5EBD"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14:paraId="3875458A"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14:paraId="05F9808D"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14:paraId="4FC5444A"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14:paraId="5DD9A505"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14:paraId="019C9E5E"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14:paraId="70741EB0" w14:textId="77777777" w:rsidR="007C0720" w:rsidRPr="007C0720" w:rsidRDefault="007C0720" w:rsidP="007C0720">
            <w:pPr>
              <w:jc w:val="center"/>
              <w:rPr>
                <w:rFonts w:ascii="Calibri" w:hAnsi="Calibri"/>
                <w:b/>
                <w:bCs/>
                <w:color w:val="000000"/>
                <w:sz w:val="22"/>
                <w:szCs w:val="22"/>
              </w:rPr>
            </w:pPr>
            <w:r w:rsidRPr="007C0720">
              <w:rPr>
                <w:rFonts w:ascii="Calibri" w:hAnsi="Calibri"/>
                <w:b/>
                <w:bCs/>
                <w:color w:val="000000"/>
                <w:sz w:val="22"/>
                <w:szCs w:val="22"/>
              </w:rPr>
              <w:t>FY 13-14</w:t>
            </w:r>
          </w:p>
        </w:tc>
      </w:tr>
      <w:tr w:rsidR="007C0720" w:rsidRPr="007C0720" w14:paraId="06FD135D" w14:textId="77777777" w:rsidTr="007C0720">
        <w:trPr>
          <w:trHeight w:val="300"/>
        </w:trPr>
        <w:tc>
          <w:tcPr>
            <w:tcW w:w="1420" w:type="dxa"/>
            <w:tcBorders>
              <w:top w:val="nil"/>
              <w:left w:val="nil"/>
              <w:bottom w:val="nil"/>
              <w:right w:val="nil"/>
            </w:tcBorders>
            <w:shd w:val="clear" w:color="000000" w:fill="D9D9D9"/>
            <w:noWrap/>
            <w:vAlign w:val="bottom"/>
            <w:hideMark/>
          </w:tcPr>
          <w:p w14:paraId="366DA1C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6E307F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EB6221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DAN-107</w:t>
            </w:r>
          </w:p>
        </w:tc>
        <w:tc>
          <w:tcPr>
            <w:tcW w:w="460" w:type="dxa"/>
            <w:tcBorders>
              <w:top w:val="nil"/>
              <w:left w:val="nil"/>
              <w:bottom w:val="nil"/>
              <w:right w:val="nil"/>
            </w:tcBorders>
            <w:shd w:val="clear" w:color="000000" w:fill="D9D9D9"/>
            <w:noWrap/>
            <w:vAlign w:val="bottom"/>
            <w:hideMark/>
          </w:tcPr>
          <w:p w14:paraId="5C46BA8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06D9AF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85.2%</w:t>
            </w:r>
          </w:p>
        </w:tc>
        <w:tc>
          <w:tcPr>
            <w:tcW w:w="940" w:type="dxa"/>
            <w:tcBorders>
              <w:top w:val="nil"/>
              <w:left w:val="nil"/>
              <w:bottom w:val="nil"/>
              <w:right w:val="nil"/>
            </w:tcBorders>
            <w:shd w:val="clear" w:color="000000" w:fill="D9D9D9"/>
            <w:noWrap/>
            <w:vAlign w:val="bottom"/>
            <w:hideMark/>
          </w:tcPr>
          <w:p w14:paraId="27DDCC3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02F1455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14:paraId="7CFCB8E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14:paraId="064F0BA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84.4%</w:t>
            </w:r>
          </w:p>
        </w:tc>
        <w:tc>
          <w:tcPr>
            <w:tcW w:w="940" w:type="dxa"/>
            <w:tcBorders>
              <w:top w:val="nil"/>
              <w:left w:val="nil"/>
              <w:bottom w:val="nil"/>
              <w:right w:val="nil"/>
            </w:tcBorders>
            <w:shd w:val="clear" w:color="000000" w:fill="D9D9D9"/>
            <w:noWrap/>
            <w:vAlign w:val="bottom"/>
            <w:hideMark/>
          </w:tcPr>
          <w:p w14:paraId="217FE9C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339444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FE19905" w14:textId="77777777" w:rsidTr="007C0720">
        <w:trPr>
          <w:trHeight w:val="300"/>
        </w:trPr>
        <w:tc>
          <w:tcPr>
            <w:tcW w:w="1420" w:type="dxa"/>
            <w:tcBorders>
              <w:top w:val="nil"/>
              <w:left w:val="nil"/>
              <w:bottom w:val="nil"/>
              <w:right w:val="nil"/>
            </w:tcBorders>
            <w:shd w:val="clear" w:color="auto" w:fill="auto"/>
            <w:noWrap/>
            <w:vAlign w:val="bottom"/>
            <w:hideMark/>
          </w:tcPr>
          <w:p w14:paraId="35DC99C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6B04033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3FD31D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DAN-1107</w:t>
            </w:r>
          </w:p>
        </w:tc>
        <w:tc>
          <w:tcPr>
            <w:tcW w:w="460" w:type="dxa"/>
            <w:tcBorders>
              <w:top w:val="nil"/>
              <w:left w:val="nil"/>
              <w:bottom w:val="nil"/>
              <w:right w:val="nil"/>
            </w:tcBorders>
            <w:shd w:val="clear" w:color="auto" w:fill="auto"/>
            <w:noWrap/>
            <w:vAlign w:val="bottom"/>
            <w:hideMark/>
          </w:tcPr>
          <w:p w14:paraId="736E20E1"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2F049C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74B42D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D4F188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E6BD8C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A67B11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702A48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54.5%</w:t>
            </w:r>
          </w:p>
        </w:tc>
        <w:tc>
          <w:tcPr>
            <w:tcW w:w="940" w:type="dxa"/>
            <w:tcBorders>
              <w:top w:val="nil"/>
              <w:left w:val="nil"/>
              <w:bottom w:val="nil"/>
              <w:right w:val="nil"/>
            </w:tcBorders>
            <w:shd w:val="clear" w:color="auto" w:fill="auto"/>
            <w:noWrap/>
            <w:vAlign w:val="bottom"/>
            <w:hideMark/>
          </w:tcPr>
          <w:p w14:paraId="0B6F176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25.0%</w:t>
            </w:r>
          </w:p>
        </w:tc>
      </w:tr>
      <w:tr w:rsidR="007C0720" w:rsidRPr="007C0720" w14:paraId="635D745A" w14:textId="77777777" w:rsidTr="007C0720">
        <w:trPr>
          <w:trHeight w:val="300"/>
        </w:trPr>
        <w:tc>
          <w:tcPr>
            <w:tcW w:w="1420" w:type="dxa"/>
            <w:tcBorders>
              <w:top w:val="nil"/>
              <w:left w:val="nil"/>
              <w:bottom w:val="nil"/>
              <w:right w:val="nil"/>
            </w:tcBorders>
            <w:shd w:val="clear" w:color="000000" w:fill="D9D9D9"/>
            <w:noWrap/>
            <w:vAlign w:val="bottom"/>
            <w:hideMark/>
          </w:tcPr>
          <w:p w14:paraId="4CB81D0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E3F331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998027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DAN-1146</w:t>
            </w:r>
          </w:p>
        </w:tc>
        <w:tc>
          <w:tcPr>
            <w:tcW w:w="460" w:type="dxa"/>
            <w:tcBorders>
              <w:top w:val="nil"/>
              <w:left w:val="nil"/>
              <w:bottom w:val="nil"/>
              <w:right w:val="nil"/>
            </w:tcBorders>
            <w:shd w:val="clear" w:color="000000" w:fill="D9D9D9"/>
            <w:noWrap/>
            <w:vAlign w:val="bottom"/>
            <w:hideMark/>
          </w:tcPr>
          <w:p w14:paraId="07A3C53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0D24A2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E731B8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0F3B25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00E1C4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85EE9A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C3708D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65B9B3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0693FC2" w14:textId="77777777" w:rsidTr="007C0720">
        <w:trPr>
          <w:trHeight w:val="300"/>
        </w:trPr>
        <w:tc>
          <w:tcPr>
            <w:tcW w:w="1420" w:type="dxa"/>
            <w:tcBorders>
              <w:top w:val="nil"/>
              <w:left w:val="nil"/>
              <w:bottom w:val="nil"/>
              <w:right w:val="nil"/>
            </w:tcBorders>
            <w:shd w:val="clear" w:color="auto" w:fill="auto"/>
            <w:noWrap/>
            <w:vAlign w:val="bottom"/>
            <w:hideMark/>
          </w:tcPr>
          <w:p w14:paraId="13457A7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6B77CB9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DC97D8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DAN-1155</w:t>
            </w:r>
          </w:p>
        </w:tc>
        <w:tc>
          <w:tcPr>
            <w:tcW w:w="460" w:type="dxa"/>
            <w:tcBorders>
              <w:top w:val="nil"/>
              <w:left w:val="nil"/>
              <w:bottom w:val="nil"/>
              <w:right w:val="nil"/>
            </w:tcBorders>
            <w:shd w:val="clear" w:color="auto" w:fill="auto"/>
            <w:noWrap/>
            <w:vAlign w:val="bottom"/>
            <w:hideMark/>
          </w:tcPr>
          <w:p w14:paraId="65E25812"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759A04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4659EC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989F95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D3024E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B055E2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7F9F80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3BABFF2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r>
      <w:tr w:rsidR="007C0720" w:rsidRPr="007C0720" w14:paraId="432DE6D6" w14:textId="77777777" w:rsidTr="007C0720">
        <w:trPr>
          <w:trHeight w:val="300"/>
        </w:trPr>
        <w:tc>
          <w:tcPr>
            <w:tcW w:w="1420" w:type="dxa"/>
            <w:tcBorders>
              <w:top w:val="nil"/>
              <w:left w:val="nil"/>
              <w:bottom w:val="nil"/>
              <w:right w:val="nil"/>
            </w:tcBorders>
            <w:shd w:val="clear" w:color="000000" w:fill="D9D9D9"/>
            <w:noWrap/>
            <w:vAlign w:val="bottom"/>
            <w:hideMark/>
          </w:tcPr>
          <w:p w14:paraId="70BFCA3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8BDB0E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038000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DAN-1157</w:t>
            </w:r>
          </w:p>
        </w:tc>
        <w:tc>
          <w:tcPr>
            <w:tcW w:w="460" w:type="dxa"/>
            <w:tcBorders>
              <w:top w:val="nil"/>
              <w:left w:val="nil"/>
              <w:bottom w:val="nil"/>
              <w:right w:val="nil"/>
            </w:tcBorders>
            <w:shd w:val="clear" w:color="000000" w:fill="D9D9D9"/>
            <w:noWrap/>
            <w:vAlign w:val="bottom"/>
            <w:hideMark/>
          </w:tcPr>
          <w:p w14:paraId="2F67022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DC9C5A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0B0F98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0608F2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361658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A7FA32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DA344E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14:paraId="6B980CB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64.3%</w:t>
            </w:r>
          </w:p>
        </w:tc>
      </w:tr>
      <w:tr w:rsidR="007C0720" w:rsidRPr="007C0720" w14:paraId="14766DC0" w14:textId="77777777" w:rsidTr="007C0720">
        <w:trPr>
          <w:trHeight w:val="300"/>
        </w:trPr>
        <w:tc>
          <w:tcPr>
            <w:tcW w:w="1420" w:type="dxa"/>
            <w:tcBorders>
              <w:top w:val="nil"/>
              <w:left w:val="nil"/>
              <w:bottom w:val="nil"/>
              <w:right w:val="nil"/>
            </w:tcBorders>
            <w:shd w:val="clear" w:color="auto" w:fill="auto"/>
            <w:noWrap/>
            <w:vAlign w:val="bottom"/>
            <w:hideMark/>
          </w:tcPr>
          <w:p w14:paraId="52FD658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5E2BBD7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F10292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DAN-1162</w:t>
            </w:r>
          </w:p>
        </w:tc>
        <w:tc>
          <w:tcPr>
            <w:tcW w:w="460" w:type="dxa"/>
            <w:tcBorders>
              <w:top w:val="nil"/>
              <w:left w:val="nil"/>
              <w:bottom w:val="nil"/>
              <w:right w:val="nil"/>
            </w:tcBorders>
            <w:shd w:val="clear" w:color="auto" w:fill="auto"/>
            <w:noWrap/>
            <w:vAlign w:val="bottom"/>
            <w:hideMark/>
          </w:tcPr>
          <w:p w14:paraId="3A080D2B"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1EE0D7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486E50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60CCE6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4571A3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C96615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0201B1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62.5%</w:t>
            </w:r>
          </w:p>
        </w:tc>
        <w:tc>
          <w:tcPr>
            <w:tcW w:w="940" w:type="dxa"/>
            <w:tcBorders>
              <w:top w:val="nil"/>
              <w:left w:val="nil"/>
              <w:bottom w:val="nil"/>
              <w:right w:val="nil"/>
            </w:tcBorders>
            <w:shd w:val="clear" w:color="auto" w:fill="auto"/>
            <w:noWrap/>
            <w:vAlign w:val="bottom"/>
            <w:hideMark/>
          </w:tcPr>
          <w:p w14:paraId="2ABC4A2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85.0%</w:t>
            </w:r>
          </w:p>
        </w:tc>
      </w:tr>
      <w:tr w:rsidR="007C0720" w:rsidRPr="007C0720" w14:paraId="587C6B71" w14:textId="77777777" w:rsidTr="007C0720">
        <w:trPr>
          <w:trHeight w:val="300"/>
        </w:trPr>
        <w:tc>
          <w:tcPr>
            <w:tcW w:w="1420" w:type="dxa"/>
            <w:tcBorders>
              <w:top w:val="nil"/>
              <w:left w:val="nil"/>
              <w:bottom w:val="nil"/>
              <w:right w:val="nil"/>
            </w:tcBorders>
            <w:shd w:val="clear" w:color="000000" w:fill="D9D9D9"/>
            <w:noWrap/>
            <w:vAlign w:val="bottom"/>
            <w:hideMark/>
          </w:tcPr>
          <w:p w14:paraId="1E5D2A9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73742B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E071CE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DAN-1172</w:t>
            </w:r>
          </w:p>
        </w:tc>
        <w:tc>
          <w:tcPr>
            <w:tcW w:w="460" w:type="dxa"/>
            <w:tcBorders>
              <w:top w:val="nil"/>
              <w:left w:val="nil"/>
              <w:bottom w:val="nil"/>
              <w:right w:val="nil"/>
            </w:tcBorders>
            <w:shd w:val="clear" w:color="000000" w:fill="D9D9D9"/>
            <w:noWrap/>
            <w:vAlign w:val="bottom"/>
            <w:hideMark/>
          </w:tcPr>
          <w:p w14:paraId="11EBB8C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B1CB0B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6B4311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9CB828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F5AC8E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8DA6D0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E94C1D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14:paraId="4BDC2B7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r>
      <w:tr w:rsidR="007C0720" w:rsidRPr="007C0720" w14:paraId="18AAD5EC" w14:textId="77777777" w:rsidTr="007C0720">
        <w:trPr>
          <w:trHeight w:val="300"/>
        </w:trPr>
        <w:tc>
          <w:tcPr>
            <w:tcW w:w="1420" w:type="dxa"/>
            <w:tcBorders>
              <w:top w:val="nil"/>
              <w:left w:val="nil"/>
              <w:bottom w:val="nil"/>
              <w:right w:val="nil"/>
            </w:tcBorders>
            <w:shd w:val="clear" w:color="auto" w:fill="auto"/>
            <w:noWrap/>
            <w:vAlign w:val="bottom"/>
            <w:hideMark/>
          </w:tcPr>
          <w:p w14:paraId="3832A78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A51482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B49A16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DAN-1173</w:t>
            </w:r>
          </w:p>
        </w:tc>
        <w:tc>
          <w:tcPr>
            <w:tcW w:w="460" w:type="dxa"/>
            <w:tcBorders>
              <w:top w:val="nil"/>
              <w:left w:val="nil"/>
              <w:bottom w:val="nil"/>
              <w:right w:val="nil"/>
            </w:tcBorders>
            <w:shd w:val="clear" w:color="auto" w:fill="auto"/>
            <w:noWrap/>
            <w:vAlign w:val="bottom"/>
            <w:hideMark/>
          </w:tcPr>
          <w:p w14:paraId="02C3120B"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097E71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E88646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1816DA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D57B6F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91411A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1F521C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70.6%</w:t>
            </w:r>
          </w:p>
        </w:tc>
        <w:tc>
          <w:tcPr>
            <w:tcW w:w="940" w:type="dxa"/>
            <w:tcBorders>
              <w:top w:val="nil"/>
              <w:left w:val="nil"/>
              <w:bottom w:val="nil"/>
              <w:right w:val="nil"/>
            </w:tcBorders>
            <w:shd w:val="clear" w:color="auto" w:fill="auto"/>
            <w:noWrap/>
            <w:vAlign w:val="bottom"/>
            <w:hideMark/>
          </w:tcPr>
          <w:p w14:paraId="541DDCC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93.3%</w:t>
            </w:r>
          </w:p>
        </w:tc>
      </w:tr>
      <w:tr w:rsidR="007C0720" w:rsidRPr="007C0720" w14:paraId="3650D166" w14:textId="77777777" w:rsidTr="007C0720">
        <w:trPr>
          <w:trHeight w:val="300"/>
        </w:trPr>
        <w:tc>
          <w:tcPr>
            <w:tcW w:w="1420" w:type="dxa"/>
            <w:tcBorders>
              <w:top w:val="nil"/>
              <w:left w:val="nil"/>
              <w:bottom w:val="nil"/>
              <w:right w:val="nil"/>
            </w:tcBorders>
            <w:shd w:val="clear" w:color="000000" w:fill="D9D9D9"/>
            <w:noWrap/>
            <w:vAlign w:val="bottom"/>
            <w:hideMark/>
          </w:tcPr>
          <w:p w14:paraId="6CDD713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64DF4F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7BBB6C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DAN-1174</w:t>
            </w:r>
          </w:p>
        </w:tc>
        <w:tc>
          <w:tcPr>
            <w:tcW w:w="460" w:type="dxa"/>
            <w:tcBorders>
              <w:top w:val="nil"/>
              <w:left w:val="nil"/>
              <w:bottom w:val="nil"/>
              <w:right w:val="nil"/>
            </w:tcBorders>
            <w:shd w:val="clear" w:color="000000" w:fill="D9D9D9"/>
            <w:noWrap/>
            <w:vAlign w:val="bottom"/>
            <w:hideMark/>
          </w:tcPr>
          <w:p w14:paraId="775F73E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3EDC0E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30D437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E304C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63A1AC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E224D1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4F51EF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0AB0A90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91.7%</w:t>
            </w:r>
          </w:p>
        </w:tc>
      </w:tr>
      <w:tr w:rsidR="007C0720" w:rsidRPr="007C0720" w14:paraId="492A4206" w14:textId="77777777" w:rsidTr="007C0720">
        <w:trPr>
          <w:trHeight w:val="300"/>
        </w:trPr>
        <w:tc>
          <w:tcPr>
            <w:tcW w:w="1420" w:type="dxa"/>
            <w:tcBorders>
              <w:top w:val="nil"/>
              <w:left w:val="nil"/>
              <w:bottom w:val="nil"/>
              <w:right w:val="nil"/>
            </w:tcBorders>
            <w:shd w:val="clear" w:color="auto" w:fill="auto"/>
            <w:noWrap/>
            <w:vAlign w:val="bottom"/>
            <w:hideMark/>
          </w:tcPr>
          <w:p w14:paraId="557E12D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lastRenderedPageBreak/>
              <w:t>0250</w:t>
            </w:r>
          </w:p>
        </w:tc>
        <w:tc>
          <w:tcPr>
            <w:tcW w:w="3220" w:type="dxa"/>
            <w:tcBorders>
              <w:top w:val="nil"/>
              <w:left w:val="nil"/>
              <w:bottom w:val="nil"/>
              <w:right w:val="nil"/>
            </w:tcBorders>
            <w:shd w:val="clear" w:color="auto" w:fill="auto"/>
            <w:noWrap/>
            <w:vAlign w:val="bottom"/>
            <w:hideMark/>
          </w:tcPr>
          <w:p w14:paraId="60A4B0D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9203A6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DAN-145</w:t>
            </w:r>
          </w:p>
        </w:tc>
        <w:tc>
          <w:tcPr>
            <w:tcW w:w="460" w:type="dxa"/>
            <w:tcBorders>
              <w:top w:val="nil"/>
              <w:left w:val="nil"/>
              <w:bottom w:val="nil"/>
              <w:right w:val="nil"/>
            </w:tcBorders>
            <w:shd w:val="clear" w:color="auto" w:fill="auto"/>
            <w:noWrap/>
            <w:vAlign w:val="bottom"/>
            <w:hideMark/>
          </w:tcPr>
          <w:p w14:paraId="546DAAFB"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E453B0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94.5%</w:t>
            </w:r>
          </w:p>
        </w:tc>
        <w:tc>
          <w:tcPr>
            <w:tcW w:w="940" w:type="dxa"/>
            <w:tcBorders>
              <w:top w:val="nil"/>
              <w:left w:val="nil"/>
              <w:bottom w:val="nil"/>
              <w:right w:val="nil"/>
            </w:tcBorders>
            <w:shd w:val="clear" w:color="auto" w:fill="auto"/>
            <w:noWrap/>
            <w:vAlign w:val="bottom"/>
            <w:hideMark/>
          </w:tcPr>
          <w:p w14:paraId="10F7095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02EEBA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3127E3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77FFDA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43215E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07F27E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6CD7156" w14:textId="77777777" w:rsidTr="007C0720">
        <w:trPr>
          <w:trHeight w:val="300"/>
        </w:trPr>
        <w:tc>
          <w:tcPr>
            <w:tcW w:w="1420" w:type="dxa"/>
            <w:tcBorders>
              <w:top w:val="nil"/>
              <w:left w:val="nil"/>
              <w:bottom w:val="nil"/>
              <w:right w:val="nil"/>
            </w:tcBorders>
            <w:shd w:val="clear" w:color="000000" w:fill="D9D9D9"/>
            <w:noWrap/>
            <w:vAlign w:val="bottom"/>
            <w:hideMark/>
          </w:tcPr>
          <w:p w14:paraId="7533C51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E1D905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F3783C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DAN-146</w:t>
            </w:r>
          </w:p>
        </w:tc>
        <w:tc>
          <w:tcPr>
            <w:tcW w:w="460" w:type="dxa"/>
            <w:tcBorders>
              <w:top w:val="nil"/>
              <w:left w:val="nil"/>
              <w:bottom w:val="nil"/>
              <w:right w:val="nil"/>
            </w:tcBorders>
            <w:shd w:val="clear" w:color="000000" w:fill="D9D9D9"/>
            <w:noWrap/>
            <w:vAlign w:val="bottom"/>
            <w:hideMark/>
          </w:tcPr>
          <w:p w14:paraId="7FC6E37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C10862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0F8264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AE0E83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138E32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E6EA43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59F689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F7B433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5C38F9D" w14:textId="77777777" w:rsidTr="007C0720">
        <w:trPr>
          <w:trHeight w:val="300"/>
        </w:trPr>
        <w:tc>
          <w:tcPr>
            <w:tcW w:w="1420" w:type="dxa"/>
            <w:tcBorders>
              <w:top w:val="nil"/>
              <w:left w:val="nil"/>
              <w:bottom w:val="nil"/>
              <w:right w:val="nil"/>
            </w:tcBorders>
            <w:shd w:val="clear" w:color="auto" w:fill="auto"/>
            <w:noWrap/>
            <w:vAlign w:val="bottom"/>
            <w:hideMark/>
          </w:tcPr>
          <w:p w14:paraId="2281D57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69E745A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86797B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DAN-155</w:t>
            </w:r>
          </w:p>
        </w:tc>
        <w:tc>
          <w:tcPr>
            <w:tcW w:w="460" w:type="dxa"/>
            <w:tcBorders>
              <w:top w:val="nil"/>
              <w:left w:val="nil"/>
              <w:bottom w:val="nil"/>
              <w:right w:val="nil"/>
            </w:tcBorders>
            <w:shd w:val="clear" w:color="auto" w:fill="auto"/>
            <w:noWrap/>
            <w:vAlign w:val="bottom"/>
            <w:hideMark/>
          </w:tcPr>
          <w:p w14:paraId="693534D4"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9389CE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89.7%</w:t>
            </w:r>
          </w:p>
        </w:tc>
        <w:tc>
          <w:tcPr>
            <w:tcW w:w="940" w:type="dxa"/>
            <w:tcBorders>
              <w:top w:val="nil"/>
              <w:left w:val="nil"/>
              <w:bottom w:val="nil"/>
              <w:right w:val="nil"/>
            </w:tcBorders>
            <w:shd w:val="clear" w:color="auto" w:fill="auto"/>
            <w:noWrap/>
            <w:vAlign w:val="bottom"/>
            <w:hideMark/>
          </w:tcPr>
          <w:p w14:paraId="4BE9303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14:paraId="4BEBEBC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14:paraId="34C0E8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14:paraId="67A204E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14:paraId="4DA2E13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CA5F56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3831D46" w14:textId="77777777" w:rsidTr="007C0720">
        <w:trPr>
          <w:trHeight w:val="300"/>
        </w:trPr>
        <w:tc>
          <w:tcPr>
            <w:tcW w:w="1420" w:type="dxa"/>
            <w:tcBorders>
              <w:top w:val="nil"/>
              <w:left w:val="nil"/>
              <w:bottom w:val="nil"/>
              <w:right w:val="nil"/>
            </w:tcBorders>
            <w:shd w:val="clear" w:color="000000" w:fill="D9D9D9"/>
            <w:noWrap/>
            <w:vAlign w:val="bottom"/>
            <w:hideMark/>
          </w:tcPr>
          <w:p w14:paraId="3A6939C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1DB370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1DBD5C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DAN-157</w:t>
            </w:r>
          </w:p>
        </w:tc>
        <w:tc>
          <w:tcPr>
            <w:tcW w:w="460" w:type="dxa"/>
            <w:tcBorders>
              <w:top w:val="nil"/>
              <w:left w:val="nil"/>
              <w:bottom w:val="nil"/>
              <w:right w:val="nil"/>
            </w:tcBorders>
            <w:shd w:val="clear" w:color="000000" w:fill="D9D9D9"/>
            <w:noWrap/>
            <w:vAlign w:val="bottom"/>
            <w:hideMark/>
          </w:tcPr>
          <w:p w14:paraId="69A5D87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A6F040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FFAA8D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90.2%</w:t>
            </w:r>
          </w:p>
        </w:tc>
        <w:tc>
          <w:tcPr>
            <w:tcW w:w="940" w:type="dxa"/>
            <w:tcBorders>
              <w:top w:val="nil"/>
              <w:left w:val="nil"/>
              <w:bottom w:val="nil"/>
              <w:right w:val="nil"/>
            </w:tcBorders>
            <w:shd w:val="clear" w:color="000000" w:fill="D9D9D9"/>
            <w:noWrap/>
            <w:vAlign w:val="bottom"/>
            <w:hideMark/>
          </w:tcPr>
          <w:p w14:paraId="3E2BCBD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3138F15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79.5%</w:t>
            </w:r>
          </w:p>
        </w:tc>
        <w:tc>
          <w:tcPr>
            <w:tcW w:w="940" w:type="dxa"/>
            <w:tcBorders>
              <w:top w:val="nil"/>
              <w:left w:val="nil"/>
              <w:bottom w:val="nil"/>
              <w:right w:val="nil"/>
            </w:tcBorders>
            <w:shd w:val="clear" w:color="000000" w:fill="D9D9D9"/>
            <w:noWrap/>
            <w:vAlign w:val="bottom"/>
            <w:hideMark/>
          </w:tcPr>
          <w:p w14:paraId="708F93C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14:paraId="4F265A0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D593CE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10382C4" w14:textId="77777777" w:rsidTr="007C0720">
        <w:trPr>
          <w:trHeight w:val="300"/>
        </w:trPr>
        <w:tc>
          <w:tcPr>
            <w:tcW w:w="1420" w:type="dxa"/>
            <w:tcBorders>
              <w:top w:val="nil"/>
              <w:left w:val="nil"/>
              <w:bottom w:val="nil"/>
              <w:right w:val="nil"/>
            </w:tcBorders>
            <w:shd w:val="clear" w:color="auto" w:fill="auto"/>
            <w:noWrap/>
            <w:vAlign w:val="bottom"/>
            <w:hideMark/>
          </w:tcPr>
          <w:p w14:paraId="4806E3B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4B5AC2C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3EF9B0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DAN-162</w:t>
            </w:r>
          </w:p>
        </w:tc>
        <w:tc>
          <w:tcPr>
            <w:tcW w:w="460" w:type="dxa"/>
            <w:tcBorders>
              <w:top w:val="nil"/>
              <w:left w:val="nil"/>
              <w:bottom w:val="nil"/>
              <w:right w:val="nil"/>
            </w:tcBorders>
            <w:shd w:val="clear" w:color="auto" w:fill="auto"/>
            <w:noWrap/>
            <w:vAlign w:val="bottom"/>
            <w:hideMark/>
          </w:tcPr>
          <w:p w14:paraId="4A1AEE46"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633DD2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92.8%</w:t>
            </w:r>
          </w:p>
        </w:tc>
        <w:tc>
          <w:tcPr>
            <w:tcW w:w="940" w:type="dxa"/>
            <w:tcBorders>
              <w:top w:val="nil"/>
              <w:left w:val="nil"/>
              <w:bottom w:val="nil"/>
              <w:right w:val="nil"/>
            </w:tcBorders>
            <w:shd w:val="clear" w:color="auto" w:fill="auto"/>
            <w:noWrap/>
            <w:vAlign w:val="bottom"/>
            <w:hideMark/>
          </w:tcPr>
          <w:p w14:paraId="0EB8065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84.8%</w:t>
            </w:r>
          </w:p>
        </w:tc>
        <w:tc>
          <w:tcPr>
            <w:tcW w:w="940" w:type="dxa"/>
            <w:tcBorders>
              <w:top w:val="nil"/>
              <w:left w:val="nil"/>
              <w:bottom w:val="nil"/>
              <w:right w:val="nil"/>
            </w:tcBorders>
            <w:shd w:val="clear" w:color="auto" w:fill="auto"/>
            <w:noWrap/>
            <w:vAlign w:val="bottom"/>
            <w:hideMark/>
          </w:tcPr>
          <w:p w14:paraId="44D759D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85.1%</w:t>
            </w:r>
          </w:p>
        </w:tc>
        <w:tc>
          <w:tcPr>
            <w:tcW w:w="940" w:type="dxa"/>
            <w:tcBorders>
              <w:top w:val="nil"/>
              <w:left w:val="nil"/>
              <w:bottom w:val="nil"/>
              <w:right w:val="nil"/>
            </w:tcBorders>
            <w:shd w:val="clear" w:color="auto" w:fill="auto"/>
            <w:noWrap/>
            <w:vAlign w:val="bottom"/>
            <w:hideMark/>
          </w:tcPr>
          <w:p w14:paraId="149F90F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88.4%</w:t>
            </w:r>
          </w:p>
        </w:tc>
        <w:tc>
          <w:tcPr>
            <w:tcW w:w="940" w:type="dxa"/>
            <w:tcBorders>
              <w:top w:val="nil"/>
              <w:left w:val="nil"/>
              <w:bottom w:val="nil"/>
              <w:right w:val="nil"/>
            </w:tcBorders>
            <w:shd w:val="clear" w:color="auto" w:fill="auto"/>
            <w:noWrap/>
            <w:vAlign w:val="bottom"/>
            <w:hideMark/>
          </w:tcPr>
          <w:p w14:paraId="4888014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86.0%</w:t>
            </w:r>
          </w:p>
        </w:tc>
        <w:tc>
          <w:tcPr>
            <w:tcW w:w="940" w:type="dxa"/>
            <w:tcBorders>
              <w:top w:val="nil"/>
              <w:left w:val="nil"/>
              <w:bottom w:val="nil"/>
              <w:right w:val="nil"/>
            </w:tcBorders>
            <w:shd w:val="clear" w:color="auto" w:fill="auto"/>
            <w:noWrap/>
            <w:vAlign w:val="bottom"/>
            <w:hideMark/>
          </w:tcPr>
          <w:p w14:paraId="24A5120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BB244B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2818C1A2" w14:textId="77777777" w:rsidTr="007C0720">
        <w:trPr>
          <w:trHeight w:val="300"/>
        </w:trPr>
        <w:tc>
          <w:tcPr>
            <w:tcW w:w="1420" w:type="dxa"/>
            <w:tcBorders>
              <w:top w:val="nil"/>
              <w:left w:val="nil"/>
              <w:bottom w:val="nil"/>
              <w:right w:val="nil"/>
            </w:tcBorders>
            <w:shd w:val="clear" w:color="000000" w:fill="D9D9D9"/>
            <w:noWrap/>
            <w:vAlign w:val="bottom"/>
            <w:hideMark/>
          </w:tcPr>
          <w:p w14:paraId="6EBC61F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C06DC2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E38B09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DAN-172</w:t>
            </w:r>
          </w:p>
        </w:tc>
        <w:tc>
          <w:tcPr>
            <w:tcW w:w="460" w:type="dxa"/>
            <w:tcBorders>
              <w:top w:val="nil"/>
              <w:left w:val="nil"/>
              <w:bottom w:val="nil"/>
              <w:right w:val="nil"/>
            </w:tcBorders>
            <w:shd w:val="clear" w:color="000000" w:fill="D9D9D9"/>
            <w:noWrap/>
            <w:vAlign w:val="bottom"/>
            <w:hideMark/>
          </w:tcPr>
          <w:p w14:paraId="1FDB645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EA4AB5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87.9%</w:t>
            </w:r>
          </w:p>
        </w:tc>
        <w:tc>
          <w:tcPr>
            <w:tcW w:w="940" w:type="dxa"/>
            <w:tcBorders>
              <w:top w:val="nil"/>
              <w:left w:val="nil"/>
              <w:bottom w:val="nil"/>
              <w:right w:val="nil"/>
            </w:tcBorders>
            <w:shd w:val="clear" w:color="000000" w:fill="D9D9D9"/>
            <w:noWrap/>
            <w:vAlign w:val="bottom"/>
            <w:hideMark/>
          </w:tcPr>
          <w:p w14:paraId="4E4D93E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82.1%</w:t>
            </w:r>
          </w:p>
        </w:tc>
        <w:tc>
          <w:tcPr>
            <w:tcW w:w="940" w:type="dxa"/>
            <w:tcBorders>
              <w:top w:val="nil"/>
              <w:left w:val="nil"/>
              <w:bottom w:val="nil"/>
              <w:right w:val="nil"/>
            </w:tcBorders>
            <w:shd w:val="clear" w:color="000000" w:fill="D9D9D9"/>
            <w:noWrap/>
            <w:vAlign w:val="bottom"/>
            <w:hideMark/>
          </w:tcPr>
          <w:p w14:paraId="1130BFD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81.1%</w:t>
            </w:r>
          </w:p>
        </w:tc>
        <w:tc>
          <w:tcPr>
            <w:tcW w:w="940" w:type="dxa"/>
            <w:tcBorders>
              <w:top w:val="nil"/>
              <w:left w:val="nil"/>
              <w:bottom w:val="nil"/>
              <w:right w:val="nil"/>
            </w:tcBorders>
            <w:shd w:val="clear" w:color="000000" w:fill="D9D9D9"/>
            <w:noWrap/>
            <w:vAlign w:val="bottom"/>
            <w:hideMark/>
          </w:tcPr>
          <w:p w14:paraId="163C85A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77.4%</w:t>
            </w:r>
          </w:p>
        </w:tc>
        <w:tc>
          <w:tcPr>
            <w:tcW w:w="940" w:type="dxa"/>
            <w:tcBorders>
              <w:top w:val="nil"/>
              <w:left w:val="nil"/>
              <w:bottom w:val="nil"/>
              <w:right w:val="nil"/>
            </w:tcBorders>
            <w:shd w:val="clear" w:color="000000" w:fill="D9D9D9"/>
            <w:noWrap/>
            <w:vAlign w:val="bottom"/>
            <w:hideMark/>
          </w:tcPr>
          <w:p w14:paraId="2AE03CB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72.4%</w:t>
            </w:r>
          </w:p>
        </w:tc>
        <w:tc>
          <w:tcPr>
            <w:tcW w:w="940" w:type="dxa"/>
            <w:tcBorders>
              <w:top w:val="nil"/>
              <w:left w:val="nil"/>
              <w:bottom w:val="nil"/>
              <w:right w:val="nil"/>
            </w:tcBorders>
            <w:shd w:val="clear" w:color="000000" w:fill="D9D9D9"/>
            <w:noWrap/>
            <w:vAlign w:val="bottom"/>
            <w:hideMark/>
          </w:tcPr>
          <w:p w14:paraId="7787467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BA8718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9D4A0F4" w14:textId="77777777" w:rsidTr="007C0720">
        <w:trPr>
          <w:trHeight w:val="300"/>
        </w:trPr>
        <w:tc>
          <w:tcPr>
            <w:tcW w:w="1420" w:type="dxa"/>
            <w:tcBorders>
              <w:top w:val="nil"/>
              <w:left w:val="nil"/>
              <w:bottom w:val="nil"/>
              <w:right w:val="nil"/>
            </w:tcBorders>
            <w:shd w:val="clear" w:color="auto" w:fill="auto"/>
            <w:noWrap/>
            <w:vAlign w:val="bottom"/>
            <w:hideMark/>
          </w:tcPr>
          <w:p w14:paraId="58C9190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5D2E03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5F0654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DAN-173</w:t>
            </w:r>
          </w:p>
        </w:tc>
        <w:tc>
          <w:tcPr>
            <w:tcW w:w="460" w:type="dxa"/>
            <w:tcBorders>
              <w:top w:val="nil"/>
              <w:left w:val="nil"/>
              <w:bottom w:val="nil"/>
              <w:right w:val="nil"/>
            </w:tcBorders>
            <w:shd w:val="clear" w:color="auto" w:fill="auto"/>
            <w:noWrap/>
            <w:vAlign w:val="bottom"/>
            <w:hideMark/>
          </w:tcPr>
          <w:p w14:paraId="226B84E8"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1D67FD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70.4%</w:t>
            </w:r>
          </w:p>
        </w:tc>
        <w:tc>
          <w:tcPr>
            <w:tcW w:w="940" w:type="dxa"/>
            <w:tcBorders>
              <w:top w:val="nil"/>
              <w:left w:val="nil"/>
              <w:bottom w:val="nil"/>
              <w:right w:val="nil"/>
            </w:tcBorders>
            <w:shd w:val="clear" w:color="auto" w:fill="auto"/>
            <w:noWrap/>
            <w:vAlign w:val="bottom"/>
            <w:hideMark/>
          </w:tcPr>
          <w:p w14:paraId="6CF3207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76.1%</w:t>
            </w:r>
          </w:p>
        </w:tc>
        <w:tc>
          <w:tcPr>
            <w:tcW w:w="940" w:type="dxa"/>
            <w:tcBorders>
              <w:top w:val="nil"/>
              <w:left w:val="nil"/>
              <w:bottom w:val="nil"/>
              <w:right w:val="nil"/>
            </w:tcBorders>
            <w:shd w:val="clear" w:color="auto" w:fill="auto"/>
            <w:noWrap/>
            <w:vAlign w:val="bottom"/>
            <w:hideMark/>
          </w:tcPr>
          <w:p w14:paraId="46323CE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78.1%</w:t>
            </w:r>
          </w:p>
        </w:tc>
        <w:tc>
          <w:tcPr>
            <w:tcW w:w="940" w:type="dxa"/>
            <w:tcBorders>
              <w:top w:val="nil"/>
              <w:left w:val="nil"/>
              <w:bottom w:val="nil"/>
              <w:right w:val="nil"/>
            </w:tcBorders>
            <w:shd w:val="clear" w:color="auto" w:fill="auto"/>
            <w:noWrap/>
            <w:vAlign w:val="bottom"/>
            <w:hideMark/>
          </w:tcPr>
          <w:p w14:paraId="1056DCC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79.1%</w:t>
            </w:r>
          </w:p>
        </w:tc>
        <w:tc>
          <w:tcPr>
            <w:tcW w:w="940" w:type="dxa"/>
            <w:tcBorders>
              <w:top w:val="nil"/>
              <w:left w:val="nil"/>
              <w:bottom w:val="nil"/>
              <w:right w:val="nil"/>
            </w:tcBorders>
            <w:shd w:val="clear" w:color="auto" w:fill="auto"/>
            <w:noWrap/>
            <w:vAlign w:val="bottom"/>
            <w:hideMark/>
          </w:tcPr>
          <w:p w14:paraId="6F61ACD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14:paraId="1130A46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220A7D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7B2E447B" w14:textId="77777777" w:rsidTr="007C0720">
        <w:trPr>
          <w:trHeight w:val="300"/>
        </w:trPr>
        <w:tc>
          <w:tcPr>
            <w:tcW w:w="1420" w:type="dxa"/>
            <w:tcBorders>
              <w:top w:val="nil"/>
              <w:left w:val="nil"/>
              <w:bottom w:val="nil"/>
              <w:right w:val="nil"/>
            </w:tcBorders>
            <w:shd w:val="clear" w:color="000000" w:fill="D9D9D9"/>
            <w:noWrap/>
            <w:vAlign w:val="bottom"/>
            <w:hideMark/>
          </w:tcPr>
          <w:p w14:paraId="3D2F780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11D422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A80555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DAN-174</w:t>
            </w:r>
          </w:p>
        </w:tc>
        <w:tc>
          <w:tcPr>
            <w:tcW w:w="460" w:type="dxa"/>
            <w:tcBorders>
              <w:top w:val="nil"/>
              <w:left w:val="nil"/>
              <w:bottom w:val="nil"/>
              <w:right w:val="nil"/>
            </w:tcBorders>
            <w:shd w:val="clear" w:color="000000" w:fill="D9D9D9"/>
            <w:noWrap/>
            <w:vAlign w:val="bottom"/>
            <w:hideMark/>
          </w:tcPr>
          <w:p w14:paraId="6856F61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B2CE55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89.5%</w:t>
            </w:r>
          </w:p>
        </w:tc>
        <w:tc>
          <w:tcPr>
            <w:tcW w:w="940" w:type="dxa"/>
            <w:tcBorders>
              <w:top w:val="nil"/>
              <w:left w:val="nil"/>
              <w:bottom w:val="nil"/>
              <w:right w:val="nil"/>
            </w:tcBorders>
            <w:shd w:val="clear" w:color="000000" w:fill="D9D9D9"/>
            <w:noWrap/>
            <w:vAlign w:val="bottom"/>
            <w:hideMark/>
          </w:tcPr>
          <w:p w14:paraId="346731E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14:paraId="75F1D84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14:paraId="5A02536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14:paraId="2646D1A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14:paraId="05E63D8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CD3248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E5E2864" w14:textId="77777777" w:rsidTr="007C0720">
        <w:trPr>
          <w:trHeight w:val="300"/>
        </w:trPr>
        <w:tc>
          <w:tcPr>
            <w:tcW w:w="1420" w:type="dxa"/>
            <w:tcBorders>
              <w:top w:val="nil"/>
              <w:left w:val="nil"/>
              <w:bottom w:val="nil"/>
              <w:right w:val="nil"/>
            </w:tcBorders>
            <w:shd w:val="clear" w:color="auto" w:fill="auto"/>
            <w:noWrap/>
            <w:vAlign w:val="bottom"/>
            <w:hideMark/>
          </w:tcPr>
          <w:p w14:paraId="39062E4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D2A1C8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396475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DAN-175</w:t>
            </w:r>
          </w:p>
        </w:tc>
        <w:tc>
          <w:tcPr>
            <w:tcW w:w="460" w:type="dxa"/>
            <w:tcBorders>
              <w:top w:val="nil"/>
              <w:left w:val="nil"/>
              <w:bottom w:val="nil"/>
              <w:right w:val="nil"/>
            </w:tcBorders>
            <w:shd w:val="clear" w:color="auto" w:fill="auto"/>
            <w:noWrap/>
            <w:vAlign w:val="bottom"/>
            <w:hideMark/>
          </w:tcPr>
          <w:p w14:paraId="073C4AC0"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F0C4F5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81.3%</w:t>
            </w:r>
          </w:p>
        </w:tc>
        <w:tc>
          <w:tcPr>
            <w:tcW w:w="940" w:type="dxa"/>
            <w:tcBorders>
              <w:top w:val="nil"/>
              <w:left w:val="nil"/>
              <w:bottom w:val="nil"/>
              <w:right w:val="nil"/>
            </w:tcBorders>
            <w:shd w:val="clear" w:color="auto" w:fill="auto"/>
            <w:noWrap/>
            <w:vAlign w:val="bottom"/>
            <w:hideMark/>
          </w:tcPr>
          <w:p w14:paraId="064B864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14:paraId="1A6C3AC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92.6%</w:t>
            </w:r>
          </w:p>
        </w:tc>
        <w:tc>
          <w:tcPr>
            <w:tcW w:w="940" w:type="dxa"/>
            <w:tcBorders>
              <w:top w:val="nil"/>
              <w:left w:val="nil"/>
              <w:bottom w:val="nil"/>
              <w:right w:val="nil"/>
            </w:tcBorders>
            <w:shd w:val="clear" w:color="auto" w:fill="auto"/>
            <w:noWrap/>
            <w:vAlign w:val="bottom"/>
            <w:hideMark/>
          </w:tcPr>
          <w:p w14:paraId="4518837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14:paraId="58795B6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2B3739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965B85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1EC4E265" w14:textId="77777777" w:rsidTr="007C0720">
        <w:trPr>
          <w:trHeight w:val="300"/>
        </w:trPr>
        <w:tc>
          <w:tcPr>
            <w:tcW w:w="1420" w:type="dxa"/>
            <w:tcBorders>
              <w:top w:val="nil"/>
              <w:left w:val="nil"/>
              <w:bottom w:val="nil"/>
              <w:right w:val="nil"/>
            </w:tcBorders>
            <w:shd w:val="clear" w:color="000000" w:fill="D9D9D9"/>
            <w:noWrap/>
            <w:vAlign w:val="bottom"/>
            <w:hideMark/>
          </w:tcPr>
          <w:p w14:paraId="0D405A2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8CE304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91EE58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DAN-176</w:t>
            </w:r>
          </w:p>
        </w:tc>
        <w:tc>
          <w:tcPr>
            <w:tcW w:w="460" w:type="dxa"/>
            <w:tcBorders>
              <w:top w:val="nil"/>
              <w:left w:val="nil"/>
              <w:bottom w:val="nil"/>
              <w:right w:val="nil"/>
            </w:tcBorders>
            <w:shd w:val="clear" w:color="000000" w:fill="D9D9D9"/>
            <w:noWrap/>
            <w:vAlign w:val="bottom"/>
            <w:hideMark/>
          </w:tcPr>
          <w:p w14:paraId="5158BF9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4B9EEB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14:paraId="7C0903C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0E1F25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719897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9BB0F4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84681B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3EA4E2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8B2C55A" w14:textId="77777777" w:rsidTr="007C0720">
        <w:trPr>
          <w:trHeight w:val="300"/>
        </w:trPr>
        <w:tc>
          <w:tcPr>
            <w:tcW w:w="1420" w:type="dxa"/>
            <w:tcBorders>
              <w:top w:val="nil"/>
              <w:left w:val="nil"/>
              <w:bottom w:val="nil"/>
              <w:right w:val="nil"/>
            </w:tcBorders>
            <w:shd w:val="clear" w:color="auto" w:fill="auto"/>
            <w:noWrap/>
            <w:vAlign w:val="bottom"/>
            <w:hideMark/>
          </w:tcPr>
          <w:p w14:paraId="022E075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ADBAB5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848ADD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DAN-180</w:t>
            </w:r>
          </w:p>
        </w:tc>
        <w:tc>
          <w:tcPr>
            <w:tcW w:w="460" w:type="dxa"/>
            <w:tcBorders>
              <w:top w:val="nil"/>
              <w:left w:val="nil"/>
              <w:bottom w:val="nil"/>
              <w:right w:val="nil"/>
            </w:tcBorders>
            <w:shd w:val="clear" w:color="auto" w:fill="auto"/>
            <w:noWrap/>
            <w:vAlign w:val="bottom"/>
            <w:hideMark/>
          </w:tcPr>
          <w:p w14:paraId="37426A19"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9ED1C2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14:paraId="685C9F5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4598A6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A20257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E49B34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C6F5FF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7C26BE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2ECC8A12" w14:textId="77777777" w:rsidTr="007C0720">
        <w:trPr>
          <w:trHeight w:val="300"/>
        </w:trPr>
        <w:tc>
          <w:tcPr>
            <w:tcW w:w="1420" w:type="dxa"/>
            <w:tcBorders>
              <w:top w:val="nil"/>
              <w:left w:val="nil"/>
              <w:bottom w:val="nil"/>
              <w:right w:val="nil"/>
            </w:tcBorders>
            <w:shd w:val="clear" w:color="000000" w:fill="D9D9D9"/>
            <w:noWrap/>
            <w:vAlign w:val="bottom"/>
            <w:hideMark/>
          </w:tcPr>
          <w:p w14:paraId="0D49E34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6A06BD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354E8A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DAN-204</w:t>
            </w:r>
          </w:p>
        </w:tc>
        <w:tc>
          <w:tcPr>
            <w:tcW w:w="460" w:type="dxa"/>
            <w:tcBorders>
              <w:top w:val="nil"/>
              <w:left w:val="nil"/>
              <w:bottom w:val="nil"/>
              <w:right w:val="nil"/>
            </w:tcBorders>
            <w:shd w:val="clear" w:color="000000" w:fill="D9D9D9"/>
            <w:noWrap/>
            <w:vAlign w:val="bottom"/>
            <w:hideMark/>
          </w:tcPr>
          <w:p w14:paraId="5B6EEDB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9A2808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A29052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2B82BD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E75F20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DD2CF1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B60337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4A37BA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C751B5A" w14:textId="77777777" w:rsidTr="007C0720">
        <w:trPr>
          <w:trHeight w:val="300"/>
        </w:trPr>
        <w:tc>
          <w:tcPr>
            <w:tcW w:w="1420" w:type="dxa"/>
            <w:tcBorders>
              <w:top w:val="nil"/>
              <w:left w:val="nil"/>
              <w:bottom w:val="nil"/>
              <w:right w:val="nil"/>
            </w:tcBorders>
            <w:shd w:val="clear" w:color="auto" w:fill="auto"/>
            <w:noWrap/>
            <w:vAlign w:val="bottom"/>
            <w:hideMark/>
          </w:tcPr>
          <w:p w14:paraId="77D98F6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7060665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D423F4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DAN-205</w:t>
            </w:r>
          </w:p>
        </w:tc>
        <w:tc>
          <w:tcPr>
            <w:tcW w:w="460" w:type="dxa"/>
            <w:tcBorders>
              <w:top w:val="nil"/>
              <w:left w:val="nil"/>
              <w:bottom w:val="nil"/>
              <w:right w:val="nil"/>
            </w:tcBorders>
            <w:shd w:val="clear" w:color="auto" w:fill="auto"/>
            <w:noWrap/>
            <w:vAlign w:val="bottom"/>
            <w:hideMark/>
          </w:tcPr>
          <w:p w14:paraId="3181E7B3"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FA2894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73.3%</w:t>
            </w:r>
          </w:p>
        </w:tc>
        <w:tc>
          <w:tcPr>
            <w:tcW w:w="940" w:type="dxa"/>
            <w:tcBorders>
              <w:top w:val="nil"/>
              <w:left w:val="nil"/>
              <w:bottom w:val="nil"/>
              <w:right w:val="nil"/>
            </w:tcBorders>
            <w:shd w:val="clear" w:color="auto" w:fill="auto"/>
            <w:noWrap/>
            <w:vAlign w:val="bottom"/>
            <w:hideMark/>
          </w:tcPr>
          <w:p w14:paraId="79786A8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B9C078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BD88B8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D6E4FB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BF5728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2387F3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606BFB2A" w14:textId="77777777" w:rsidTr="007C0720">
        <w:trPr>
          <w:trHeight w:val="300"/>
        </w:trPr>
        <w:tc>
          <w:tcPr>
            <w:tcW w:w="1420" w:type="dxa"/>
            <w:tcBorders>
              <w:top w:val="nil"/>
              <w:left w:val="nil"/>
              <w:bottom w:val="nil"/>
              <w:right w:val="nil"/>
            </w:tcBorders>
            <w:shd w:val="clear" w:color="000000" w:fill="D9D9D9"/>
            <w:noWrap/>
            <w:vAlign w:val="bottom"/>
            <w:hideMark/>
          </w:tcPr>
          <w:p w14:paraId="73A7124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B750BA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44DDC9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DAN-206</w:t>
            </w:r>
          </w:p>
        </w:tc>
        <w:tc>
          <w:tcPr>
            <w:tcW w:w="460" w:type="dxa"/>
            <w:tcBorders>
              <w:top w:val="nil"/>
              <w:left w:val="nil"/>
              <w:bottom w:val="nil"/>
              <w:right w:val="nil"/>
            </w:tcBorders>
            <w:shd w:val="clear" w:color="000000" w:fill="D9D9D9"/>
            <w:noWrap/>
            <w:vAlign w:val="bottom"/>
            <w:hideMark/>
          </w:tcPr>
          <w:p w14:paraId="3A155B1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055267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DB1DFF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BEA428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50609A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3AE48A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027075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4515D1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2B3DF3E1" w14:textId="77777777" w:rsidTr="007C0720">
        <w:trPr>
          <w:trHeight w:val="300"/>
        </w:trPr>
        <w:tc>
          <w:tcPr>
            <w:tcW w:w="1420" w:type="dxa"/>
            <w:tcBorders>
              <w:top w:val="nil"/>
              <w:left w:val="nil"/>
              <w:bottom w:val="nil"/>
              <w:right w:val="nil"/>
            </w:tcBorders>
            <w:shd w:val="clear" w:color="auto" w:fill="auto"/>
            <w:noWrap/>
            <w:vAlign w:val="bottom"/>
            <w:hideMark/>
          </w:tcPr>
          <w:p w14:paraId="298F579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7B212EA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3087A5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DAN-2262</w:t>
            </w:r>
          </w:p>
        </w:tc>
        <w:tc>
          <w:tcPr>
            <w:tcW w:w="460" w:type="dxa"/>
            <w:tcBorders>
              <w:top w:val="nil"/>
              <w:left w:val="nil"/>
              <w:bottom w:val="nil"/>
              <w:right w:val="nil"/>
            </w:tcBorders>
            <w:shd w:val="clear" w:color="auto" w:fill="auto"/>
            <w:noWrap/>
            <w:vAlign w:val="bottom"/>
            <w:hideMark/>
          </w:tcPr>
          <w:p w14:paraId="374B219F"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855907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59374C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4F2D5F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30689D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CE2F0A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936C73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7585DB6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r>
      <w:tr w:rsidR="007C0720" w:rsidRPr="007C0720" w14:paraId="2489C621" w14:textId="77777777" w:rsidTr="007C0720">
        <w:trPr>
          <w:trHeight w:val="300"/>
        </w:trPr>
        <w:tc>
          <w:tcPr>
            <w:tcW w:w="1420" w:type="dxa"/>
            <w:tcBorders>
              <w:top w:val="nil"/>
              <w:left w:val="nil"/>
              <w:bottom w:val="nil"/>
              <w:right w:val="nil"/>
            </w:tcBorders>
            <w:shd w:val="clear" w:color="000000" w:fill="D9D9D9"/>
            <w:noWrap/>
            <w:vAlign w:val="bottom"/>
            <w:hideMark/>
          </w:tcPr>
          <w:p w14:paraId="02C1B7E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CB92FD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476C84C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DAN-241</w:t>
            </w:r>
          </w:p>
        </w:tc>
        <w:tc>
          <w:tcPr>
            <w:tcW w:w="460" w:type="dxa"/>
            <w:tcBorders>
              <w:top w:val="nil"/>
              <w:left w:val="nil"/>
              <w:bottom w:val="nil"/>
              <w:right w:val="nil"/>
            </w:tcBorders>
            <w:shd w:val="clear" w:color="000000" w:fill="D9D9D9"/>
            <w:noWrap/>
            <w:vAlign w:val="bottom"/>
            <w:hideMark/>
          </w:tcPr>
          <w:p w14:paraId="292D951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4BD56F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EBD2F3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ACA599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DC615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48FB5E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843253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2F8240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22DF5A0" w14:textId="77777777" w:rsidTr="007C0720">
        <w:trPr>
          <w:trHeight w:val="300"/>
        </w:trPr>
        <w:tc>
          <w:tcPr>
            <w:tcW w:w="1420" w:type="dxa"/>
            <w:tcBorders>
              <w:top w:val="nil"/>
              <w:left w:val="nil"/>
              <w:bottom w:val="nil"/>
              <w:right w:val="nil"/>
            </w:tcBorders>
            <w:shd w:val="clear" w:color="auto" w:fill="auto"/>
            <w:noWrap/>
            <w:vAlign w:val="bottom"/>
            <w:hideMark/>
          </w:tcPr>
          <w:p w14:paraId="5482A75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359CBA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6E5CD5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DAN-242</w:t>
            </w:r>
          </w:p>
        </w:tc>
        <w:tc>
          <w:tcPr>
            <w:tcW w:w="460" w:type="dxa"/>
            <w:tcBorders>
              <w:top w:val="nil"/>
              <w:left w:val="nil"/>
              <w:bottom w:val="nil"/>
              <w:right w:val="nil"/>
            </w:tcBorders>
            <w:shd w:val="clear" w:color="auto" w:fill="auto"/>
            <w:noWrap/>
            <w:vAlign w:val="bottom"/>
            <w:hideMark/>
          </w:tcPr>
          <w:p w14:paraId="09031AA9"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72284A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14:paraId="6247206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DB207C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1E1FFC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61ECAB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652A7C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BFADE4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A76FF3F" w14:textId="77777777" w:rsidTr="007C0720">
        <w:trPr>
          <w:trHeight w:val="300"/>
        </w:trPr>
        <w:tc>
          <w:tcPr>
            <w:tcW w:w="1420" w:type="dxa"/>
            <w:tcBorders>
              <w:top w:val="nil"/>
              <w:left w:val="nil"/>
              <w:bottom w:val="nil"/>
              <w:right w:val="nil"/>
            </w:tcBorders>
            <w:shd w:val="clear" w:color="000000" w:fill="D9D9D9"/>
            <w:noWrap/>
            <w:vAlign w:val="bottom"/>
            <w:hideMark/>
          </w:tcPr>
          <w:p w14:paraId="4834DEE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F59283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A68214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DAN-245</w:t>
            </w:r>
          </w:p>
        </w:tc>
        <w:tc>
          <w:tcPr>
            <w:tcW w:w="460" w:type="dxa"/>
            <w:tcBorders>
              <w:top w:val="nil"/>
              <w:left w:val="nil"/>
              <w:bottom w:val="nil"/>
              <w:right w:val="nil"/>
            </w:tcBorders>
            <w:shd w:val="clear" w:color="000000" w:fill="D9D9D9"/>
            <w:noWrap/>
            <w:vAlign w:val="bottom"/>
            <w:hideMark/>
          </w:tcPr>
          <w:p w14:paraId="57D1076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915716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96.3%</w:t>
            </w:r>
          </w:p>
        </w:tc>
        <w:tc>
          <w:tcPr>
            <w:tcW w:w="940" w:type="dxa"/>
            <w:tcBorders>
              <w:top w:val="nil"/>
              <w:left w:val="nil"/>
              <w:bottom w:val="nil"/>
              <w:right w:val="nil"/>
            </w:tcBorders>
            <w:shd w:val="clear" w:color="000000" w:fill="D9D9D9"/>
            <w:noWrap/>
            <w:vAlign w:val="bottom"/>
            <w:hideMark/>
          </w:tcPr>
          <w:p w14:paraId="16AD443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01F58E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DA2B5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6177EE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E6B348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1CA56F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EA1FFBD" w14:textId="77777777" w:rsidTr="007C0720">
        <w:trPr>
          <w:trHeight w:val="300"/>
        </w:trPr>
        <w:tc>
          <w:tcPr>
            <w:tcW w:w="1420" w:type="dxa"/>
            <w:tcBorders>
              <w:top w:val="nil"/>
              <w:left w:val="nil"/>
              <w:bottom w:val="nil"/>
              <w:right w:val="nil"/>
            </w:tcBorders>
            <w:shd w:val="clear" w:color="auto" w:fill="auto"/>
            <w:noWrap/>
            <w:vAlign w:val="bottom"/>
            <w:hideMark/>
          </w:tcPr>
          <w:p w14:paraId="522AF29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54A9B8D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0E24E11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DAN-262</w:t>
            </w:r>
          </w:p>
        </w:tc>
        <w:tc>
          <w:tcPr>
            <w:tcW w:w="460" w:type="dxa"/>
            <w:tcBorders>
              <w:top w:val="nil"/>
              <w:left w:val="nil"/>
              <w:bottom w:val="nil"/>
              <w:right w:val="nil"/>
            </w:tcBorders>
            <w:shd w:val="clear" w:color="auto" w:fill="auto"/>
            <w:noWrap/>
            <w:vAlign w:val="bottom"/>
            <w:hideMark/>
          </w:tcPr>
          <w:p w14:paraId="37DC89D9"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2A116C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93.3%</w:t>
            </w:r>
          </w:p>
        </w:tc>
        <w:tc>
          <w:tcPr>
            <w:tcW w:w="940" w:type="dxa"/>
            <w:tcBorders>
              <w:top w:val="nil"/>
              <w:left w:val="nil"/>
              <w:bottom w:val="nil"/>
              <w:right w:val="nil"/>
            </w:tcBorders>
            <w:shd w:val="clear" w:color="auto" w:fill="auto"/>
            <w:noWrap/>
            <w:vAlign w:val="bottom"/>
            <w:hideMark/>
          </w:tcPr>
          <w:p w14:paraId="18F3E56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97.1%</w:t>
            </w:r>
          </w:p>
        </w:tc>
        <w:tc>
          <w:tcPr>
            <w:tcW w:w="940" w:type="dxa"/>
            <w:tcBorders>
              <w:top w:val="nil"/>
              <w:left w:val="nil"/>
              <w:bottom w:val="nil"/>
              <w:right w:val="nil"/>
            </w:tcBorders>
            <w:shd w:val="clear" w:color="auto" w:fill="auto"/>
            <w:noWrap/>
            <w:vAlign w:val="bottom"/>
            <w:hideMark/>
          </w:tcPr>
          <w:p w14:paraId="5FB465B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26AF6B1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94.1%</w:t>
            </w:r>
          </w:p>
        </w:tc>
        <w:tc>
          <w:tcPr>
            <w:tcW w:w="940" w:type="dxa"/>
            <w:tcBorders>
              <w:top w:val="nil"/>
              <w:left w:val="nil"/>
              <w:bottom w:val="nil"/>
              <w:right w:val="nil"/>
            </w:tcBorders>
            <w:shd w:val="clear" w:color="auto" w:fill="auto"/>
            <w:noWrap/>
            <w:vAlign w:val="bottom"/>
            <w:hideMark/>
          </w:tcPr>
          <w:p w14:paraId="32ABEEA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89.3%</w:t>
            </w:r>
          </w:p>
        </w:tc>
        <w:tc>
          <w:tcPr>
            <w:tcW w:w="940" w:type="dxa"/>
            <w:tcBorders>
              <w:top w:val="nil"/>
              <w:left w:val="nil"/>
              <w:bottom w:val="nil"/>
              <w:right w:val="nil"/>
            </w:tcBorders>
            <w:shd w:val="clear" w:color="auto" w:fill="auto"/>
            <w:noWrap/>
            <w:vAlign w:val="bottom"/>
            <w:hideMark/>
          </w:tcPr>
          <w:p w14:paraId="08EF575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0F6297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74692F90" w14:textId="77777777" w:rsidTr="007C0720">
        <w:trPr>
          <w:trHeight w:val="300"/>
        </w:trPr>
        <w:tc>
          <w:tcPr>
            <w:tcW w:w="1420" w:type="dxa"/>
            <w:tcBorders>
              <w:top w:val="nil"/>
              <w:left w:val="nil"/>
              <w:bottom w:val="nil"/>
              <w:right w:val="nil"/>
            </w:tcBorders>
            <w:shd w:val="clear" w:color="000000" w:fill="D9D9D9"/>
            <w:noWrap/>
            <w:vAlign w:val="bottom"/>
            <w:hideMark/>
          </w:tcPr>
          <w:p w14:paraId="07DCEE6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1B17DE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137635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DAN-272</w:t>
            </w:r>
          </w:p>
        </w:tc>
        <w:tc>
          <w:tcPr>
            <w:tcW w:w="460" w:type="dxa"/>
            <w:tcBorders>
              <w:top w:val="nil"/>
              <w:left w:val="nil"/>
              <w:bottom w:val="nil"/>
              <w:right w:val="nil"/>
            </w:tcBorders>
            <w:shd w:val="clear" w:color="000000" w:fill="D9D9D9"/>
            <w:noWrap/>
            <w:vAlign w:val="bottom"/>
            <w:hideMark/>
          </w:tcPr>
          <w:p w14:paraId="54EA5CA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DF0D23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14:paraId="5ABDBBF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BE08B6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04FFF3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7FF18A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060BA0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79CE24D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19D605D" w14:textId="77777777" w:rsidTr="007C0720">
        <w:trPr>
          <w:trHeight w:val="300"/>
        </w:trPr>
        <w:tc>
          <w:tcPr>
            <w:tcW w:w="1420" w:type="dxa"/>
            <w:tcBorders>
              <w:top w:val="nil"/>
              <w:left w:val="nil"/>
              <w:bottom w:val="nil"/>
              <w:right w:val="nil"/>
            </w:tcBorders>
            <w:shd w:val="clear" w:color="auto" w:fill="auto"/>
            <w:noWrap/>
            <w:vAlign w:val="bottom"/>
            <w:hideMark/>
          </w:tcPr>
          <w:p w14:paraId="02529C2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63C585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416880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DAN-273</w:t>
            </w:r>
          </w:p>
        </w:tc>
        <w:tc>
          <w:tcPr>
            <w:tcW w:w="460" w:type="dxa"/>
            <w:tcBorders>
              <w:top w:val="nil"/>
              <w:left w:val="nil"/>
              <w:bottom w:val="nil"/>
              <w:right w:val="nil"/>
            </w:tcBorders>
            <w:shd w:val="clear" w:color="auto" w:fill="auto"/>
            <w:noWrap/>
            <w:vAlign w:val="bottom"/>
            <w:hideMark/>
          </w:tcPr>
          <w:p w14:paraId="2F6C8341"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0F415E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86.7%</w:t>
            </w:r>
          </w:p>
        </w:tc>
        <w:tc>
          <w:tcPr>
            <w:tcW w:w="940" w:type="dxa"/>
            <w:tcBorders>
              <w:top w:val="nil"/>
              <w:left w:val="nil"/>
              <w:bottom w:val="nil"/>
              <w:right w:val="nil"/>
            </w:tcBorders>
            <w:shd w:val="clear" w:color="auto" w:fill="auto"/>
            <w:noWrap/>
            <w:vAlign w:val="bottom"/>
            <w:hideMark/>
          </w:tcPr>
          <w:p w14:paraId="5EF8143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6E2CFDF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F17C11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D57CA4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BF8CD3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2E6216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C082DDB" w14:textId="77777777" w:rsidTr="007C0720">
        <w:trPr>
          <w:trHeight w:val="300"/>
        </w:trPr>
        <w:tc>
          <w:tcPr>
            <w:tcW w:w="1420" w:type="dxa"/>
            <w:tcBorders>
              <w:top w:val="nil"/>
              <w:left w:val="nil"/>
              <w:bottom w:val="nil"/>
              <w:right w:val="nil"/>
            </w:tcBorders>
            <w:shd w:val="clear" w:color="000000" w:fill="D9D9D9"/>
            <w:noWrap/>
            <w:vAlign w:val="bottom"/>
            <w:hideMark/>
          </w:tcPr>
          <w:p w14:paraId="7D869CB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037C70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6DBB67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DAN-274</w:t>
            </w:r>
          </w:p>
        </w:tc>
        <w:tc>
          <w:tcPr>
            <w:tcW w:w="460" w:type="dxa"/>
            <w:tcBorders>
              <w:top w:val="nil"/>
              <w:left w:val="nil"/>
              <w:bottom w:val="nil"/>
              <w:right w:val="nil"/>
            </w:tcBorders>
            <w:shd w:val="clear" w:color="000000" w:fill="D9D9D9"/>
            <w:noWrap/>
            <w:vAlign w:val="bottom"/>
            <w:hideMark/>
          </w:tcPr>
          <w:p w14:paraId="15F3689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6004AA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14:paraId="443C2AA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33C2D0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698CE9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F398D2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DE81FE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D1BBC0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609DF28" w14:textId="77777777" w:rsidTr="007C0720">
        <w:trPr>
          <w:trHeight w:val="300"/>
        </w:trPr>
        <w:tc>
          <w:tcPr>
            <w:tcW w:w="1420" w:type="dxa"/>
            <w:tcBorders>
              <w:top w:val="nil"/>
              <w:left w:val="nil"/>
              <w:bottom w:val="nil"/>
              <w:right w:val="nil"/>
            </w:tcBorders>
            <w:shd w:val="clear" w:color="auto" w:fill="auto"/>
            <w:noWrap/>
            <w:vAlign w:val="bottom"/>
            <w:hideMark/>
          </w:tcPr>
          <w:p w14:paraId="70D40CF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12013FF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500767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DAN-275</w:t>
            </w:r>
          </w:p>
        </w:tc>
        <w:tc>
          <w:tcPr>
            <w:tcW w:w="460" w:type="dxa"/>
            <w:tcBorders>
              <w:top w:val="nil"/>
              <w:left w:val="nil"/>
              <w:bottom w:val="nil"/>
              <w:right w:val="nil"/>
            </w:tcBorders>
            <w:shd w:val="clear" w:color="auto" w:fill="auto"/>
            <w:noWrap/>
            <w:vAlign w:val="bottom"/>
            <w:hideMark/>
          </w:tcPr>
          <w:p w14:paraId="0DCEB8B6"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E90D80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14:paraId="25BCBAC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455E7D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EAB050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1EBED8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30418C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F366D3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6863FA5" w14:textId="77777777" w:rsidTr="007C0720">
        <w:trPr>
          <w:trHeight w:val="300"/>
        </w:trPr>
        <w:tc>
          <w:tcPr>
            <w:tcW w:w="1420" w:type="dxa"/>
            <w:tcBorders>
              <w:top w:val="nil"/>
              <w:left w:val="nil"/>
              <w:bottom w:val="nil"/>
              <w:right w:val="nil"/>
            </w:tcBorders>
            <w:shd w:val="clear" w:color="000000" w:fill="D9D9D9"/>
            <w:noWrap/>
            <w:vAlign w:val="bottom"/>
            <w:hideMark/>
          </w:tcPr>
          <w:p w14:paraId="03C2D02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3B7709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F66E1D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THE-103</w:t>
            </w:r>
          </w:p>
        </w:tc>
        <w:tc>
          <w:tcPr>
            <w:tcW w:w="460" w:type="dxa"/>
            <w:tcBorders>
              <w:top w:val="nil"/>
              <w:left w:val="nil"/>
              <w:bottom w:val="nil"/>
              <w:right w:val="nil"/>
            </w:tcBorders>
            <w:shd w:val="clear" w:color="000000" w:fill="D9D9D9"/>
            <w:noWrap/>
            <w:vAlign w:val="bottom"/>
            <w:hideMark/>
          </w:tcPr>
          <w:p w14:paraId="78F3BE0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9CE6EE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71.8%</w:t>
            </w:r>
          </w:p>
        </w:tc>
        <w:tc>
          <w:tcPr>
            <w:tcW w:w="940" w:type="dxa"/>
            <w:tcBorders>
              <w:top w:val="nil"/>
              <w:left w:val="nil"/>
              <w:bottom w:val="nil"/>
              <w:right w:val="nil"/>
            </w:tcBorders>
            <w:shd w:val="clear" w:color="000000" w:fill="D9D9D9"/>
            <w:noWrap/>
            <w:vAlign w:val="bottom"/>
            <w:hideMark/>
          </w:tcPr>
          <w:p w14:paraId="3F819C1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57.7%</w:t>
            </w:r>
          </w:p>
        </w:tc>
        <w:tc>
          <w:tcPr>
            <w:tcW w:w="940" w:type="dxa"/>
            <w:tcBorders>
              <w:top w:val="nil"/>
              <w:left w:val="nil"/>
              <w:bottom w:val="nil"/>
              <w:right w:val="nil"/>
            </w:tcBorders>
            <w:shd w:val="clear" w:color="000000" w:fill="D9D9D9"/>
            <w:noWrap/>
            <w:vAlign w:val="bottom"/>
            <w:hideMark/>
          </w:tcPr>
          <w:p w14:paraId="6A4CED3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75.9%</w:t>
            </w:r>
          </w:p>
        </w:tc>
        <w:tc>
          <w:tcPr>
            <w:tcW w:w="940" w:type="dxa"/>
            <w:tcBorders>
              <w:top w:val="nil"/>
              <w:left w:val="nil"/>
              <w:bottom w:val="nil"/>
              <w:right w:val="nil"/>
            </w:tcBorders>
            <w:shd w:val="clear" w:color="000000" w:fill="D9D9D9"/>
            <w:noWrap/>
            <w:vAlign w:val="bottom"/>
            <w:hideMark/>
          </w:tcPr>
          <w:p w14:paraId="243594A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14:paraId="36938DB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71.1%</w:t>
            </w:r>
          </w:p>
        </w:tc>
        <w:tc>
          <w:tcPr>
            <w:tcW w:w="940" w:type="dxa"/>
            <w:tcBorders>
              <w:top w:val="nil"/>
              <w:left w:val="nil"/>
              <w:bottom w:val="nil"/>
              <w:right w:val="nil"/>
            </w:tcBorders>
            <w:shd w:val="clear" w:color="000000" w:fill="D9D9D9"/>
            <w:noWrap/>
            <w:vAlign w:val="bottom"/>
            <w:hideMark/>
          </w:tcPr>
          <w:p w14:paraId="55AFE21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7828DC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81CC000" w14:textId="77777777" w:rsidTr="007C0720">
        <w:trPr>
          <w:trHeight w:val="300"/>
        </w:trPr>
        <w:tc>
          <w:tcPr>
            <w:tcW w:w="1420" w:type="dxa"/>
            <w:tcBorders>
              <w:top w:val="nil"/>
              <w:left w:val="nil"/>
              <w:bottom w:val="nil"/>
              <w:right w:val="nil"/>
            </w:tcBorders>
            <w:shd w:val="clear" w:color="auto" w:fill="auto"/>
            <w:noWrap/>
            <w:vAlign w:val="bottom"/>
            <w:hideMark/>
          </w:tcPr>
          <w:p w14:paraId="27447EC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9C13A7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4EDBA3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THE-105</w:t>
            </w:r>
          </w:p>
        </w:tc>
        <w:tc>
          <w:tcPr>
            <w:tcW w:w="460" w:type="dxa"/>
            <w:tcBorders>
              <w:top w:val="nil"/>
              <w:left w:val="nil"/>
              <w:bottom w:val="nil"/>
              <w:right w:val="nil"/>
            </w:tcBorders>
            <w:shd w:val="clear" w:color="auto" w:fill="auto"/>
            <w:noWrap/>
            <w:vAlign w:val="bottom"/>
            <w:hideMark/>
          </w:tcPr>
          <w:p w14:paraId="3F0D5334"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D3DC47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63.3%</w:t>
            </w:r>
          </w:p>
        </w:tc>
        <w:tc>
          <w:tcPr>
            <w:tcW w:w="940" w:type="dxa"/>
            <w:tcBorders>
              <w:top w:val="nil"/>
              <w:left w:val="nil"/>
              <w:bottom w:val="nil"/>
              <w:right w:val="nil"/>
            </w:tcBorders>
            <w:shd w:val="clear" w:color="auto" w:fill="auto"/>
            <w:noWrap/>
            <w:vAlign w:val="bottom"/>
            <w:hideMark/>
          </w:tcPr>
          <w:p w14:paraId="45A6C32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70.2%</w:t>
            </w:r>
          </w:p>
        </w:tc>
        <w:tc>
          <w:tcPr>
            <w:tcW w:w="940" w:type="dxa"/>
            <w:tcBorders>
              <w:top w:val="nil"/>
              <w:left w:val="nil"/>
              <w:bottom w:val="nil"/>
              <w:right w:val="nil"/>
            </w:tcBorders>
            <w:shd w:val="clear" w:color="auto" w:fill="auto"/>
            <w:noWrap/>
            <w:vAlign w:val="bottom"/>
            <w:hideMark/>
          </w:tcPr>
          <w:p w14:paraId="2999726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68.1%</w:t>
            </w:r>
          </w:p>
        </w:tc>
        <w:tc>
          <w:tcPr>
            <w:tcW w:w="940" w:type="dxa"/>
            <w:tcBorders>
              <w:top w:val="nil"/>
              <w:left w:val="nil"/>
              <w:bottom w:val="nil"/>
              <w:right w:val="nil"/>
            </w:tcBorders>
            <w:shd w:val="clear" w:color="auto" w:fill="auto"/>
            <w:noWrap/>
            <w:vAlign w:val="bottom"/>
            <w:hideMark/>
          </w:tcPr>
          <w:p w14:paraId="7EC5CA7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62.6%</w:t>
            </w:r>
          </w:p>
        </w:tc>
        <w:tc>
          <w:tcPr>
            <w:tcW w:w="940" w:type="dxa"/>
            <w:tcBorders>
              <w:top w:val="nil"/>
              <w:left w:val="nil"/>
              <w:bottom w:val="nil"/>
              <w:right w:val="nil"/>
            </w:tcBorders>
            <w:shd w:val="clear" w:color="auto" w:fill="auto"/>
            <w:noWrap/>
            <w:vAlign w:val="bottom"/>
            <w:hideMark/>
          </w:tcPr>
          <w:p w14:paraId="04F4AE7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67.5%</w:t>
            </w:r>
          </w:p>
        </w:tc>
        <w:tc>
          <w:tcPr>
            <w:tcW w:w="940" w:type="dxa"/>
            <w:tcBorders>
              <w:top w:val="nil"/>
              <w:left w:val="nil"/>
              <w:bottom w:val="nil"/>
              <w:right w:val="nil"/>
            </w:tcBorders>
            <w:shd w:val="clear" w:color="auto" w:fill="auto"/>
            <w:noWrap/>
            <w:vAlign w:val="bottom"/>
            <w:hideMark/>
          </w:tcPr>
          <w:p w14:paraId="39D5DB7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C51C5C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80F20E4" w14:textId="77777777" w:rsidTr="007C0720">
        <w:trPr>
          <w:trHeight w:val="300"/>
        </w:trPr>
        <w:tc>
          <w:tcPr>
            <w:tcW w:w="1420" w:type="dxa"/>
            <w:tcBorders>
              <w:top w:val="nil"/>
              <w:left w:val="nil"/>
              <w:bottom w:val="nil"/>
              <w:right w:val="nil"/>
            </w:tcBorders>
            <w:shd w:val="clear" w:color="000000" w:fill="D9D9D9"/>
            <w:noWrap/>
            <w:vAlign w:val="bottom"/>
            <w:hideMark/>
          </w:tcPr>
          <w:p w14:paraId="11FEAB0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1F2E12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DB4CAA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THE-106</w:t>
            </w:r>
          </w:p>
        </w:tc>
        <w:tc>
          <w:tcPr>
            <w:tcW w:w="460" w:type="dxa"/>
            <w:tcBorders>
              <w:top w:val="nil"/>
              <w:left w:val="nil"/>
              <w:bottom w:val="nil"/>
              <w:right w:val="nil"/>
            </w:tcBorders>
            <w:shd w:val="clear" w:color="000000" w:fill="D9D9D9"/>
            <w:noWrap/>
            <w:vAlign w:val="bottom"/>
            <w:hideMark/>
          </w:tcPr>
          <w:p w14:paraId="6BCEF36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D5BCF7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78.1%</w:t>
            </w:r>
          </w:p>
        </w:tc>
        <w:tc>
          <w:tcPr>
            <w:tcW w:w="940" w:type="dxa"/>
            <w:tcBorders>
              <w:top w:val="nil"/>
              <w:left w:val="nil"/>
              <w:bottom w:val="nil"/>
              <w:right w:val="nil"/>
            </w:tcBorders>
            <w:shd w:val="clear" w:color="000000" w:fill="D9D9D9"/>
            <w:noWrap/>
            <w:vAlign w:val="bottom"/>
            <w:hideMark/>
          </w:tcPr>
          <w:p w14:paraId="4632F28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14:paraId="2B9001D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74.2%</w:t>
            </w:r>
          </w:p>
        </w:tc>
        <w:tc>
          <w:tcPr>
            <w:tcW w:w="940" w:type="dxa"/>
            <w:tcBorders>
              <w:top w:val="nil"/>
              <w:left w:val="nil"/>
              <w:bottom w:val="nil"/>
              <w:right w:val="nil"/>
            </w:tcBorders>
            <w:shd w:val="clear" w:color="000000" w:fill="D9D9D9"/>
            <w:noWrap/>
            <w:vAlign w:val="bottom"/>
            <w:hideMark/>
          </w:tcPr>
          <w:p w14:paraId="4EA336D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74.2%</w:t>
            </w:r>
          </w:p>
        </w:tc>
        <w:tc>
          <w:tcPr>
            <w:tcW w:w="940" w:type="dxa"/>
            <w:tcBorders>
              <w:top w:val="nil"/>
              <w:left w:val="nil"/>
              <w:bottom w:val="nil"/>
              <w:right w:val="nil"/>
            </w:tcBorders>
            <w:shd w:val="clear" w:color="000000" w:fill="D9D9D9"/>
            <w:noWrap/>
            <w:vAlign w:val="bottom"/>
            <w:hideMark/>
          </w:tcPr>
          <w:p w14:paraId="667B0C7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14:paraId="199982C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13ACE7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79E7FF6D" w14:textId="77777777" w:rsidTr="007C0720">
        <w:trPr>
          <w:trHeight w:val="300"/>
        </w:trPr>
        <w:tc>
          <w:tcPr>
            <w:tcW w:w="1420" w:type="dxa"/>
            <w:tcBorders>
              <w:top w:val="nil"/>
              <w:left w:val="nil"/>
              <w:bottom w:val="nil"/>
              <w:right w:val="nil"/>
            </w:tcBorders>
            <w:shd w:val="clear" w:color="auto" w:fill="auto"/>
            <w:noWrap/>
            <w:vAlign w:val="bottom"/>
            <w:hideMark/>
          </w:tcPr>
          <w:p w14:paraId="376DA21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3F14A3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AB805D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THE-107</w:t>
            </w:r>
          </w:p>
        </w:tc>
        <w:tc>
          <w:tcPr>
            <w:tcW w:w="460" w:type="dxa"/>
            <w:tcBorders>
              <w:top w:val="nil"/>
              <w:left w:val="nil"/>
              <w:bottom w:val="nil"/>
              <w:right w:val="nil"/>
            </w:tcBorders>
            <w:shd w:val="clear" w:color="auto" w:fill="auto"/>
            <w:noWrap/>
            <w:vAlign w:val="bottom"/>
            <w:hideMark/>
          </w:tcPr>
          <w:p w14:paraId="60C5640B"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F9BF0C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C70187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36887B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C2A7D1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50EF6B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A1B860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CF263B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64BBD6CA" w14:textId="77777777" w:rsidTr="007C0720">
        <w:trPr>
          <w:trHeight w:val="300"/>
        </w:trPr>
        <w:tc>
          <w:tcPr>
            <w:tcW w:w="1420" w:type="dxa"/>
            <w:tcBorders>
              <w:top w:val="nil"/>
              <w:left w:val="nil"/>
              <w:bottom w:val="nil"/>
              <w:right w:val="nil"/>
            </w:tcBorders>
            <w:shd w:val="clear" w:color="000000" w:fill="D9D9D9"/>
            <w:noWrap/>
            <w:vAlign w:val="bottom"/>
            <w:hideMark/>
          </w:tcPr>
          <w:p w14:paraId="543EEF5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D71728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443007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THE-108</w:t>
            </w:r>
          </w:p>
        </w:tc>
        <w:tc>
          <w:tcPr>
            <w:tcW w:w="460" w:type="dxa"/>
            <w:tcBorders>
              <w:top w:val="nil"/>
              <w:left w:val="nil"/>
              <w:bottom w:val="nil"/>
              <w:right w:val="nil"/>
            </w:tcBorders>
            <w:shd w:val="clear" w:color="000000" w:fill="D9D9D9"/>
            <w:noWrap/>
            <w:vAlign w:val="bottom"/>
            <w:hideMark/>
          </w:tcPr>
          <w:p w14:paraId="29762FF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61A38C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62.1%</w:t>
            </w:r>
          </w:p>
        </w:tc>
        <w:tc>
          <w:tcPr>
            <w:tcW w:w="940" w:type="dxa"/>
            <w:tcBorders>
              <w:top w:val="nil"/>
              <w:left w:val="nil"/>
              <w:bottom w:val="nil"/>
              <w:right w:val="nil"/>
            </w:tcBorders>
            <w:shd w:val="clear" w:color="000000" w:fill="D9D9D9"/>
            <w:noWrap/>
            <w:vAlign w:val="bottom"/>
            <w:hideMark/>
          </w:tcPr>
          <w:p w14:paraId="2700BFF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61.5%</w:t>
            </w:r>
          </w:p>
        </w:tc>
        <w:tc>
          <w:tcPr>
            <w:tcW w:w="940" w:type="dxa"/>
            <w:tcBorders>
              <w:top w:val="nil"/>
              <w:left w:val="nil"/>
              <w:bottom w:val="nil"/>
              <w:right w:val="nil"/>
            </w:tcBorders>
            <w:shd w:val="clear" w:color="000000" w:fill="D9D9D9"/>
            <w:noWrap/>
            <w:vAlign w:val="bottom"/>
            <w:hideMark/>
          </w:tcPr>
          <w:p w14:paraId="62D093B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57.9%</w:t>
            </w:r>
          </w:p>
        </w:tc>
        <w:tc>
          <w:tcPr>
            <w:tcW w:w="940" w:type="dxa"/>
            <w:tcBorders>
              <w:top w:val="nil"/>
              <w:left w:val="nil"/>
              <w:bottom w:val="nil"/>
              <w:right w:val="nil"/>
            </w:tcBorders>
            <w:shd w:val="clear" w:color="000000" w:fill="D9D9D9"/>
            <w:noWrap/>
            <w:vAlign w:val="bottom"/>
            <w:hideMark/>
          </w:tcPr>
          <w:p w14:paraId="76BF7D1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53.8%</w:t>
            </w:r>
          </w:p>
        </w:tc>
        <w:tc>
          <w:tcPr>
            <w:tcW w:w="940" w:type="dxa"/>
            <w:tcBorders>
              <w:top w:val="nil"/>
              <w:left w:val="nil"/>
              <w:bottom w:val="nil"/>
              <w:right w:val="nil"/>
            </w:tcBorders>
            <w:shd w:val="clear" w:color="000000" w:fill="D9D9D9"/>
            <w:noWrap/>
            <w:vAlign w:val="bottom"/>
            <w:hideMark/>
          </w:tcPr>
          <w:p w14:paraId="2B2DC7C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14:paraId="1654CAD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DF5AB5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7CB63F02" w14:textId="77777777" w:rsidTr="007C0720">
        <w:trPr>
          <w:trHeight w:val="300"/>
        </w:trPr>
        <w:tc>
          <w:tcPr>
            <w:tcW w:w="1420" w:type="dxa"/>
            <w:tcBorders>
              <w:top w:val="nil"/>
              <w:left w:val="nil"/>
              <w:bottom w:val="nil"/>
              <w:right w:val="nil"/>
            </w:tcBorders>
            <w:shd w:val="clear" w:color="auto" w:fill="auto"/>
            <w:noWrap/>
            <w:vAlign w:val="bottom"/>
            <w:hideMark/>
          </w:tcPr>
          <w:p w14:paraId="152BF29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5205E08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683367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THE-109</w:t>
            </w:r>
          </w:p>
        </w:tc>
        <w:tc>
          <w:tcPr>
            <w:tcW w:w="460" w:type="dxa"/>
            <w:tcBorders>
              <w:top w:val="nil"/>
              <w:left w:val="nil"/>
              <w:bottom w:val="nil"/>
              <w:right w:val="nil"/>
            </w:tcBorders>
            <w:shd w:val="clear" w:color="auto" w:fill="auto"/>
            <w:noWrap/>
            <w:vAlign w:val="bottom"/>
            <w:hideMark/>
          </w:tcPr>
          <w:p w14:paraId="32CD5F81"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BD59D6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58.3%</w:t>
            </w:r>
          </w:p>
        </w:tc>
        <w:tc>
          <w:tcPr>
            <w:tcW w:w="940" w:type="dxa"/>
            <w:tcBorders>
              <w:top w:val="nil"/>
              <w:left w:val="nil"/>
              <w:bottom w:val="nil"/>
              <w:right w:val="nil"/>
            </w:tcBorders>
            <w:shd w:val="clear" w:color="auto" w:fill="auto"/>
            <w:noWrap/>
            <w:vAlign w:val="bottom"/>
            <w:hideMark/>
          </w:tcPr>
          <w:p w14:paraId="1D041B1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64.7%</w:t>
            </w:r>
          </w:p>
        </w:tc>
        <w:tc>
          <w:tcPr>
            <w:tcW w:w="940" w:type="dxa"/>
            <w:tcBorders>
              <w:top w:val="nil"/>
              <w:left w:val="nil"/>
              <w:bottom w:val="nil"/>
              <w:right w:val="nil"/>
            </w:tcBorders>
            <w:shd w:val="clear" w:color="auto" w:fill="auto"/>
            <w:noWrap/>
            <w:vAlign w:val="bottom"/>
            <w:hideMark/>
          </w:tcPr>
          <w:p w14:paraId="4190DED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14:paraId="6DC16D2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41.7%</w:t>
            </w:r>
          </w:p>
        </w:tc>
        <w:tc>
          <w:tcPr>
            <w:tcW w:w="940" w:type="dxa"/>
            <w:tcBorders>
              <w:top w:val="nil"/>
              <w:left w:val="nil"/>
              <w:bottom w:val="nil"/>
              <w:right w:val="nil"/>
            </w:tcBorders>
            <w:shd w:val="clear" w:color="auto" w:fill="auto"/>
            <w:noWrap/>
            <w:vAlign w:val="bottom"/>
            <w:hideMark/>
          </w:tcPr>
          <w:p w14:paraId="3085D1A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14:paraId="18C8D50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BA038F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3A1D4CEF" w14:textId="77777777" w:rsidTr="007C0720">
        <w:trPr>
          <w:trHeight w:val="300"/>
        </w:trPr>
        <w:tc>
          <w:tcPr>
            <w:tcW w:w="1420" w:type="dxa"/>
            <w:tcBorders>
              <w:top w:val="nil"/>
              <w:left w:val="nil"/>
              <w:bottom w:val="nil"/>
              <w:right w:val="nil"/>
            </w:tcBorders>
            <w:shd w:val="clear" w:color="000000" w:fill="D9D9D9"/>
            <w:noWrap/>
            <w:vAlign w:val="bottom"/>
            <w:hideMark/>
          </w:tcPr>
          <w:p w14:paraId="769C237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F0A64A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CC51AD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THE-1101</w:t>
            </w:r>
          </w:p>
        </w:tc>
        <w:tc>
          <w:tcPr>
            <w:tcW w:w="460" w:type="dxa"/>
            <w:tcBorders>
              <w:top w:val="nil"/>
              <w:left w:val="nil"/>
              <w:bottom w:val="nil"/>
              <w:right w:val="nil"/>
            </w:tcBorders>
            <w:shd w:val="clear" w:color="000000" w:fill="D9D9D9"/>
            <w:noWrap/>
            <w:vAlign w:val="bottom"/>
            <w:hideMark/>
          </w:tcPr>
          <w:p w14:paraId="20A3635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72744D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888E1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63D972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3DB6FD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45E039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5BD719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59.3%</w:t>
            </w:r>
          </w:p>
        </w:tc>
        <w:tc>
          <w:tcPr>
            <w:tcW w:w="940" w:type="dxa"/>
            <w:tcBorders>
              <w:top w:val="nil"/>
              <w:left w:val="nil"/>
              <w:bottom w:val="nil"/>
              <w:right w:val="nil"/>
            </w:tcBorders>
            <w:shd w:val="clear" w:color="000000" w:fill="D9D9D9"/>
            <w:noWrap/>
            <w:vAlign w:val="bottom"/>
            <w:hideMark/>
          </w:tcPr>
          <w:p w14:paraId="2FBB28E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54.3%</w:t>
            </w:r>
          </w:p>
        </w:tc>
      </w:tr>
      <w:tr w:rsidR="007C0720" w:rsidRPr="007C0720" w14:paraId="54374515" w14:textId="77777777" w:rsidTr="007C0720">
        <w:trPr>
          <w:trHeight w:val="300"/>
        </w:trPr>
        <w:tc>
          <w:tcPr>
            <w:tcW w:w="1420" w:type="dxa"/>
            <w:tcBorders>
              <w:top w:val="nil"/>
              <w:left w:val="nil"/>
              <w:bottom w:val="nil"/>
              <w:right w:val="nil"/>
            </w:tcBorders>
            <w:shd w:val="clear" w:color="auto" w:fill="auto"/>
            <w:noWrap/>
            <w:vAlign w:val="bottom"/>
            <w:hideMark/>
          </w:tcPr>
          <w:p w14:paraId="111D41F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2A77A19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A7E7B3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THE-1103</w:t>
            </w:r>
          </w:p>
        </w:tc>
        <w:tc>
          <w:tcPr>
            <w:tcW w:w="460" w:type="dxa"/>
            <w:tcBorders>
              <w:top w:val="nil"/>
              <w:left w:val="nil"/>
              <w:bottom w:val="nil"/>
              <w:right w:val="nil"/>
            </w:tcBorders>
            <w:shd w:val="clear" w:color="auto" w:fill="auto"/>
            <w:noWrap/>
            <w:vAlign w:val="bottom"/>
            <w:hideMark/>
          </w:tcPr>
          <w:p w14:paraId="714AB025"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954653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5BCC14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54FC51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049E13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D51181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B1573B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47.1%</w:t>
            </w:r>
          </w:p>
        </w:tc>
        <w:tc>
          <w:tcPr>
            <w:tcW w:w="940" w:type="dxa"/>
            <w:tcBorders>
              <w:top w:val="nil"/>
              <w:left w:val="nil"/>
              <w:bottom w:val="nil"/>
              <w:right w:val="nil"/>
            </w:tcBorders>
            <w:shd w:val="clear" w:color="auto" w:fill="auto"/>
            <w:noWrap/>
            <w:vAlign w:val="bottom"/>
            <w:hideMark/>
          </w:tcPr>
          <w:p w14:paraId="0105BD2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62.5%</w:t>
            </w:r>
          </w:p>
        </w:tc>
      </w:tr>
      <w:tr w:rsidR="007C0720" w:rsidRPr="007C0720" w14:paraId="613DC547" w14:textId="77777777" w:rsidTr="007C0720">
        <w:trPr>
          <w:trHeight w:val="300"/>
        </w:trPr>
        <w:tc>
          <w:tcPr>
            <w:tcW w:w="1420" w:type="dxa"/>
            <w:tcBorders>
              <w:top w:val="nil"/>
              <w:left w:val="nil"/>
              <w:bottom w:val="nil"/>
              <w:right w:val="nil"/>
            </w:tcBorders>
            <w:shd w:val="clear" w:color="000000" w:fill="D9D9D9"/>
            <w:noWrap/>
            <w:vAlign w:val="bottom"/>
            <w:hideMark/>
          </w:tcPr>
          <w:p w14:paraId="6762196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lastRenderedPageBreak/>
              <w:t>0250</w:t>
            </w:r>
          </w:p>
        </w:tc>
        <w:tc>
          <w:tcPr>
            <w:tcW w:w="3220" w:type="dxa"/>
            <w:tcBorders>
              <w:top w:val="nil"/>
              <w:left w:val="nil"/>
              <w:bottom w:val="nil"/>
              <w:right w:val="nil"/>
            </w:tcBorders>
            <w:shd w:val="clear" w:color="000000" w:fill="D9D9D9"/>
            <w:noWrap/>
            <w:vAlign w:val="bottom"/>
            <w:hideMark/>
          </w:tcPr>
          <w:p w14:paraId="3974B95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4DF7184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THE-1105</w:t>
            </w:r>
          </w:p>
        </w:tc>
        <w:tc>
          <w:tcPr>
            <w:tcW w:w="460" w:type="dxa"/>
            <w:tcBorders>
              <w:top w:val="nil"/>
              <w:left w:val="nil"/>
              <w:bottom w:val="nil"/>
              <w:right w:val="nil"/>
            </w:tcBorders>
            <w:shd w:val="clear" w:color="000000" w:fill="D9D9D9"/>
            <w:noWrap/>
            <w:vAlign w:val="bottom"/>
            <w:hideMark/>
          </w:tcPr>
          <w:p w14:paraId="1B6BDF5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464149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77256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BE3730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C0C8B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1E18B1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4A102F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77.3%</w:t>
            </w:r>
          </w:p>
        </w:tc>
        <w:tc>
          <w:tcPr>
            <w:tcW w:w="940" w:type="dxa"/>
            <w:tcBorders>
              <w:top w:val="nil"/>
              <w:left w:val="nil"/>
              <w:bottom w:val="nil"/>
              <w:right w:val="nil"/>
            </w:tcBorders>
            <w:shd w:val="clear" w:color="000000" w:fill="D9D9D9"/>
            <w:noWrap/>
            <w:vAlign w:val="bottom"/>
            <w:hideMark/>
          </w:tcPr>
          <w:p w14:paraId="0FFC686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65.9%</w:t>
            </w:r>
          </w:p>
        </w:tc>
      </w:tr>
      <w:tr w:rsidR="007C0720" w:rsidRPr="007C0720" w14:paraId="14B1549E" w14:textId="77777777" w:rsidTr="007C0720">
        <w:trPr>
          <w:trHeight w:val="300"/>
        </w:trPr>
        <w:tc>
          <w:tcPr>
            <w:tcW w:w="1420" w:type="dxa"/>
            <w:tcBorders>
              <w:top w:val="nil"/>
              <w:left w:val="nil"/>
              <w:bottom w:val="nil"/>
              <w:right w:val="nil"/>
            </w:tcBorders>
            <w:shd w:val="clear" w:color="auto" w:fill="auto"/>
            <w:noWrap/>
            <w:vAlign w:val="bottom"/>
            <w:hideMark/>
          </w:tcPr>
          <w:p w14:paraId="19C625C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61A4668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AFF744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THE-1106</w:t>
            </w:r>
          </w:p>
        </w:tc>
        <w:tc>
          <w:tcPr>
            <w:tcW w:w="460" w:type="dxa"/>
            <w:tcBorders>
              <w:top w:val="nil"/>
              <w:left w:val="nil"/>
              <w:bottom w:val="nil"/>
              <w:right w:val="nil"/>
            </w:tcBorders>
            <w:shd w:val="clear" w:color="auto" w:fill="auto"/>
            <w:noWrap/>
            <w:vAlign w:val="bottom"/>
            <w:hideMark/>
          </w:tcPr>
          <w:p w14:paraId="351CE36C"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04D640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4041AF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C8A6FA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5EB682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306DF3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9ADBBA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14:paraId="3905203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r>
      <w:tr w:rsidR="007C0720" w:rsidRPr="007C0720" w14:paraId="640C8367" w14:textId="77777777" w:rsidTr="007C0720">
        <w:trPr>
          <w:trHeight w:val="300"/>
        </w:trPr>
        <w:tc>
          <w:tcPr>
            <w:tcW w:w="1420" w:type="dxa"/>
            <w:tcBorders>
              <w:top w:val="nil"/>
              <w:left w:val="nil"/>
              <w:bottom w:val="nil"/>
              <w:right w:val="nil"/>
            </w:tcBorders>
            <w:shd w:val="clear" w:color="000000" w:fill="D9D9D9"/>
            <w:noWrap/>
            <w:vAlign w:val="bottom"/>
            <w:hideMark/>
          </w:tcPr>
          <w:p w14:paraId="7207F03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596438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0A9165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THE-1107</w:t>
            </w:r>
          </w:p>
        </w:tc>
        <w:tc>
          <w:tcPr>
            <w:tcW w:w="460" w:type="dxa"/>
            <w:tcBorders>
              <w:top w:val="nil"/>
              <w:left w:val="nil"/>
              <w:bottom w:val="nil"/>
              <w:right w:val="nil"/>
            </w:tcBorders>
            <w:shd w:val="clear" w:color="000000" w:fill="D9D9D9"/>
            <w:noWrap/>
            <w:vAlign w:val="bottom"/>
            <w:hideMark/>
          </w:tcPr>
          <w:p w14:paraId="51C9E27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901BC2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29D1F7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0CC90D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2DC561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9DF00E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B335EC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14:paraId="5CC7477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r>
      <w:tr w:rsidR="007C0720" w:rsidRPr="007C0720" w14:paraId="5E01A08D" w14:textId="77777777" w:rsidTr="007C0720">
        <w:trPr>
          <w:trHeight w:val="300"/>
        </w:trPr>
        <w:tc>
          <w:tcPr>
            <w:tcW w:w="1420" w:type="dxa"/>
            <w:tcBorders>
              <w:top w:val="nil"/>
              <w:left w:val="nil"/>
              <w:bottom w:val="nil"/>
              <w:right w:val="nil"/>
            </w:tcBorders>
            <w:shd w:val="clear" w:color="auto" w:fill="auto"/>
            <w:noWrap/>
            <w:vAlign w:val="bottom"/>
            <w:hideMark/>
          </w:tcPr>
          <w:p w14:paraId="4F19FFF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37CFEF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D4D527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w:t>
            </w:r>
          </w:p>
        </w:tc>
        <w:tc>
          <w:tcPr>
            <w:tcW w:w="460" w:type="dxa"/>
            <w:tcBorders>
              <w:top w:val="nil"/>
              <w:left w:val="nil"/>
              <w:bottom w:val="nil"/>
              <w:right w:val="nil"/>
            </w:tcBorders>
            <w:shd w:val="clear" w:color="auto" w:fill="auto"/>
            <w:noWrap/>
            <w:vAlign w:val="bottom"/>
            <w:hideMark/>
          </w:tcPr>
          <w:p w14:paraId="7A60B2A8"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AB2CFA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65.7%</w:t>
            </w:r>
          </w:p>
        </w:tc>
        <w:tc>
          <w:tcPr>
            <w:tcW w:w="940" w:type="dxa"/>
            <w:tcBorders>
              <w:top w:val="nil"/>
              <w:left w:val="nil"/>
              <w:bottom w:val="nil"/>
              <w:right w:val="nil"/>
            </w:tcBorders>
            <w:shd w:val="clear" w:color="auto" w:fill="auto"/>
            <w:noWrap/>
            <w:vAlign w:val="bottom"/>
            <w:hideMark/>
          </w:tcPr>
          <w:p w14:paraId="68D597A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47.5%</w:t>
            </w:r>
          </w:p>
        </w:tc>
        <w:tc>
          <w:tcPr>
            <w:tcW w:w="940" w:type="dxa"/>
            <w:tcBorders>
              <w:top w:val="nil"/>
              <w:left w:val="nil"/>
              <w:bottom w:val="nil"/>
              <w:right w:val="nil"/>
            </w:tcBorders>
            <w:shd w:val="clear" w:color="auto" w:fill="auto"/>
            <w:noWrap/>
            <w:vAlign w:val="bottom"/>
            <w:hideMark/>
          </w:tcPr>
          <w:p w14:paraId="6528CFC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57.9%</w:t>
            </w:r>
          </w:p>
        </w:tc>
        <w:tc>
          <w:tcPr>
            <w:tcW w:w="940" w:type="dxa"/>
            <w:tcBorders>
              <w:top w:val="nil"/>
              <w:left w:val="nil"/>
              <w:bottom w:val="nil"/>
              <w:right w:val="nil"/>
            </w:tcBorders>
            <w:shd w:val="clear" w:color="auto" w:fill="auto"/>
            <w:noWrap/>
            <w:vAlign w:val="bottom"/>
            <w:hideMark/>
          </w:tcPr>
          <w:p w14:paraId="69B77F1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48.8%</w:t>
            </w:r>
          </w:p>
        </w:tc>
        <w:tc>
          <w:tcPr>
            <w:tcW w:w="940" w:type="dxa"/>
            <w:tcBorders>
              <w:top w:val="nil"/>
              <w:left w:val="nil"/>
              <w:bottom w:val="nil"/>
              <w:right w:val="nil"/>
            </w:tcBorders>
            <w:shd w:val="clear" w:color="auto" w:fill="auto"/>
            <w:noWrap/>
            <w:vAlign w:val="bottom"/>
            <w:hideMark/>
          </w:tcPr>
          <w:p w14:paraId="3F92D2D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14:paraId="7EAE90B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9F3835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2F9B2DCF" w14:textId="77777777" w:rsidTr="007C0720">
        <w:trPr>
          <w:trHeight w:val="300"/>
        </w:trPr>
        <w:tc>
          <w:tcPr>
            <w:tcW w:w="1420" w:type="dxa"/>
            <w:tcBorders>
              <w:top w:val="nil"/>
              <w:left w:val="nil"/>
              <w:bottom w:val="nil"/>
              <w:right w:val="nil"/>
            </w:tcBorders>
            <w:shd w:val="clear" w:color="000000" w:fill="D9D9D9"/>
            <w:noWrap/>
            <w:vAlign w:val="bottom"/>
            <w:hideMark/>
          </w:tcPr>
          <w:p w14:paraId="7F79312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760005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8F9A24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THE-1111</w:t>
            </w:r>
          </w:p>
        </w:tc>
        <w:tc>
          <w:tcPr>
            <w:tcW w:w="460" w:type="dxa"/>
            <w:tcBorders>
              <w:top w:val="nil"/>
              <w:left w:val="nil"/>
              <w:bottom w:val="nil"/>
              <w:right w:val="nil"/>
            </w:tcBorders>
            <w:shd w:val="clear" w:color="000000" w:fill="D9D9D9"/>
            <w:noWrap/>
            <w:vAlign w:val="bottom"/>
            <w:hideMark/>
          </w:tcPr>
          <w:p w14:paraId="4BD28E9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7B56E8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65D2C6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F7DF1B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DAFDCF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EBBD80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75A58A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61.5%</w:t>
            </w:r>
          </w:p>
        </w:tc>
        <w:tc>
          <w:tcPr>
            <w:tcW w:w="940" w:type="dxa"/>
            <w:tcBorders>
              <w:top w:val="nil"/>
              <w:left w:val="nil"/>
              <w:bottom w:val="nil"/>
              <w:right w:val="nil"/>
            </w:tcBorders>
            <w:shd w:val="clear" w:color="000000" w:fill="D9D9D9"/>
            <w:noWrap/>
            <w:vAlign w:val="bottom"/>
            <w:hideMark/>
          </w:tcPr>
          <w:p w14:paraId="60080B0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81.6%</w:t>
            </w:r>
          </w:p>
        </w:tc>
      </w:tr>
      <w:tr w:rsidR="007C0720" w:rsidRPr="007C0720" w14:paraId="45E28084" w14:textId="77777777" w:rsidTr="007C0720">
        <w:trPr>
          <w:trHeight w:val="300"/>
        </w:trPr>
        <w:tc>
          <w:tcPr>
            <w:tcW w:w="1420" w:type="dxa"/>
            <w:tcBorders>
              <w:top w:val="nil"/>
              <w:left w:val="nil"/>
              <w:bottom w:val="nil"/>
              <w:right w:val="nil"/>
            </w:tcBorders>
            <w:shd w:val="clear" w:color="auto" w:fill="auto"/>
            <w:noWrap/>
            <w:vAlign w:val="bottom"/>
            <w:hideMark/>
          </w:tcPr>
          <w:p w14:paraId="6F392F1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7FD198B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6DBB5D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THE-1112</w:t>
            </w:r>
          </w:p>
        </w:tc>
        <w:tc>
          <w:tcPr>
            <w:tcW w:w="460" w:type="dxa"/>
            <w:tcBorders>
              <w:top w:val="nil"/>
              <w:left w:val="nil"/>
              <w:bottom w:val="nil"/>
              <w:right w:val="nil"/>
            </w:tcBorders>
            <w:shd w:val="clear" w:color="auto" w:fill="auto"/>
            <w:noWrap/>
            <w:vAlign w:val="bottom"/>
            <w:hideMark/>
          </w:tcPr>
          <w:p w14:paraId="55DABB9C"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35C41B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551CE7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E6B766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BAA94A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A15A3E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B3DE1E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01161D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72.7%</w:t>
            </w:r>
          </w:p>
        </w:tc>
      </w:tr>
      <w:tr w:rsidR="007C0720" w:rsidRPr="007C0720" w14:paraId="265C2B85" w14:textId="77777777" w:rsidTr="007C0720">
        <w:trPr>
          <w:trHeight w:val="300"/>
        </w:trPr>
        <w:tc>
          <w:tcPr>
            <w:tcW w:w="1420" w:type="dxa"/>
            <w:tcBorders>
              <w:top w:val="nil"/>
              <w:left w:val="nil"/>
              <w:bottom w:val="nil"/>
              <w:right w:val="nil"/>
            </w:tcBorders>
            <w:shd w:val="clear" w:color="000000" w:fill="D9D9D9"/>
            <w:noWrap/>
            <w:vAlign w:val="bottom"/>
            <w:hideMark/>
          </w:tcPr>
          <w:p w14:paraId="1D692FE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75EA21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47DB7B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THE-1116</w:t>
            </w:r>
          </w:p>
        </w:tc>
        <w:tc>
          <w:tcPr>
            <w:tcW w:w="460" w:type="dxa"/>
            <w:tcBorders>
              <w:top w:val="nil"/>
              <w:left w:val="nil"/>
              <w:bottom w:val="nil"/>
              <w:right w:val="nil"/>
            </w:tcBorders>
            <w:shd w:val="clear" w:color="000000" w:fill="D9D9D9"/>
            <w:noWrap/>
            <w:vAlign w:val="bottom"/>
            <w:hideMark/>
          </w:tcPr>
          <w:p w14:paraId="55FD62A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4BFBBC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A94745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C40624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D06556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707C2B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FC6907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14:paraId="3FA1343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r>
      <w:tr w:rsidR="007C0720" w:rsidRPr="007C0720" w14:paraId="56CD721C" w14:textId="77777777" w:rsidTr="007C0720">
        <w:trPr>
          <w:trHeight w:val="300"/>
        </w:trPr>
        <w:tc>
          <w:tcPr>
            <w:tcW w:w="1420" w:type="dxa"/>
            <w:tcBorders>
              <w:top w:val="nil"/>
              <w:left w:val="nil"/>
              <w:bottom w:val="nil"/>
              <w:right w:val="nil"/>
            </w:tcBorders>
            <w:shd w:val="clear" w:color="auto" w:fill="auto"/>
            <w:noWrap/>
            <w:vAlign w:val="bottom"/>
            <w:hideMark/>
          </w:tcPr>
          <w:p w14:paraId="38FE607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11C866B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019430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THE-1117</w:t>
            </w:r>
          </w:p>
        </w:tc>
        <w:tc>
          <w:tcPr>
            <w:tcW w:w="460" w:type="dxa"/>
            <w:tcBorders>
              <w:top w:val="nil"/>
              <w:left w:val="nil"/>
              <w:bottom w:val="nil"/>
              <w:right w:val="nil"/>
            </w:tcBorders>
            <w:shd w:val="clear" w:color="auto" w:fill="auto"/>
            <w:noWrap/>
            <w:vAlign w:val="bottom"/>
            <w:hideMark/>
          </w:tcPr>
          <w:p w14:paraId="742C9D55"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E9CBE8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E45928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E128D3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8C0912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E8E8AD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D725BD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14:paraId="0739FDE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r>
      <w:tr w:rsidR="007C0720" w:rsidRPr="007C0720" w14:paraId="3AF8FB4D" w14:textId="77777777" w:rsidTr="007C0720">
        <w:trPr>
          <w:trHeight w:val="300"/>
        </w:trPr>
        <w:tc>
          <w:tcPr>
            <w:tcW w:w="1420" w:type="dxa"/>
            <w:tcBorders>
              <w:top w:val="nil"/>
              <w:left w:val="nil"/>
              <w:bottom w:val="nil"/>
              <w:right w:val="nil"/>
            </w:tcBorders>
            <w:shd w:val="clear" w:color="000000" w:fill="D9D9D9"/>
            <w:noWrap/>
            <w:vAlign w:val="bottom"/>
            <w:hideMark/>
          </w:tcPr>
          <w:p w14:paraId="229F800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C00516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340D99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THE-1118</w:t>
            </w:r>
          </w:p>
        </w:tc>
        <w:tc>
          <w:tcPr>
            <w:tcW w:w="460" w:type="dxa"/>
            <w:tcBorders>
              <w:top w:val="nil"/>
              <w:left w:val="nil"/>
              <w:bottom w:val="nil"/>
              <w:right w:val="nil"/>
            </w:tcBorders>
            <w:shd w:val="clear" w:color="000000" w:fill="D9D9D9"/>
            <w:noWrap/>
            <w:vAlign w:val="bottom"/>
            <w:hideMark/>
          </w:tcPr>
          <w:p w14:paraId="39E7DCD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F0F979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4376F3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DB3933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D244C5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491CD3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87AC3D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14:paraId="28B821E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50.0%</w:t>
            </w:r>
          </w:p>
        </w:tc>
      </w:tr>
      <w:tr w:rsidR="007C0720" w:rsidRPr="007C0720" w14:paraId="55D2C93E" w14:textId="77777777" w:rsidTr="007C0720">
        <w:trPr>
          <w:trHeight w:val="300"/>
        </w:trPr>
        <w:tc>
          <w:tcPr>
            <w:tcW w:w="1420" w:type="dxa"/>
            <w:tcBorders>
              <w:top w:val="nil"/>
              <w:left w:val="nil"/>
              <w:bottom w:val="nil"/>
              <w:right w:val="nil"/>
            </w:tcBorders>
            <w:shd w:val="clear" w:color="auto" w:fill="auto"/>
            <w:noWrap/>
            <w:vAlign w:val="bottom"/>
            <w:hideMark/>
          </w:tcPr>
          <w:p w14:paraId="7CCD79C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71C5F26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1F23AB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THE-1119</w:t>
            </w:r>
          </w:p>
        </w:tc>
        <w:tc>
          <w:tcPr>
            <w:tcW w:w="460" w:type="dxa"/>
            <w:tcBorders>
              <w:top w:val="nil"/>
              <w:left w:val="nil"/>
              <w:bottom w:val="nil"/>
              <w:right w:val="nil"/>
            </w:tcBorders>
            <w:shd w:val="clear" w:color="auto" w:fill="auto"/>
            <w:noWrap/>
            <w:vAlign w:val="bottom"/>
            <w:hideMark/>
          </w:tcPr>
          <w:p w14:paraId="54C2F603"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664BD2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1B8BEB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778FB2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748A38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8B60BA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AEA7D9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0E17F0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50.0%</w:t>
            </w:r>
          </w:p>
        </w:tc>
      </w:tr>
      <w:tr w:rsidR="007C0720" w:rsidRPr="007C0720" w14:paraId="55E64F7C" w14:textId="77777777" w:rsidTr="007C0720">
        <w:trPr>
          <w:trHeight w:val="300"/>
        </w:trPr>
        <w:tc>
          <w:tcPr>
            <w:tcW w:w="1420" w:type="dxa"/>
            <w:tcBorders>
              <w:top w:val="nil"/>
              <w:left w:val="nil"/>
              <w:bottom w:val="nil"/>
              <w:right w:val="nil"/>
            </w:tcBorders>
            <w:shd w:val="clear" w:color="000000" w:fill="D9D9D9"/>
            <w:noWrap/>
            <w:vAlign w:val="bottom"/>
            <w:hideMark/>
          </w:tcPr>
          <w:p w14:paraId="127F34F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520326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F3ACCF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THE-112</w:t>
            </w:r>
          </w:p>
        </w:tc>
        <w:tc>
          <w:tcPr>
            <w:tcW w:w="460" w:type="dxa"/>
            <w:tcBorders>
              <w:top w:val="nil"/>
              <w:left w:val="nil"/>
              <w:bottom w:val="nil"/>
              <w:right w:val="nil"/>
            </w:tcBorders>
            <w:shd w:val="clear" w:color="000000" w:fill="D9D9D9"/>
            <w:noWrap/>
            <w:vAlign w:val="bottom"/>
            <w:hideMark/>
          </w:tcPr>
          <w:p w14:paraId="7DD541D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94BE4D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92.0%</w:t>
            </w:r>
          </w:p>
        </w:tc>
        <w:tc>
          <w:tcPr>
            <w:tcW w:w="940" w:type="dxa"/>
            <w:tcBorders>
              <w:top w:val="nil"/>
              <w:left w:val="nil"/>
              <w:bottom w:val="nil"/>
              <w:right w:val="nil"/>
            </w:tcBorders>
            <w:shd w:val="clear" w:color="000000" w:fill="D9D9D9"/>
            <w:noWrap/>
            <w:vAlign w:val="bottom"/>
            <w:hideMark/>
          </w:tcPr>
          <w:p w14:paraId="6F960EB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AC0BA1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80.8%</w:t>
            </w:r>
          </w:p>
        </w:tc>
        <w:tc>
          <w:tcPr>
            <w:tcW w:w="940" w:type="dxa"/>
            <w:tcBorders>
              <w:top w:val="nil"/>
              <w:left w:val="nil"/>
              <w:bottom w:val="nil"/>
              <w:right w:val="nil"/>
            </w:tcBorders>
            <w:shd w:val="clear" w:color="000000" w:fill="D9D9D9"/>
            <w:noWrap/>
            <w:vAlign w:val="bottom"/>
            <w:hideMark/>
          </w:tcPr>
          <w:p w14:paraId="7EAFABD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14:paraId="34604CB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14:paraId="6D6CF5C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81CDA1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4F0BB46" w14:textId="77777777" w:rsidTr="007C0720">
        <w:trPr>
          <w:trHeight w:val="300"/>
        </w:trPr>
        <w:tc>
          <w:tcPr>
            <w:tcW w:w="1420" w:type="dxa"/>
            <w:tcBorders>
              <w:top w:val="nil"/>
              <w:left w:val="nil"/>
              <w:bottom w:val="nil"/>
              <w:right w:val="nil"/>
            </w:tcBorders>
            <w:shd w:val="clear" w:color="auto" w:fill="auto"/>
            <w:noWrap/>
            <w:vAlign w:val="bottom"/>
            <w:hideMark/>
          </w:tcPr>
          <w:p w14:paraId="7F84204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AD875D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D2E0F7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THE-1120</w:t>
            </w:r>
          </w:p>
        </w:tc>
        <w:tc>
          <w:tcPr>
            <w:tcW w:w="460" w:type="dxa"/>
            <w:tcBorders>
              <w:top w:val="nil"/>
              <w:left w:val="nil"/>
              <w:bottom w:val="nil"/>
              <w:right w:val="nil"/>
            </w:tcBorders>
            <w:shd w:val="clear" w:color="auto" w:fill="auto"/>
            <w:noWrap/>
            <w:vAlign w:val="bottom"/>
            <w:hideMark/>
          </w:tcPr>
          <w:p w14:paraId="5B1488A5"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DCB0D2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1C4DB5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81EDB8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2D9158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D1C829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9CA8F7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AEE599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50.0%</w:t>
            </w:r>
          </w:p>
        </w:tc>
      </w:tr>
      <w:tr w:rsidR="007C0720" w:rsidRPr="007C0720" w14:paraId="77645C61" w14:textId="77777777" w:rsidTr="007C0720">
        <w:trPr>
          <w:trHeight w:val="300"/>
        </w:trPr>
        <w:tc>
          <w:tcPr>
            <w:tcW w:w="1420" w:type="dxa"/>
            <w:tcBorders>
              <w:top w:val="nil"/>
              <w:left w:val="nil"/>
              <w:bottom w:val="nil"/>
              <w:right w:val="nil"/>
            </w:tcBorders>
            <w:shd w:val="clear" w:color="000000" w:fill="D9D9D9"/>
            <w:noWrap/>
            <w:vAlign w:val="bottom"/>
            <w:hideMark/>
          </w:tcPr>
          <w:p w14:paraId="224D1AB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30781E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20E579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THE-113</w:t>
            </w:r>
          </w:p>
        </w:tc>
        <w:tc>
          <w:tcPr>
            <w:tcW w:w="460" w:type="dxa"/>
            <w:tcBorders>
              <w:top w:val="nil"/>
              <w:left w:val="nil"/>
              <w:bottom w:val="nil"/>
              <w:right w:val="nil"/>
            </w:tcBorders>
            <w:shd w:val="clear" w:color="000000" w:fill="D9D9D9"/>
            <w:noWrap/>
            <w:vAlign w:val="bottom"/>
            <w:hideMark/>
          </w:tcPr>
          <w:p w14:paraId="0B427D2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0C7BDA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59C34E8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4A8D7A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4C66F5F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64.3%</w:t>
            </w:r>
          </w:p>
        </w:tc>
        <w:tc>
          <w:tcPr>
            <w:tcW w:w="940" w:type="dxa"/>
            <w:tcBorders>
              <w:top w:val="nil"/>
              <w:left w:val="nil"/>
              <w:bottom w:val="nil"/>
              <w:right w:val="nil"/>
            </w:tcBorders>
            <w:shd w:val="clear" w:color="000000" w:fill="D9D9D9"/>
            <w:noWrap/>
            <w:vAlign w:val="bottom"/>
            <w:hideMark/>
          </w:tcPr>
          <w:p w14:paraId="24F7EB9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14:paraId="5614C86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65A0AF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E73D285" w14:textId="77777777" w:rsidTr="007C0720">
        <w:trPr>
          <w:trHeight w:val="300"/>
        </w:trPr>
        <w:tc>
          <w:tcPr>
            <w:tcW w:w="1420" w:type="dxa"/>
            <w:tcBorders>
              <w:top w:val="nil"/>
              <w:left w:val="nil"/>
              <w:bottom w:val="nil"/>
              <w:right w:val="nil"/>
            </w:tcBorders>
            <w:shd w:val="clear" w:color="auto" w:fill="auto"/>
            <w:noWrap/>
            <w:vAlign w:val="bottom"/>
            <w:hideMark/>
          </w:tcPr>
          <w:p w14:paraId="6038F8B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4AB3C1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82DC2A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THE-115</w:t>
            </w:r>
          </w:p>
        </w:tc>
        <w:tc>
          <w:tcPr>
            <w:tcW w:w="460" w:type="dxa"/>
            <w:tcBorders>
              <w:top w:val="nil"/>
              <w:left w:val="nil"/>
              <w:bottom w:val="nil"/>
              <w:right w:val="nil"/>
            </w:tcBorders>
            <w:shd w:val="clear" w:color="auto" w:fill="auto"/>
            <w:noWrap/>
            <w:vAlign w:val="bottom"/>
            <w:hideMark/>
          </w:tcPr>
          <w:p w14:paraId="4E91819E"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F267B6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14:paraId="425881D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14:paraId="587B19F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14:paraId="05A0A77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14:paraId="7F44A48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14:paraId="07684F9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7C1520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5F7E909" w14:textId="77777777" w:rsidTr="007C0720">
        <w:trPr>
          <w:trHeight w:val="300"/>
        </w:trPr>
        <w:tc>
          <w:tcPr>
            <w:tcW w:w="1420" w:type="dxa"/>
            <w:tcBorders>
              <w:top w:val="nil"/>
              <w:left w:val="nil"/>
              <w:bottom w:val="nil"/>
              <w:right w:val="nil"/>
            </w:tcBorders>
            <w:shd w:val="clear" w:color="000000" w:fill="D9D9D9"/>
            <w:noWrap/>
            <w:vAlign w:val="bottom"/>
            <w:hideMark/>
          </w:tcPr>
          <w:p w14:paraId="1C60103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C5A9D9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B5B952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THE-117</w:t>
            </w:r>
          </w:p>
        </w:tc>
        <w:tc>
          <w:tcPr>
            <w:tcW w:w="460" w:type="dxa"/>
            <w:tcBorders>
              <w:top w:val="nil"/>
              <w:left w:val="nil"/>
              <w:bottom w:val="nil"/>
              <w:right w:val="nil"/>
            </w:tcBorders>
            <w:shd w:val="clear" w:color="000000" w:fill="D9D9D9"/>
            <w:noWrap/>
            <w:vAlign w:val="bottom"/>
            <w:hideMark/>
          </w:tcPr>
          <w:p w14:paraId="7374B11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EBB59C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46F588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EA4AA0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E1ADC9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78CE90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3D5053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35EDF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DCBD7FF" w14:textId="77777777" w:rsidTr="007C0720">
        <w:trPr>
          <w:trHeight w:val="300"/>
        </w:trPr>
        <w:tc>
          <w:tcPr>
            <w:tcW w:w="1420" w:type="dxa"/>
            <w:tcBorders>
              <w:top w:val="nil"/>
              <w:left w:val="nil"/>
              <w:bottom w:val="nil"/>
              <w:right w:val="nil"/>
            </w:tcBorders>
            <w:shd w:val="clear" w:color="auto" w:fill="auto"/>
            <w:noWrap/>
            <w:vAlign w:val="bottom"/>
            <w:hideMark/>
          </w:tcPr>
          <w:p w14:paraId="22B3EE3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6BC675B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79DEC9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THE-1194</w:t>
            </w:r>
          </w:p>
        </w:tc>
        <w:tc>
          <w:tcPr>
            <w:tcW w:w="460" w:type="dxa"/>
            <w:tcBorders>
              <w:top w:val="nil"/>
              <w:left w:val="nil"/>
              <w:bottom w:val="nil"/>
              <w:right w:val="nil"/>
            </w:tcBorders>
            <w:shd w:val="clear" w:color="auto" w:fill="auto"/>
            <w:noWrap/>
            <w:vAlign w:val="bottom"/>
            <w:hideMark/>
          </w:tcPr>
          <w:p w14:paraId="408ABFF7"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5F32F6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D6EB05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A6F508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B71D00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8461C6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4BC1A9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97.0%</w:t>
            </w:r>
          </w:p>
        </w:tc>
        <w:tc>
          <w:tcPr>
            <w:tcW w:w="940" w:type="dxa"/>
            <w:tcBorders>
              <w:top w:val="nil"/>
              <w:left w:val="nil"/>
              <w:bottom w:val="nil"/>
              <w:right w:val="nil"/>
            </w:tcBorders>
            <w:shd w:val="clear" w:color="auto" w:fill="auto"/>
            <w:noWrap/>
            <w:vAlign w:val="bottom"/>
            <w:hideMark/>
          </w:tcPr>
          <w:p w14:paraId="4F55132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r>
      <w:tr w:rsidR="007C0720" w:rsidRPr="007C0720" w14:paraId="2A0AF41D" w14:textId="77777777" w:rsidTr="007C0720">
        <w:trPr>
          <w:trHeight w:val="300"/>
        </w:trPr>
        <w:tc>
          <w:tcPr>
            <w:tcW w:w="1420" w:type="dxa"/>
            <w:tcBorders>
              <w:top w:val="nil"/>
              <w:left w:val="nil"/>
              <w:bottom w:val="nil"/>
              <w:right w:val="nil"/>
            </w:tcBorders>
            <w:shd w:val="clear" w:color="000000" w:fill="D9D9D9"/>
            <w:noWrap/>
            <w:vAlign w:val="bottom"/>
            <w:hideMark/>
          </w:tcPr>
          <w:p w14:paraId="602A008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663A31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774BE4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THE-1196</w:t>
            </w:r>
          </w:p>
        </w:tc>
        <w:tc>
          <w:tcPr>
            <w:tcW w:w="460" w:type="dxa"/>
            <w:tcBorders>
              <w:top w:val="nil"/>
              <w:left w:val="nil"/>
              <w:bottom w:val="nil"/>
              <w:right w:val="nil"/>
            </w:tcBorders>
            <w:shd w:val="clear" w:color="000000" w:fill="D9D9D9"/>
            <w:noWrap/>
            <w:vAlign w:val="bottom"/>
            <w:hideMark/>
          </w:tcPr>
          <w:p w14:paraId="54B5E0C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07DD4F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65EEB6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27AB88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906A7A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F5B895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5B195B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8CA758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87.5%</w:t>
            </w:r>
          </w:p>
        </w:tc>
      </w:tr>
      <w:tr w:rsidR="007C0720" w:rsidRPr="007C0720" w14:paraId="624B9D78" w14:textId="77777777" w:rsidTr="007C0720">
        <w:trPr>
          <w:trHeight w:val="300"/>
        </w:trPr>
        <w:tc>
          <w:tcPr>
            <w:tcW w:w="1420" w:type="dxa"/>
            <w:tcBorders>
              <w:top w:val="nil"/>
              <w:left w:val="nil"/>
              <w:bottom w:val="nil"/>
              <w:right w:val="nil"/>
            </w:tcBorders>
            <w:shd w:val="clear" w:color="auto" w:fill="auto"/>
            <w:noWrap/>
            <w:vAlign w:val="bottom"/>
            <w:hideMark/>
          </w:tcPr>
          <w:p w14:paraId="0143C7F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205C0B6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062D533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THE-1199</w:t>
            </w:r>
          </w:p>
        </w:tc>
        <w:tc>
          <w:tcPr>
            <w:tcW w:w="460" w:type="dxa"/>
            <w:tcBorders>
              <w:top w:val="nil"/>
              <w:left w:val="nil"/>
              <w:bottom w:val="nil"/>
              <w:right w:val="nil"/>
            </w:tcBorders>
            <w:shd w:val="clear" w:color="auto" w:fill="auto"/>
            <w:noWrap/>
            <w:vAlign w:val="bottom"/>
            <w:hideMark/>
          </w:tcPr>
          <w:p w14:paraId="13DF500C"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90EA85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25E3C0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432F12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159452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8BD90B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B65061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14:paraId="0DA7329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68.8%</w:t>
            </w:r>
          </w:p>
        </w:tc>
      </w:tr>
      <w:tr w:rsidR="007C0720" w:rsidRPr="007C0720" w14:paraId="130524A8" w14:textId="77777777" w:rsidTr="007C0720">
        <w:trPr>
          <w:trHeight w:val="300"/>
        </w:trPr>
        <w:tc>
          <w:tcPr>
            <w:tcW w:w="1420" w:type="dxa"/>
            <w:tcBorders>
              <w:top w:val="nil"/>
              <w:left w:val="nil"/>
              <w:bottom w:val="nil"/>
              <w:right w:val="nil"/>
            </w:tcBorders>
            <w:shd w:val="clear" w:color="000000" w:fill="D9D9D9"/>
            <w:noWrap/>
            <w:vAlign w:val="bottom"/>
            <w:hideMark/>
          </w:tcPr>
          <w:p w14:paraId="09E4F8A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0242CB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6D4EAC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THE-125</w:t>
            </w:r>
          </w:p>
        </w:tc>
        <w:tc>
          <w:tcPr>
            <w:tcW w:w="460" w:type="dxa"/>
            <w:tcBorders>
              <w:top w:val="nil"/>
              <w:left w:val="nil"/>
              <w:bottom w:val="nil"/>
              <w:right w:val="nil"/>
            </w:tcBorders>
            <w:shd w:val="clear" w:color="000000" w:fill="D9D9D9"/>
            <w:noWrap/>
            <w:vAlign w:val="bottom"/>
            <w:hideMark/>
          </w:tcPr>
          <w:p w14:paraId="613EF2B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6F3039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3DE9EC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14:paraId="3E7D7AE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6EE1B91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14:paraId="64860C1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68.8%</w:t>
            </w:r>
          </w:p>
        </w:tc>
        <w:tc>
          <w:tcPr>
            <w:tcW w:w="940" w:type="dxa"/>
            <w:tcBorders>
              <w:top w:val="nil"/>
              <w:left w:val="nil"/>
              <w:bottom w:val="nil"/>
              <w:right w:val="nil"/>
            </w:tcBorders>
            <w:shd w:val="clear" w:color="000000" w:fill="D9D9D9"/>
            <w:noWrap/>
            <w:vAlign w:val="bottom"/>
            <w:hideMark/>
          </w:tcPr>
          <w:p w14:paraId="058A56F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737640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5F5C0B5F" w14:textId="77777777" w:rsidTr="007C0720">
        <w:trPr>
          <w:trHeight w:val="300"/>
        </w:trPr>
        <w:tc>
          <w:tcPr>
            <w:tcW w:w="1420" w:type="dxa"/>
            <w:tcBorders>
              <w:top w:val="nil"/>
              <w:left w:val="nil"/>
              <w:bottom w:val="nil"/>
              <w:right w:val="nil"/>
            </w:tcBorders>
            <w:shd w:val="clear" w:color="auto" w:fill="auto"/>
            <w:noWrap/>
            <w:vAlign w:val="bottom"/>
            <w:hideMark/>
          </w:tcPr>
          <w:p w14:paraId="475BF8C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2E63C98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53714B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THE-126</w:t>
            </w:r>
          </w:p>
        </w:tc>
        <w:tc>
          <w:tcPr>
            <w:tcW w:w="460" w:type="dxa"/>
            <w:tcBorders>
              <w:top w:val="nil"/>
              <w:left w:val="nil"/>
              <w:bottom w:val="nil"/>
              <w:right w:val="nil"/>
            </w:tcBorders>
            <w:shd w:val="clear" w:color="auto" w:fill="auto"/>
            <w:noWrap/>
            <w:vAlign w:val="bottom"/>
            <w:hideMark/>
          </w:tcPr>
          <w:p w14:paraId="6D226DB2"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CD72ED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14:paraId="462DAF0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1A051B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14:paraId="5E6CDAA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14:paraId="110E64A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14:paraId="70386F4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010CB8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6226CF16" w14:textId="77777777" w:rsidTr="007C0720">
        <w:trPr>
          <w:trHeight w:val="300"/>
        </w:trPr>
        <w:tc>
          <w:tcPr>
            <w:tcW w:w="1420" w:type="dxa"/>
            <w:tcBorders>
              <w:top w:val="nil"/>
              <w:left w:val="nil"/>
              <w:bottom w:val="nil"/>
              <w:right w:val="nil"/>
            </w:tcBorders>
            <w:shd w:val="clear" w:color="000000" w:fill="D9D9D9"/>
            <w:noWrap/>
            <w:vAlign w:val="bottom"/>
            <w:hideMark/>
          </w:tcPr>
          <w:p w14:paraId="692D30D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5B7DFE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A15906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THE-127</w:t>
            </w:r>
          </w:p>
        </w:tc>
        <w:tc>
          <w:tcPr>
            <w:tcW w:w="460" w:type="dxa"/>
            <w:tcBorders>
              <w:top w:val="nil"/>
              <w:left w:val="nil"/>
              <w:bottom w:val="nil"/>
              <w:right w:val="nil"/>
            </w:tcBorders>
            <w:shd w:val="clear" w:color="000000" w:fill="D9D9D9"/>
            <w:noWrap/>
            <w:vAlign w:val="bottom"/>
            <w:hideMark/>
          </w:tcPr>
          <w:p w14:paraId="2851F0C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A8EB3A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F8F9BD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35B209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9FEEAD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384491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4F400E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D3245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DEE75B6" w14:textId="77777777" w:rsidTr="007C0720">
        <w:trPr>
          <w:trHeight w:val="300"/>
        </w:trPr>
        <w:tc>
          <w:tcPr>
            <w:tcW w:w="1420" w:type="dxa"/>
            <w:tcBorders>
              <w:top w:val="nil"/>
              <w:left w:val="nil"/>
              <w:bottom w:val="nil"/>
              <w:right w:val="nil"/>
            </w:tcBorders>
            <w:shd w:val="clear" w:color="auto" w:fill="auto"/>
            <w:noWrap/>
            <w:vAlign w:val="bottom"/>
            <w:hideMark/>
          </w:tcPr>
          <w:p w14:paraId="05E36DF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0FE509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766324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THE-129</w:t>
            </w:r>
          </w:p>
        </w:tc>
        <w:tc>
          <w:tcPr>
            <w:tcW w:w="460" w:type="dxa"/>
            <w:tcBorders>
              <w:top w:val="nil"/>
              <w:left w:val="nil"/>
              <w:bottom w:val="nil"/>
              <w:right w:val="nil"/>
            </w:tcBorders>
            <w:shd w:val="clear" w:color="auto" w:fill="auto"/>
            <w:noWrap/>
            <w:vAlign w:val="bottom"/>
            <w:hideMark/>
          </w:tcPr>
          <w:p w14:paraId="66A3B8F1"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1FAD11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E351E0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6CDB9E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D609D3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E7C34D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E03676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3A3CCA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1096661A" w14:textId="77777777" w:rsidTr="007C0720">
        <w:trPr>
          <w:trHeight w:val="300"/>
        </w:trPr>
        <w:tc>
          <w:tcPr>
            <w:tcW w:w="1420" w:type="dxa"/>
            <w:tcBorders>
              <w:top w:val="nil"/>
              <w:left w:val="nil"/>
              <w:bottom w:val="nil"/>
              <w:right w:val="nil"/>
            </w:tcBorders>
            <w:shd w:val="clear" w:color="000000" w:fill="D9D9D9"/>
            <w:noWrap/>
            <w:vAlign w:val="bottom"/>
            <w:hideMark/>
          </w:tcPr>
          <w:p w14:paraId="5026A18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510A7A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AFC1D5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THE-194</w:t>
            </w:r>
          </w:p>
        </w:tc>
        <w:tc>
          <w:tcPr>
            <w:tcW w:w="460" w:type="dxa"/>
            <w:tcBorders>
              <w:top w:val="nil"/>
              <w:left w:val="nil"/>
              <w:bottom w:val="nil"/>
              <w:right w:val="nil"/>
            </w:tcBorders>
            <w:shd w:val="clear" w:color="000000" w:fill="D9D9D9"/>
            <w:noWrap/>
            <w:vAlign w:val="bottom"/>
            <w:hideMark/>
          </w:tcPr>
          <w:p w14:paraId="54FF4A1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0C9E48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C5164F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99B219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F653B4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99F27C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82.9%</w:t>
            </w:r>
          </w:p>
        </w:tc>
        <w:tc>
          <w:tcPr>
            <w:tcW w:w="940" w:type="dxa"/>
            <w:tcBorders>
              <w:top w:val="nil"/>
              <w:left w:val="nil"/>
              <w:bottom w:val="nil"/>
              <w:right w:val="nil"/>
            </w:tcBorders>
            <w:shd w:val="clear" w:color="000000" w:fill="D9D9D9"/>
            <w:noWrap/>
            <w:vAlign w:val="bottom"/>
            <w:hideMark/>
          </w:tcPr>
          <w:p w14:paraId="09C6884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066534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FC2EB9C" w14:textId="77777777" w:rsidTr="007C0720">
        <w:trPr>
          <w:trHeight w:val="300"/>
        </w:trPr>
        <w:tc>
          <w:tcPr>
            <w:tcW w:w="1420" w:type="dxa"/>
            <w:tcBorders>
              <w:top w:val="nil"/>
              <w:left w:val="nil"/>
              <w:bottom w:val="nil"/>
              <w:right w:val="nil"/>
            </w:tcBorders>
            <w:shd w:val="clear" w:color="auto" w:fill="auto"/>
            <w:noWrap/>
            <w:vAlign w:val="bottom"/>
            <w:hideMark/>
          </w:tcPr>
          <w:p w14:paraId="74D79E9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EEC6BC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EEEEE6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THE-196</w:t>
            </w:r>
          </w:p>
        </w:tc>
        <w:tc>
          <w:tcPr>
            <w:tcW w:w="460" w:type="dxa"/>
            <w:tcBorders>
              <w:top w:val="nil"/>
              <w:left w:val="nil"/>
              <w:bottom w:val="nil"/>
              <w:right w:val="nil"/>
            </w:tcBorders>
            <w:shd w:val="clear" w:color="auto" w:fill="auto"/>
            <w:noWrap/>
            <w:vAlign w:val="bottom"/>
            <w:hideMark/>
          </w:tcPr>
          <w:p w14:paraId="4F3BF793"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A95914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6F41B1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DBF9B8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ABDFB3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55AFB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14:paraId="6E6CFA2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5C4F39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7E9939FD" w14:textId="77777777" w:rsidTr="007C0720">
        <w:trPr>
          <w:trHeight w:val="300"/>
        </w:trPr>
        <w:tc>
          <w:tcPr>
            <w:tcW w:w="1420" w:type="dxa"/>
            <w:tcBorders>
              <w:top w:val="nil"/>
              <w:left w:val="nil"/>
              <w:bottom w:val="nil"/>
              <w:right w:val="nil"/>
            </w:tcBorders>
            <w:shd w:val="clear" w:color="000000" w:fill="D9D9D9"/>
            <w:noWrap/>
            <w:vAlign w:val="bottom"/>
            <w:hideMark/>
          </w:tcPr>
          <w:p w14:paraId="03D5992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460A8E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B3CBA4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THE-198</w:t>
            </w:r>
          </w:p>
        </w:tc>
        <w:tc>
          <w:tcPr>
            <w:tcW w:w="460" w:type="dxa"/>
            <w:tcBorders>
              <w:top w:val="nil"/>
              <w:left w:val="nil"/>
              <w:bottom w:val="nil"/>
              <w:right w:val="nil"/>
            </w:tcBorders>
            <w:shd w:val="clear" w:color="000000" w:fill="D9D9D9"/>
            <w:noWrap/>
            <w:vAlign w:val="bottom"/>
            <w:hideMark/>
          </w:tcPr>
          <w:p w14:paraId="63C3022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B3622E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92.0%</w:t>
            </w:r>
          </w:p>
        </w:tc>
        <w:tc>
          <w:tcPr>
            <w:tcW w:w="940" w:type="dxa"/>
            <w:tcBorders>
              <w:top w:val="nil"/>
              <w:left w:val="nil"/>
              <w:bottom w:val="nil"/>
              <w:right w:val="nil"/>
            </w:tcBorders>
            <w:shd w:val="clear" w:color="000000" w:fill="D9D9D9"/>
            <w:noWrap/>
            <w:vAlign w:val="bottom"/>
            <w:hideMark/>
          </w:tcPr>
          <w:p w14:paraId="76E4D89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80.9%</w:t>
            </w:r>
          </w:p>
        </w:tc>
        <w:tc>
          <w:tcPr>
            <w:tcW w:w="940" w:type="dxa"/>
            <w:tcBorders>
              <w:top w:val="nil"/>
              <w:left w:val="nil"/>
              <w:bottom w:val="nil"/>
              <w:right w:val="nil"/>
            </w:tcBorders>
            <w:shd w:val="clear" w:color="000000" w:fill="D9D9D9"/>
            <w:noWrap/>
            <w:vAlign w:val="bottom"/>
            <w:hideMark/>
          </w:tcPr>
          <w:p w14:paraId="44571F2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75.6%</w:t>
            </w:r>
          </w:p>
        </w:tc>
        <w:tc>
          <w:tcPr>
            <w:tcW w:w="940" w:type="dxa"/>
            <w:tcBorders>
              <w:top w:val="nil"/>
              <w:left w:val="nil"/>
              <w:bottom w:val="nil"/>
              <w:right w:val="nil"/>
            </w:tcBorders>
            <w:shd w:val="clear" w:color="000000" w:fill="D9D9D9"/>
            <w:noWrap/>
            <w:vAlign w:val="bottom"/>
            <w:hideMark/>
          </w:tcPr>
          <w:p w14:paraId="5D5321D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88.0%</w:t>
            </w:r>
          </w:p>
        </w:tc>
        <w:tc>
          <w:tcPr>
            <w:tcW w:w="940" w:type="dxa"/>
            <w:tcBorders>
              <w:top w:val="nil"/>
              <w:left w:val="nil"/>
              <w:bottom w:val="nil"/>
              <w:right w:val="nil"/>
            </w:tcBorders>
            <w:shd w:val="clear" w:color="000000" w:fill="D9D9D9"/>
            <w:noWrap/>
            <w:vAlign w:val="bottom"/>
            <w:hideMark/>
          </w:tcPr>
          <w:p w14:paraId="5945120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9D2C00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51EEDE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65E9C7A9" w14:textId="77777777" w:rsidTr="007C0720">
        <w:trPr>
          <w:trHeight w:val="300"/>
        </w:trPr>
        <w:tc>
          <w:tcPr>
            <w:tcW w:w="1420" w:type="dxa"/>
            <w:tcBorders>
              <w:top w:val="nil"/>
              <w:left w:val="nil"/>
              <w:bottom w:val="nil"/>
              <w:right w:val="nil"/>
            </w:tcBorders>
            <w:shd w:val="clear" w:color="auto" w:fill="auto"/>
            <w:noWrap/>
            <w:vAlign w:val="bottom"/>
            <w:hideMark/>
          </w:tcPr>
          <w:p w14:paraId="575289E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148171C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4F7D49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THE-201</w:t>
            </w:r>
          </w:p>
        </w:tc>
        <w:tc>
          <w:tcPr>
            <w:tcW w:w="460" w:type="dxa"/>
            <w:tcBorders>
              <w:top w:val="nil"/>
              <w:left w:val="nil"/>
              <w:bottom w:val="nil"/>
              <w:right w:val="nil"/>
            </w:tcBorders>
            <w:shd w:val="clear" w:color="auto" w:fill="auto"/>
            <w:noWrap/>
            <w:vAlign w:val="bottom"/>
            <w:hideMark/>
          </w:tcPr>
          <w:p w14:paraId="72A355C8"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F1ECAF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33.3%</w:t>
            </w:r>
          </w:p>
        </w:tc>
        <w:tc>
          <w:tcPr>
            <w:tcW w:w="940" w:type="dxa"/>
            <w:tcBorders>
              <w:top w:val="nil"/>
              <w:left w:val="nil"/>
              <w:bottom w:val="nil"/>
              <w:right w:val="nil"/>
            </w:tcBorders>
            <w:shd w:val="clear" w:color="auto" w:fill="auto"/>
            <w:noWrap/>
            <w:vAlign w:val="bottom"/>
            <w:hideMark/>
          </w:tcPr>
          <w:p w14:paraId="5B5C985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73.5%</w:t>
            </w:r>
          </w:p>
        </w:tc>
        <w:tc>
          <w:tcPr>
            <w:tcW w:w="940" w:type="dxa"/>
            <w:tcBorders>
              <w:top w:val="nil"/>
              <w:left w:val="nil"/>
              <w:bottom w:val="nil"/>
              <w:right w:val="nil"/>
            </w:tcBorders>
            <w:shd w:val="clear" w:color="auto" w:fill="auto"/>
            <w:noWrap/>
            <w:vAlign w:val="bottom"/>
            <w:hideMark/>
          </w:tcPr>
          <w:p w14:paraId="0A4CB67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72.5%</w:t>
            </w:r>
          </w:p>
        </w:tc>
        <w:tc>
          <w:tcPr>
            <w:tcW w:w="940" w:type="dxa"/>
            <w:tcBorders>
              <w:top w:val="nil"/>
              <w:left w:val="nil"/>
              <w:bottom w:val="nil"/>
              <w:right w:val="nil"/>
            </w:tcBorders>
            <w:shd w:val="clear" w:color="auto" w:fill="auto"/>
            <w:noWrap/>
            <w:vAlign w:val="bottom"/>
            <w:hideMark/>
          </w:tcPr>
          <w:p w14:paraId="3BFFE46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47.1%</w:t>
            </w:r>
          </w:p>
        </w:tc>
        <w:tc>
          <w:tcPr>
            <w:tcW w:w="940" w:type="dxa"/>
            <w:tcBorders>
              <w:top w:val="nil"/>
              <w:left w:val="nil"/>
              <w:bottom w:val="nil"/>
              <w:right w:val="nil"/>
            </w:tcBorders>
            <w:shd w:val="clear" w:color="auto" w:fill="auto"/>
            <w:noWrap/>
            <w:vAlign w:val="bottom"/>
            <w:hideMark/>
          </w:tcPr>
          <w:p w14:paraId="62EAAEC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14:paraId="603F837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FA4875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DB856FC" w14:textId="77777777" w:rsidTr="007C0720">
        <w:trPr>
          <w:trHeight w:val="300"/>
        </w:trPr>
        <w:tc>
          <w:tcPr>
            <w:tcW w:w="1420" w:type="dxa"/>
            <w:tcBorders>
              <w:top w:val="nil"/>
              <w:left w:val="nil"/>
              <w:bottom w:val="nil"/>
              <w:right w:val="nil"/>
            </w:tcBorders>
            <w:shd w:val="clear" w:color="000000" w:fill="D9D9D9"/>
            <w:noWrap/>
            <w:vAlign w:val="bottom"/>
            <w:hideMark/>
          </w:tcPr>
          <w:p w14:paraId="549D865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A36CF2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3B6036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THE-202</w:t>
            </w:r>
          </w:p>
        </w:tc>
        <w:tc>
          <w:tcPr>
            <w:tcW w:w="460" w:type="dxa"/>
            <w:tcBorders>
              <w:top w:val="nil"/>
              <w:left w:val="nil"/>
              <w:bottom w:val="nil"/>
              <w:right w:val="nil"/>
            </w:tcBorders>
            <w:shd w:val="clear" w:color="000000" w:fill="D9D9D9"/>
            <w:noWrap/>
            <w:vAlign w:val="bottom"/>
            <w:hideMark/>
          </w:tcPr>
          <w:p w14:paraId="58AE5AE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3E1C50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75176F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14:paraId="0B4DA32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64.3%</w:t>
            </w:r>
          </w:p>
        </w:tc>
        <w:tc>
          <w:tcPr>
            <w:tcW w:w="940" w:type="dxa"/>
            <w:tcBorders>
              <w:top w:val="nil"/>
              <w:left w:val="nil"/>
              <w:bottom w:val="nil"/>
              <w:right w:val="nil"/>
            </w:tcBorders>
            <w:shd w:val="clear" w:color="000000" w:fill="D9D9D9"/>
            <w:noWrap/>
            <w:vAlign w:val="bottom"/>
            <w:hideMark/>
          </w:tcPr>
          <w:p w14:paraId="3C788BF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53.8%</w:t>
            </w:r>
          </w:p>
        </w:tc>
        <w:tc>
          <w:tcPr>
            <w:tcW w:w="940" w:type="dxa"/>
            <w:tcBorders>
              <w:top w:val="nil"/>
              <w:left w:val="nil"/>
              <w:bottom w:val="nil"/>
              <w:right w:val="nil"/>
            </w:tcBorders>
            <w:shd w:val="clear" w:color="000000" w:fill="D9D9D9"/>
            <w:noWrap/>
            <w:vAlign w:val="bottom"/>
            <w:hideMark/>
          </w:tcPr>
          <w:p w14:paraId="779DA40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61.5%</w:t>
            </w:r>
          </w:p>
        </w:tc>
        <w:tc>
          <w:tcPr>
            <w:tcW w:w="940" w:type="dxa"/>
            <w:tcBorders>
              <w:top w:val="nil"/>
              <w:left w:val="nil"/>
              <w:bottom w:val="nil"/>
              <w:right w:val="nil"/>
            </w:tcBorders>
            <w:shd w:val="clear" w:color="000000" w:fill="D9D9D9"/>
            <w:noWrap/>
            <w:vAlign w:val="bottom"/>
            <w:hideMark/>
          </w:tcPr>
          <w:p w14:paraId="75AA3D3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EFC3CE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8435DD6" w14:textId="77777777" w:rsidTr="007C0720">
        <w:trPr>
          <w:trHeight w:val="300"/>
        </w:trPr>
        <w:tc>
          <w:tcPr>
            <w:tcW w:w="1420" w:type="dxa"/>
            <w:tcBorders>
              <w:top w:val="nil"/>
              <w:left w:val="nil"/>
              <w:bottom w:val="nil"/>
              <w:right w:val="nil"/>
            </w:tcBorders>
            <w:shd w:val="clear" w:color="auto" w:fill="auto"/>
            <w:noWrap/>
            <w:vAlign w:val="bottom"/>
            <w:hideMark/>
          </w:tcPr>
          <w:p w14:paraId="33EDD3D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45E3E3B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2A31DA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THE-203</w:t>
            </w:r>
          </w:p>
        </w:tc>
        <w:tc>
          <w:tcPr>
            <w:tcW w:w="460" w:type="dxa"/>
            <w:tcBorders>
              <w:top w:val="nil"/>
              <w:left w:val="nil"/>
              <w:bottom w:val="nil"/>
              <w:right w:val="nil"/>
            </w:tcBorders>
            <w:shd w:val="clear" w:color="auto" w:fill="auto"/>
            <w:noWrap/>
            <w:vAlign w:val="bottom"/>
            <w:hideMark/>
          </w:tcPr>
          <w:p w14:paraId="56B5380E"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134474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14:paraId="4D9E5E1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14:paraId="4F8D155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53.8%</w:t>
            </w:r>
          </w:p>
        </w:tc>
        <w:tc>
          <w:tcPr>
            <w:tcW w:w="940" w:type="dxa"/>
            <w:tcBorders>
              <w:top w:val="nil"/>
              <w:left w:val="nil"/>
              <w:bottom w:val="nil"/>
              <w:right w:val="nil"/>
            </w:tcBorders>
            <w:shd w:val="clear" w:color="auto" w:fill="auto"/>
            <w:noWrap/>
            <w:vAlign w:val="bottom"/>
            <w:hideMark/>
          </w:tcPr>
          <w:p w14:paraId="72778BC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F39685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64.5%</w:t>
            </w:r>
          </w:p>
        </w:tc>
        <w:tc>
          <w:tcPr>
            <w:tcW w:w="940" w:type="dxa"/>
            <w:tcBorders>
              <w:top w:val="nil"/>
              <w:left w:val="nil"/>
              <w:bottom w:val="nil"/>
              <w:right w:val="nil"/>
            </w:tcBorders>
            <w:shd w:val="clear" w:color="auto" w:fill="auto"/>
            <w:noWrap/>
            <w:vAlign w:val="bottom"/>
            <w:hideMark/>
          </w:tcPr>
          <w:p w14:paraId="0863D95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995F0C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68155D2" w14:textId="77777777" w:rsidTr="007C0720">
        <w:trPr>
          <w:trHeight w:val="300"/>
        </w:trPr>
        <w:tc>
          <w:tcPr>
            <w:tcW w:w="1420" w:type="dxa"/>
            <w:tcBorders>
              <w:top w:val="nil"/>
              <w:left w:val="nil"/>
              <w:bottom w:val="nil"/>
              <w:right w:val="nil"/>
            </w:tcBorders>
            <w:shd w:val="clear" w:color="000000" w:fill="D9D9D9"/>
            <w:noWrap/>
            <w:vAlign w:val="bottom"/>
            <w:hideMark/>
          </w:tcPr>
          <w:p w14:paraId="1B73965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C5A3E0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D0B3B0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THE-206</w:t>
            </w:r>
          </w:p>
        </w:tc>
        <w:tc>
          <w:tcPr>
            <w:tcW w:w="460" w:type="dxa"/>
            <w:tcBorders>
              <w:top w:val="nil"/>
              <w:left w:val="nil"/>
              <w:bottom w:val="nil"/>
              <w:right w:val="nil"/>
            </w:tcBorders>
            <w:shd w:val="clear" w:color="000000" w:fill="D9D9D9"/>
            <w:noWrap/>
            <w:vAlign w:val="bottom"/>
            <w:hideMark/>
          </w:tcPr>
          <w:p w14:paraId="62E4989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6BECE4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92.9%</w:t>
            </w:r>
          </w:p>
        </w:tc>
        <w:tc>
          <w:tcPr>
            <w:tcW w:w="940" w:type="dxa"/>
            <w:tcBorders>
              <w:top w:val="nil"/>
              <w:left w:val="nil"/>
              <w:bottom w:val="nil"/>
              <w:right w:val="nil"/>
            </w:tcBorders>
            <w:shd w:val="clear" w:color="000000" w:fill="D9D9D9"/>
            <w:noWrap/>
            <w:vAlign w:val="bottom"/>
            <w:hideMark/>
          </w:tcPr>
          <w:p w14:paraId="10FBF8B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2D827C8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14:paraId="01F0D3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14:paraId="0EEC3B9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14:paraId="17B6E9C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F331A3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2B397F7F" w14:textId="77777777" w:rsidTr="007C0720">
        <w:trPr>
          <w:trHeight w:val="300"/>
        </w:trPr>
        <w:tc>
          <w:tcPr>
            <w:tcW w:w="1420" w:type="dxa"/>
            <w:tcBorders>
              <w:top w:val="nil"/>
              <w:left w:val="nil"/>
              <w:bottom w:val="nil"/>
              <w:right w:val="nil"/>
            </w:tcBorders>
            <w:shd w:val="clear" w:color="auto" w:fill="auto"/>
            <w:noWrap/>
            <w:vAlign w:val="bottom"/>
            <w:hideMark/>
          </w:tcPr>
          <w:p w14:paraId="6AC628B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4F14BCA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995900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THE-2113</w:t>
            </w:r>
          </w:p>
        </w:tc>
        <w:tc>
          <w:tcPr>
            <w:tcW w:w="460" w:type="dxa"/>
            <w:tcBorders>
              <w:top w:val="nil"/>
              <w:left w:val="nil"/>
              <w:bottom w:val="nil"/>
              <w:right w:val="nil"/>
            </w:tcBorders>
            <w:shd w:val="clear" w:color="auto" w:fill="auto"/>
            <w:noWrap/>
            <w:vAlign w:val="bottom"/>
            <w:hideMark/>
          </w:tcPr>
          <w:p w14:paraId="29C456EF"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C47CD3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99982C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13A585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65CECB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5F1BE6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6238AA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14:paraId="0C8A285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60.0%</w:t>
            </w:r>
          </w:p>
        </w:tc>
      </w:tr>
      <w:tr w:rsidR="007C0720" w:rsidRPr="007C0720" w14:paraId="5B07931F" w14:textId="77777777" w:rsidTr="007C0720">
        <w:trPr>
          <w:trHeight w:val="300"/>
        </w:trPr>
        <w:tc>
          <w:tcPr>
            <w:tcW w:w="1420" w:type="dxa"/>
            <w:tcBorders>
              <w:top w:val="nil"/>
              <w:left w:val="nil"/>
              <w:bottom w:val="nil"/>
              <w:right w:val="nil"/>
            </w:tcBorders>
            <w:shd w:val="clear" w:color="000000" w:fill="D9D9D9"/>
            <w:noWrap/>
            <w:vAlign w:val="bottom"/>
            <w:hideMark/>
          </w:tcPr>
          <w:p w14:paraId="57DCFD5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3EF89A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781D65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THE-213</w:t>
            </w:r>
          </w:p>
        </w:tc>
        <w:tc>
          <w:tcPr>
            <w:tcW w:w="460" w:type="dxa"/>
            <w:tcBorders>
              <w:top w:val="nil"/>
              <w:left w:val="nil"/>
              <w:bottom w:val="nil"/>
              <w:right w:val="nil"/>
            </w:tcBorders>
            <w:shd w:val="clear" w:color="000000" w:fill="D9D9D9"/>
            <w:noWrap/>
            <w:vAlign w:val="bottom"/>
            <w:hideMark/>
          </w:tcPr>
          <w:p w14:paraId="3B07AFC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0F0252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14:paraId="07CE7FF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81114E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25BD5C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14:paraId="7824464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14:paraId="22A8BA4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DFE2CC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61F8DA1" w14:textId="77777777" w:rsidTr="007C0720">
        <w:trPr>
          <w:trHeight w:val="300"/>
        </w:trPr>
        <w:tc>
          <w:tcPr>
            <w:tcW w:w="1420" w:type="dxa"/>
            <w:tcBorders>
              <w:top w:val="nil"/>
              <w:left w:val="nil"/>
              <w:bottom w:val="nil"/>
              <w:right w:val="nil"/>
            </w:tcBorders>
            <w:shd w:val="clear" w:color="auto" w:fill="auto"/>
            <w:noWrap/>
            <w:vAlign w:val="bottom"/>
            <w:hideMark/>
          </w:tcPr>
          <w:p w14:paraId="4CA3F02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lastRenderedPageBreak/>
              <w:t>0250</w:t>
            </w:r>
          </w:p>
        </w:tc>
        <w:tc>
          <w:tcPr>
            <w:tcW w:w="3220" w:type="dxa"/>
            <w:tcBorders>
              <w:top w:val="nil"/>
              <w:left w:val="nil"/>
              <w:bottom w:val="nil"/>
              <w:right w:val="nil"/>
            </w:tcBorders>
            <w:shd w:val="clear" w:color="auto" w:fill="auto"/>
            <w:noWrap/>
            <w:vAlign w:val="bottom"/>
            <w:hideMark/>
          </w:tcPr>
          <w:p w14:paraId="484073C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BA6D6A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THE-215</w:t>
            </w:r>
          </w:p>
        </w:tc>
        <w:tc>
          <w:tcPr>
            <w:tcW w:w="460" w:type="dxa"/>
            <w:tcBorders>
              <w:top w:val="nil"/>
              <w:left w:val="nil"/>
              <w:bottom w:val="nil"/>
              <w:right w:val="nil"/>
            </w:tcBorders>
            <w:shd w:val="clear" w:color="auto" w:fill="auto"/>
            <w:noWrap/>
            <w:vAlign w:val="bottom"/>
            <w:hideMark/>
          </w:tcPr>
          <w:p w14:paraId="7A850547"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C285B8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69.2%</w:t>
            </w:r>
          </w:p>
        </w:tc>
        <w:tc>
          <w:tcPr>
            <w:tcW w:w="940" w:type="dxa"/>
            <w:tcBorders>
              <w:top w:val="nil"/>
              <w:left w:val="nil"/>
              <w:bottom w:val="nil"/>
              <w:right w:val="nil"/>
            </w:tcBorders>
            <w:shd w:val="clear" w:color="auto" w:fill="auto"/>
            <w:noWrap/>
            <w:vAlign w:val="bottom"/>
            <w:hideMark/>
          </w:tcPr>
          <w:p w14:paraId="134BD85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FB7E92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2D77A18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17CB2A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7DD844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827B38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7EA9116B" w14:textId="77777777" w:rsidTr="007C0720">
        <w:trPr>
          <w:trHeight w:val="300"/>
        </w:trPr>
        <w:tc>
          <w:tcPr>
            <w:tcW w:w="1420" w:type="dxa"/>
            <w:tcBorders>
              <w:top w:val="nil"/>
              <w:left w:val="nil"/>
              <w:bottom w:val="nil"/>
              <w:right w:val="nil"/>
            </w:tcBorders>
            <w:shd w:val="clear" w:color="000000" w:fill="D9D9D9"/>
            <w:noWrap/>
            <w:vAlign w:val="bottom"/>
            <w:hideMark/>
          </w:tcPr>
          <w:p w14:paraId="0388FA7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8FD315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45AEAD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THE-220</w:t>
            </w:r>
          </w:p>
        </w:tc>
        <w:tc>
          <w:tcPr>
            <w:tcW w:w="460" w:type="dxa"/>
            <w:tcBorders>
              <w:top w:val="nil"/>
              <w:left w:val="nil"/>
              <w:bottom w:val="nil"/>
              <w:right w:val="nil"/>
            </w:tcBorders>
            <w:shd w:val="clear" w:color="000000" w:fill="D9D9D9"/>
            <w:noWrap/>
            <w:vAlign w:val="bottom"/>
            <w:hideMark/>
          </w:tcPr>
          <w:p w14:paraId="0EEF125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49F793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4F9CBC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E0B963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D8E9ED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14:paraId="336F5B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14:paraId="5213DBA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DDD10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F007C41" w14:textId="77777777" w:rsidTr="007C0720">
        <w:trPr>
          <w:trHeight w:val="300"/>
        </w:trPr>
        <w:tc>
          <w:tcPr>
            <w:tcW w:w="1420" w:type="dxa"/>
            <w:tcBorders>
              <w:top w:val="nil"/>
              <w:left w:val="nil"/>
              <w:bottom w:val="nil"/>
              <w:right w:val="nil"/>
            </w:tcBorders>
            <w:shd w:val="clear" w:color="auto" w:fill="auto"/>
            <w:noWrap/>
            <w:vAlign w:val="bottom"/>
            <w:hideMark/>
          </w:tcPr>
          <w:p w14:paraId="370E3D3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384E5C70"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13D142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THE-2201</w:t>
            </w:r>
          </w:p>
        </w:tc>
        <w:tc>
          <w:tcPr>
            <w:tcW w:w="460" w:type="dxa"/>
            <w:tcBorders>
              <w:top w:val="nil"/>
              <w:left w:val="nil"/>
              <w:bottom w:val="nil"/>
              <w:right w:val="nil"/>
            </w:tcBorders>
            <w:shd w:val="clear" w:color="auto" w:fill="auto"/>
            <w:noWrap/>
            <w:vAlign w:val="bottom"/>
            <w:hideMark/>
          </w:tcPr>
          <w:p w14:paraId="0F3AB905"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AD8A5A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4587B7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184949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64525F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5CE6F0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B85B0B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76.5%</w:t>
            </w:r>
          </w:p>
        </w:tc>
        <w:tc>
          <w:tcPr>
            <w:tcW w:w="940" w:type="dxa"/>
            <w:tcBorders>
              <w:top w:val="nil"/>
              <w:left w:val="nil"/>
              <w:bottom w:val="nil"/>
              <w:right w:val="nil"/>
            </w:tcBorders>
            <w:shd w:val="clear" w:color="auto" w:fill="auto"/>
            <w:noWrap/>
            <w:vAlign w:val="bottom"/>
            <w:hideMark/>
          </w:tcPr>
          <w:p w14:paraId="72D9222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r>
      <w:tr w:rsidR="007C0720" w:rsidRPr="007C0720" w14:paraId="6CE32612" w14:textId="77777777" w:rsidTr="007C0720">
        <w:trPr>
          <w:trHeight w:val="300"/>
        </w:trPr>
        <w:tc>
          <w:tcPr>
            <w:tcW w:w="1420" w:type="dxa"/>
            <w:tcBorders>
              <w:top w:val="nil"/>
              <w:left w:val="nil"/>
              <w:bottom w:val="nil"/>
              <w:right w:val="nil"/>
            </w:tcBorders>
            <w:shd w:val="clear" w:color="000000" w:fill="D9D9D9"/>
            <w:noWrap/>
            <w:vAlign w:val="bottom"/>
            <w:hideMark/>
          </w:tcPr>
          <w:p w14:paraId="20AB78B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D43F48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308C14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THE-2202</w:t>
            </w:r>
          </w:p>
        </w:tc>
        <w:tc>
          <w:tcPr>
            <w:tcW w:w="460" w:type="dxa"/>
            <w:tcBorders>
              <w:top w:val="nil"/>
              <w:left w:val="nil"/>
              <w:bottom w:val="nil"/>
              <w:right w:val="nil"/>
            </w:tcBorders>
            <w:shd w:val="clear" w:color="000000" w:fill="D9D9D9"/>
            <w:noWrap/>
            <w:vAlign w:val="bottom"/>
            <w:hideMark/>
          </w:tcPr>
          <w:p w14:paraId="61EB795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19BC3F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FB8E89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3C0B6B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32F331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4C90A8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FA57D7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92.9%</w:t>
            </w:r>
          </w:p>
        </w:tc>
        <w:tc>
          <w:tcPr>
            <w:tcW w:w="940" w:type="dxa"/>
            <w:tcBorders>
              <w:top w:val="nil"/>
              <w:left w:val="nil"/>
              <w:bottom w:val="nil"/>
              <w:right w:val="nil"/>
            </w:tcBorders>
            <w:shd w:val="clear" w:color="000000" w:fill="D9D9D9"/>
            <w:noWrap/>
            <w:vAlign w:val="bottom"/>
            <w:hideMark/>
          </w:tcPr>
          <w:p w14:paraId="2ACBF0D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53.8%</w:t>
            </w:r>
          </w:p>
        </w:tc>
      </w:tr>
      <w:tr w:rsidR="007C0720" w:rsidRPr="007C0720" w14:paraId="459C9A78" w14:textId="77777777" w:rsidTr="007C0720">
        <w:trPr>
          <w:trHeight w:val="300"/>
        </w:trPr>
        <w:tc>
          <w:tcPr>
            <w:tcW w:w="1420" w:type="dxa"/>
            <w:tcBorders>
              <w:top w:val="nil"/>
              <w:left w:val="nil"/>
              <w:bottom w:val="nil"/>
              <w:right w:val="nil"/>
            </w:tcBorders>
            <w:shd w:val="clear" w:color="auto" w:fill="auto"/>
            <w:noWrap/>
            <w:vAlign w:val="bottom"/>
            <w:hideMark/>
          </w:tcPr>
          <w:p w14:paraId="613862B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4B2F1EB4"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9B9C9A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THE-2206</w:t>
            </w:r>
          </w:p>
        </w:tc>
        <w:tc>
          <w:tcPr>
            <w:tcW w:w="460" w:type="dxa"/>
            <w:tcBorders>
              <w:top w:val="nil"/>
              <w:left w:val="nil"/>
              <w:bottom w:val="nil"/>
              <w:right w:val="nil"/>
            </w:tcBorders>
            <w:shd w:val="clear" w:color="auto" w:fill="auto"/>
            <w:noWrap/>
            <w:vAlign w:val="bottom"/>
            <w:hideMark/>
          </w:tcPr>
          <w:p w14:paraId="177961C9"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6A9214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16D8E2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2F382A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2E9012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FDD70D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D3E826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58.8%</w:t>
            </w:r>
          </w:p>
        </w:tc>
        <w:tc>
          <w:tcPr>
            <w:tcW w:w="940" w:type="dxa"/>
            <w:tcBorders>
              <w:top w:val="nil"/>
              <w:left w:val="nil"/>
              <w:bottom w:val="nil"/>
              <w:right w:val="nil"/>
            </w:tcBorders>
            <w:shd w:val="clear" w:color="auto" w:fill="auto"/>
            <w:noWrap/>
            <w:vAlign w:val="bottom"/>
            <w:hideMark/>
          </w:tcPr>
          <w:p w14:paraId="021DA05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77.8%</w:t>
            </w:r>
          </w:p>
        </w:tc>
      </w:tr>
      <w:tr w:rsidR="007C0720" w:rsidRPr="007C0720" w14:paraId="187C8FFC" w14:textId="77777777" w:rsidTr="007C0720">
        <w:trPr>
          <w:trHeight w:val="300"/>
        </w:trPr>
        <w:tc>
          <w:tcPr>
            <w:tcW w:w="1420" w:type="dxa"/>
            <w:tcBorders>
              <w:top w:val="nil"/>
              <w:left w:val="nil"/>
              <w:bottom w:val="nil"/>
              <w:right w:val="nil"/>
            </w:tcBorders>
            <w:shd w:val="clear" w:color="000000" w:fill="D9D9D9"/>
            <w:noWrap/>
            <w:vAlign w:val="bottom"/>
            <w:hideMark/>
          </w:tcPr>
          <w:p w14:paraId="23DED34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65C019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2B4E90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THE-2220</w:t>
            </w:r>
          </w:p>
        </w:tc>
        <w:tc>
          <w:tcPr>
            <w:tcW w:w="460" w:type="dxa"/>
            <w:tcBorders>
              <w:top w:val="nil"/>
              <w:left w:val="nil"/>
              <w:bottom w:val="nil"/>
              <w:right w:val="nil"/>
            </w:tcBorders>
            <w:shd w:val="clear" w:color="000000" w:fill="D9D9D9"/>
            <w:noWrap/>
            <w:vAlign w:val="bottom"/>
            <w:hideMark/>
          </w:tcPr>
          <w:p w14:paraId="715D553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49BE3E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B81C35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C2FDEF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3885A1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0F58B2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6E7829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A89187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r>
      <w:tr w:rsidR="007C0720" w:rsidRPr="007C0720" w14:paraId="0A3A3BBE" w14:textId="77777777" w:rsidTr="007C0720">
        <w:trPr>
          <w:trHeight w:val="300"/>
        </w:trPr>
        <w:tc>
          <w:tcPr>
            <w:tcW w:w="1420" w:type="dxa"/>
            <w:tcBorders>
              <w:top w:val="nil"/>
              <w:left w:val="nil"/>
              <w:bottom w:val="nil"/>
              <w:right w:val="nil"/>
            </w:tcBorders>
            <w:shd w:val="clear" w:color="auto" w:fill="auto"/>
            <w:noWrap/>
            <w:vAlign w:val="bottom"/>
            <w:hideMark/>
          </w:tcPr>
          <w:p w14:paraId="7DAC689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5A359C4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5BA5DB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THE-2240</w:t>
            </w:r>
          </w:p>
        </w:tc>
        <w:tc>
          <w:tcPr>
            <w:tcW w:w="460" w:type="dxa"/>
            <w:tcBorders>
              <w:top w:val="nil"/>
              <w:left w:val="nil"/>
              <w:bottom w:val="nil"/>
              <w:right w:val="nil"/>
            </w:tcBorders>
            <w:shd w:val="clear" w:color="auto" w:fill="auto"/>
            <w:noWrap/>
            <w:vAlign w:val="bottom"/>
            <w:hideMark/>
          </w:tcPr>
          <w:p w14:paraId="69AAE9BC"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CD5B57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D9FDD8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902D74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D09274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334343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4C3297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14:paraId="7E1BC3F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r>
      <w:tr w:rsidR="007C0720" w:rsidRPr="007C0720" w14:paraId="2A78DB85" w14:textId="77777777" w:rsidTr="007C0720">
        <w:trPr>
          <w:trHeight w:val="300"/>
        </w:trPr>
        <w:tc>
          <w:tcPr>
            <w:tcW w:w="1420" w:type="dxa"/>
            <w:tcBorders>
              <w:top w:val="nil"/>
              <w:left w:val="nil"/>
              <w:bottom w:val="nil"/>
              <w:right w:val="nil"/>
            </w:tcBorders>
            <w:shd w:val="clear" w:color="000000" w:fill="D9D9D9"/>
            <w:noWrap/>
            <w:vAlign w:val="bottom"/>
            <w:hideMark/>
          </w:tcPr>
          <w:p w14:paraId="7712AD7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2963023"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6C16A4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THE-2255</w:t>
            </w:r>
          </w:p>
        </w:tc>
        <w:tc>
          <w:tcPr>
            <w:tcW w:w="460" w:type="dxa"/>
            <w:tcBorders>
              <w:top w:val="nil"/>
              <w:left w:val="nil"/>
              <w:bottom w:val="nil"/>
              <w:right w:val="nil"/>
            </w:tcBorders>
            <w:shd w:val="clear" w:color="000000" w:fill="D9D9D9"/>
            <w:noWrap/>
            <w:vAlign w:val="bottom"/>
            <w:hideMark/>
          </w:tcPr>
          <w:p w14:paraId="7517358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66C7EB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B45044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1C1BF3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0D11C9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1417EA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8A4C24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3BED18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r>
      <w:tr w:rsidR="007C0720" w:rsidRPr="007C0720" w14:paraId="52D3D106" w14:textId="77777777" w:rsidTr="007C0720">
        <w:trPr>
          <w:trHeight w:val="300"/>
        </w:trPr>
        <w:tc>
          <w:tcPr>
            <w:tcW w:w="1420" w:type="dxa"/>
            <w:tcBorders>
              <w:top w:val="nil"/>
              <w:left w:val="nil"/>
              <w:bottom w:val="nil"/>
              <w:right w:val="nil"/>
            </w:tcBorders>
            <w:shd w:val="clear" w:color="auto" w:fill="auto"/>
            <w:noWrap/>
            <w:vAlign w:val="bottom"/>
            <w:hideMark/>
          </w:tcPr>
          <w:p w14:paraId="798A4EF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4A05194D"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0A86D4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THE-2296</w:t>
            </w:r>
          </w:p>
        </w:tc>
        <w:tc>
          <w:tcPr>
            <w:tcW w:w="460" w:type="dxa"/>
            <w:tcBorders>
              <w:top w:val="nil"/>
              <w:left w:val="nil"/>
              <w:bottom w:val="nil"/>
              <w:right w:val="nil"/>
            </w:tcBorders>
            <w:shd w:val="clear" w:color="auto" w:fill="auto"/>
            <w:noWrap/>
            <w:vAlign w:val="bottom"/>
            <w:hideMark/>
          </w:tcPr>
          <w:p w14:paraId="1874E927"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821450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F61D87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7B911B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1E84DF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8043CC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59C405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465C025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91.7%</w:t>
            </w:r>
          </w:p>
        </w:tc>
      </w:tr>
      <w:tr w:rsidR="007C0720" w:rsidRPr="007C0720" w14:paraId="382BEA7F" w14:textId="77777777" w:rsidTr="007C0720">
        <w:trPr>
          <w:trHeight w:val="300"/>
        </w:trPr>
        <w:tc>
          <w:tcPr>
            <w:tcW w:w="1420" w:type="dxa"/>
            <w:tcBorders>
              <w:top w:val="nil"/>
              <w:left w:val="nil"/>
              <w:bottom w:val="nil"/>
              <w:right w:val="nil"/>
            </w:tcBorders>
            <w:shd w:val="clear" w:color="000000" w:fill="D9D9D9"/>
            <w:noWrap/>
            <w:vAlign w:val="bottom"/>
            <w:hideMark/>
          </w:tcPr>
          <w:p w14:paraId="2306BD3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4954E8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EF36F2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THE-2297</w:t>
            </w:r>
          </w:p>
        </w:tc>
        <w:tc>
          <w:tcPr>
            <w:tcW w:w="460" w:type="dxa"/>
            <w:tcBorders>
              <w:top w:val="nil"/>
              <w:left w:val="nil"/>
              <w:bottom w:val="nil"/>
              <w:right w:val="nil"/>
            </w:tcBorders>
            <w:shd w:val="clear" w:color="000000" w:fill="D9D9D9"/>
            <w:noWrap/>
            <w:vAlign w:val="bottom"/>
            <w:hideMark/>
          </w:tcPr>
          <w:p w14:paraId="5BFD307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B3A4A7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648426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D291F1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D9AD134"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758B0E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0874EE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14:paraId="71E9FA1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72.2%</w:t>
            </w:r>
          </w:p>
        </w:tc>
      </w:tr>
      <w:tr w:rsidR="007C0720" w:rsidRPr="007C0720" w14:paraId="527FA670" w14:textId="77777777" w:rsidTr="007C0720">
        <w:trPr>
          <w:trHeight w:val="300"/>
        </w:trPr>
        <w:tc>
          <w:tcPr>
            <w:tcW w:w="1420" w:type="dxa"/>
            <w:tcBorders>
              <w:top w:val="nil"/>
              <w:left w:val="nil"/>
              <w:bottom w:val="nil"/>
              <w:right w:val="nil"/>
            </w:tcBorders>
            <w:shd w:val="clear" w:color="auto" w:fill="auto"/>
            <w:noWrap/>
            <w:vAlign w:val="bottom"/>
            <w:hideMark/>
          </w:tcPr>
          <w:p w14:paraId="07CFCF2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4A4AA37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C6D208F"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THE-2298</w:t>
            </w:r>
          </w:p>
        </w:tc>
        <w:tc>
          <w:tcPr>
            <w:tcW w:w="460" w:type="dxa"/>
            <w:tcBorders>
              <w:top w:val="nil"/>
              <w:left w:val="nil"/>
              <w:bottom w:val="nil"/>
              <w:right w:val="nil"/>
            </w:tcBorders>
            <w:shd w:val="clear" w:color="auto" w:fill="auto"/>
            <w:noWrap/>
            <w:vAlign w:val="bottom"/>
            <w:hideMark/>
          </w:tcPr>
          <w:p w14:paraId="7186E71C"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F5D233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31CF38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8B7A09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798A82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678D90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52BE0F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2F61B59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r>
      <w:tr w:rsidR="007C0720" w:rsidRPr="007C0720" w14:paraId="354A29DE" w14:textId="77777777" w:rsidTr="007C0720">
        <w:trPr>
          <w:trHeight w:val="300"/>
        </w:trPr>
        <w:tc>
          <w:tcPr>
            <w:tcW w:w="1420" w:type="dxa"/>
            <w:tcBorders>
              <w:top w:val="nil"/>
              <w:left w:val="nil"/>
              <w:bottom w:val="nil"/>
              <w:right w:val="nil"/>
            </w:tcBorders>
            <w:shd w:val="clear" w:color="000000" w:fill="D9D9D9"/>
            <w:noWrap/>
            <w:vAlign w:val="bottom"/>
            <w:hideMark/>
          </w:tcPr>
          <w:p w14:paraId="0620EEF5"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87BDF6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337622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THE-240</w:t>
            </w:r>
          </w:p>
        </w:tc>
        <w:tc>
          <w:tcPr>
            <w:tcW w:w="460" w:type="dxa"/>
            <w:tcBorders>
              <w:top w:val="nil"/>
              <w:left w:val="nil"/>
              <w:bottom w:val="nil"/>
              <w:right w:val="nil"/>
            </w:tcBorders>
            <w:shd w:val="clear" w:color="000000" w:fill="D9D9D9"/>
            <w:noWrap/>
            <w:vAlign w:val="bottom"/>
            <w:hideMark/>
          </w:tcPr>
          <w:p w14:paraId="7EBDD1FA"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32D532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70.0%</w:t>
            </w:r>
          </w:p>
        </w:tc>
        <w:tc>
          <w:tcPr>
            <w:tcW w:w="940" w:type="dxa"/>
            <w:tcBorders>
              <w:top w:val="nil"/>
              <w:left w:val="nil"/>
              <w:bottom w:val="nil"/>
              <w:right w:val="nil"/>
            </w:tcBorders>
            <w:shd w:val="clear" w:color="000000" w:fill="D9D9D9"/>
            <w:noWrap/>
            <w:vAlign w:val="bottom"/>
            <w:hideMark/>
          </w:tcPr>
          <w:p w14:paraId="0CDC600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58.3%</w:t>
            </w:r>
          </w:p>
        </w:tc>
        <w:tc>
          <w:tcPr>
            <w:tcW w:w="940" w:type="dxa"/>
            <w:tcBorders>
              <w:top w:val="nil"/>
              <w:left w:val="nil"/>
              <w:bottom w:val="nil"/>
              <w:right w:val="nil"/>
            </w:tcBorders>
            <w:shd w:val="clear" w:color="000000" w:fill="D9D9D9"/>
            <w:noWrap/>
            <w:vAlign w:val="bottom"/>
            <w:hideMark/>
          </w:tcPr>
          <w:p w14:paraId="7D5CCA5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45.5%</w:t>
            </w:r>
          </w:p>
        </w:tc>
        <w:tc>
          <w:tcPr>
            <w:tcW w:w="940" w:type="dxa"/>
            <w:tcBorders>
              <w:top w:val="nil"/>
              <w:left w:val="nil"/>
              <w:bottom w:val="nil"/>
              <w:right w:val="nil"/>
            </w:tcBorders>
            <w:shd w:val="clear" w:color="000000" w:fill="D9D9D9"/>
            <w:noWrap/>
            <w:vAlign w:val="bottom"/>
            <w:hideMark/>
          </w:tcPr>
          <w:p w14:paraId="6BCBC86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14:paraId="03D4961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14:paraId="0D8F263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7B99306"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1FC2B07F" w14:textId="77777777" w:rsidTr="007C0720">
        <w:trPr>
          <w:trHeight w:val="300"/>
        </w:trPr>
        <w:tc>
          <w:tcPr>
            <w:tcW w:w="1420" w:type="dxa"/>
            <w:tcBorders>
              <w:top w:val="nil"/>
              <w:left w:val="nil"/>
              <w:bottom w:val="nil"/>
              <w:right w:val="nil"/>
            </w:tcBorders>
            <w:shd w:val="clear" w:color="auto" w:fill="auto"/>
            <w:noWrap/>
            <w:vAlign w:val="bottom"/>
            <w:hideMark/>
          </w:tcPr>
          <w:p w14:paraId="7934F79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000A98A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18ECE7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THE-255</w:t>
            </w:r>
          </w:p>
        </w:tc>
        <w:tc>
          <w:tcPr>
            <w:tcW w:w="460" w:type="dxa"/>
            <w:tcBorders>
              <w:top w:val="nil"/>
              <w:left w:val="nil"/>
              <w:bottom w:val="nil"/>
              <w:right w:val="nil"/>
            </w:tcBorders>
            <w:shd w:val="clear" w:color="auto" w:fill="auto"/>
            <w:noWrap/>
            <w:vAlign w:val="bottom"/>
            <w:hideMark/>
          </w:tcPr>
          <w:p w14:paraId="4E9404AC"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F84269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14:paraId="2BC9E64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7B93B65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62.2%</w:t>
            </w:r>
          </w:p>
        </w:tc>
        <w:tc>
          <w:tcPr>
            <w:tcW w:w="940" w:type="dxa"/>
            <w:tcBorders>
              <w:top w:val="nil"/>
              <w:left w:val="nil"/>
              <w:bottom w:val="nil"/>
              <w:right w:val="nil"/>
            </w:tcBorders>
            <w:shd w:val="clear" w:color="auto" w:fill="auto"/>
            <w:noWrap/>
            <w:vAlign w:val="bottom"/>
            <w:hideMark/>
          </w:tcPr>
          <w:p w14:paraId="6CC7EAB2"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89.3%</w:t>
            </w:r>
          </w:p>
        </w:tc>
        <w:tc>
          <w:tcPr>
            <w:tcW w:w="940" w:type="dxa"/>
            <w:tcBorders>
              <w:top w:val="nil"/>
              <w:left w:val="nil"/>
              <w:bottom w:val="nil"/>
              <w:right w:val="nil"/>
            </w:tcBorders>
            <w:shd w:val="clear" w:color="auto" w:fill="auto"/>
            <w:noWrap/>
            <w:vAlign w:val="bottom"/>
            <w:hideMark/>
          </w:tcPr>
          <w:p w14:paraId="4C83917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14:paraId="6E717F1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132579E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16B5F1A9" w14:textId="77777777" w:rsidTr="007C0720">
        <w:trPr>
          <w:trHeight w:val="300"/>
        </w:trPr>
        <w:tc>
          <w:tcPr>
            <w:tcW w:w="1420" w:type="dxa"/>
            <w:tcBorders>
              <w:top w:val="nil"/>
              <w:left w:val="nil"/>
              <w:bottom w:val="nil"/>
              <w:right w:val="nil"/>
            </w:tcBorders>
            <w:shd w:val="clear" w:color="000000" w:fill="D9D9D9"/>
            <w:noWrap/>
            <w:vAlign w:val="bottom"/>
            <w:hideMark/>
          </w:tcPr>
          <w:p w14:paraId="0AF9AB3E"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72B185B"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B5222B1"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THE-296</w:t>
            </w:r>
          </w:p>
        </w:tc>
        <w:tc>
          <w:tcPr>
            <w:tcW w:w="460" w:type="dxa"/>
            <w:tcBorders>
              <w:top w:val="nil"/>
              <w:left w:val="nil"/>
              <w:bottom w:val="nil"/>
              <w:right w:val="nil"/>
            </w:tcBorders>
            <w:shd w:val="clear" w:color="000000" w:fill="D9D9D9"/>
            <w:noWrap/>
            <w:vAlign w:val="bottom"/>
            <w:hideMark/>
          </w:tcPr>
          <w:p w14:paraId="5909ACA7"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331600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83DD2D1"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6CD99C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89253AB"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0A0AD4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F2339D5"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56E6218"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0A1DD57F" w14:textId="77777777" w:rsidTr="007C0720">
        <w:trPr>
          <w:trHeight w:val="300"/>
        </w:trPr>
        <w:tc>
          <w:tcPr>
            <w:tcW w:w="1420" w:type="dxa"/>
            <w:tcBorders>
              <w:top w:val="nil"/>
              <w:left w:val="nil"/>
              <w:bottom w:val="nil"/>
              <w:right w:val="nil"/>
            </w:tcBorders>
            <w:shd w:val="clear" w:color="auto" w:fill="auto"/>
            <w:noWrap/>
            <w:vAlign w:val="bottom"/>
            <w:hideMark/>
          </w:tcPr>
          <w:p w14:paraId="5D04AA0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auto" w:fill="auto"/>
            <w:noWrap/>
            <w:vAlign w:val="bottom"/>
            <w:hideMark/>
          </w:tcPr>
          <w:p w14:paraId="16FC7D68"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F63B999"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THE-298</w:t>
            </w:r>
          </w:p>
        </w:tc>
        <w:tc>
          <w:tcPr>
            <w:tcW w:w="460" w:type="dxa"/>
            <w:tcBorders>
              <w:top w:val="nil"/>
              <w:left w:val="nil"/>
              <w:bottom w:val="nil"/>
              <w:right w:val="nil"/>
            </w:tcBorders>
            <w:shd w:val="clear" w:color="auto" w:fill="auto"/>
            <w:noWrap/>
            <w:vAlign w:val="bottom"/>
            <w:hideMark/>
          </w:tcPr>
          <w:p w14:paraId="5FD412F9" w14:textId="77777777" w:rsidR="007C0720" w:rsidRPr="007C0720" w:rsidRDefault="007C0720" w:rsidP="007C0720">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5E8C5F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2DFFFAC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5043D6B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14:paraId="559210F0"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93.1%</w:t>
            </w:r>
          </w:p>
        </w:tc>
        <w:tc>
          <w:tcPr>
            <w:tcW w:w="940" w:type="dxa"/>
            <w:tcBorders>
              <w:top w:val="nil"/>
              <w:left w:val="nil"/>
              <w:bottom w:val="nil"/>
              <w:right w:val="nil"/>
            </w:tcBorders>
            <w:shd w:val="clear" w:color="auto" w:fill="auto"/>
            <w:noWrap/>
            <w:vAlign w:val="bottom"/>
            <w:hideMark/>
          </w:tcPr>
          <w:p w14:paraId="5FA09FD3"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30205D49"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4A7881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r w:rsidR="007C0720" w:rsidRPr="007C0720" w14:paraId="4A645D01" w14:textId="77777777" w:rsidTr="007C0720">
        <w:trPr>
          <w:trHeight w:val="300"/>
        </w:trPr>
        <w:tc>
          <w:tcPr>
            <w:tcW w:w="1420" w:type="dxa"/>
            <w:tcBorders>
              <w:top w:val="nil"/>
              <w:left w:val="nil"/>
              <w:bottom w:val="nil"/>
              <w:right w:val="nil"/>
            </w:tcBorders>
            <w:shd w:val="clear" w:color="000000" w:fill="D9D9D9"/>
            <w:noWrap/>
            <w:vAlign w:val="bottom"/>
            <w:hideMark/>
          </w:tcPr>
          <w:p w14:paraId="35942082"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EAFFDFC"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0AF6F7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THE-299</w:t>
            </w:r>
          </w:p>
        </w:tc>
        <w:tc>
          <w:tcPr>
            <w:tcW w:w="460" w:type="dxa"/>
            <w:tcBorders>
              <w:top w:val="nil"/>
              <w:left w:val="nil"/>
              <w:bottom w:val="nil"/>
              <w:right w:val="nil"/>
            </w:tcBorders>
            <w:shd w:val="clear" w:color="000000" w:fill="D9D9D9"/>
            <w:noWrap/>
            <w:vAlign w:val="bottom"/>
            <w:hideMark/>
          </w:tcPr>
          <w:p w14:paraId="3553BD36" w14:textId="77777777" w:rsidR="007C0720" w:rsidRPr="007C0720" w:rsidRDefault="007C0720" w:rsidP="007C0720">
            <w:pPr>
              <w:rPr>
                <w:rFonts w:ascii="Calibri" w:hAnsi="Calibri"/>
                <w:color w:val="000000"/>
                <w:sz w:val="22"/>
                <w:szCs w:val="22"/>
              </w:rPr>
            </w:pPr>
            <w:r w:rsidRPr="007C0720">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88E950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40F9557D"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8516B9C"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69A194A"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0C8E8A7"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6920E0F"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C32228E" w14:textId="77777777" w:rsidR="007C0720" w:rsidRPr="007C0720" w:rsidRDefault="007C0720" w:rsidP="007C0720">
            <w:pPr>
              <w:jc w:val="right"/>
              <w:rPr>
                <w:rFonts w:ascii="Calibri" w:hAnsi="Calibri"/>
                <w:color w:val="000000"/>
                <w:sz w:val="22"/>
                <w:szCs w:val="22"/>
              </w:rPr>
            </w:pPr>
            <w:r w:rsidRPr="007C0720">
              <w:rPr>
                <w:rFonts w:ascii="Calibri" w:hAnsi="Calibri"/>
                <w:color w:val="000000"/>
                <w:sz w:val="22"/>
                <w:szCs w:val="22"/>
              </w:rPr>
              <w:t>.</w:t>
            </w:r>
          </w:p>
        </w:tc>
      </w:tr>
    </w:tbl>
    <w:p w14:paraId="6ED9C05B" w14:textId="77777777" w:rsidR="007C0720" w:rsidRDefault="007C0720" w:rsidP="00225B53">
      <w:pPr>
        <w:spacing w:after="200" w:line="276" w:lineRule="auto"/>
        <w:rPr>
          <w:rFonts w:ascii="Arial" w:hAnsi="Arial" w:cs="Arial"/>
          <w:b/>
          <w:color w:val="000000" w:themeColor="text1"/>
        </w:rPr>
      </w:pPr>
    </w:p>
    <w:sectPr w:rsidR="007C0720"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543F3" w14:textId="77777777" w:rsidR="00866D1F" w:rsidRDefault="00866D1F" w:rsidP="0094204C">
      <w:r>
        <w:separator/>
      </w:r>
    </w:p>
  </w:endnote>
  <w:endnote w:type="continuationSeparator" w:id="0">
    <w:p w14:paraId="516C34F8" w14:textId="77777777" w:rsidR="00866D1F" w:rsidRDefault="00866D1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14:paraId="5742D0F2" w14:textId="77777777" w:rsidR="002772BC" w:rsidRDefault="002772BC">
        <w:pPr>
          <w:pStyle w:val="Footer"/>
          <w:jc w:val="right"/>
        </w:pPr>
        <w:r>
          <w:fldChar w:fldCharType="begin"/>
        </w:r>
        <w:r>
          <w:instrText xml:space="preserve"> PAGE   \* MERGEFORMAT </w:instrText>
        </w:r>
        <w:r>
          <w:fldChar w:fldCharType="separate"/>
        </w:r>
        <w:r w:rsidR="001B325C">
          <w:rPr>
            <w:noProof/>
          </w:rPr>
          <w:t>3</w:t>
        </w:r>
        <w:r>
          <w:rPr>
            <w:noProof/>
          </w:rPr>
          <w:fldChar w:fldCharType="end"/>
        </w:r>
      </w:p>
    </w:sdtContent>
  </w:sdt>
  <w:p w14:paraId="3956C62E" w14:textId="77777777" w:rsidR="002772BC" w:rsidRDefault="00277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5EC7F" w14:textId="77777777" w:rsidR="00866D1F" w:rsidRDefault="00866D1F" w:rsidP="0094204C">
      <w:r>
        <w:separator/>
      </w:r>
    </w:p>
  </w:footnote>
  <w:footnote w:type="continuationSeparator" w:id="0">
    <w:p w14:paraId="3C650CFC" w14:textId="77777777" w:rsidR="00866D1F" w:rsidRDefault="00866D1F"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DF"/>
    <w:multiLevelType w:val="hybridMultilevel"/>
    <w:tmpl w:val="358C9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084A44"/>
    <w:multiLevelType w:val="hybridMultilevel"/>
    <w:tmpl w:val="83A4A7C6"/>
    <w:lvl w:ilvl="0" w:tplc="04090011">
      <w:start w:val="1"/>
      <w:numFmt w:val="decimal"/>
      <w:lvlText w:val="%1)"/>
      <w:lvlJc w:val="left"/>
      <w:pPr>
        <w:tabs>
          <w:tab w:val="num" w:pos="720"/>
        </w:tabs>
        <w:ind w:left="720" w:hanging="360"/>
      </w:pPr>
      <w:rPr>
        <w:rFonts w:hint="default"/>
      </w:rPr>
    </w:lvl>
    <w:lvl w:ilvl="1" w:tplc="D540B8E2">
      <w:start w:val="1"/>
      <w:numFmt w:val="decimal"/>
      <w:lvlText w:val="%2."/>
      <w:lvlJc w:val="left"/>
      <w:pPr>
        <w:tabs>
          <w:tab w:val="num" w:pos="1440"/>
        </w:tabs>
        <w:ind w:left="1440" w:hanging="360"/>
      </w:pPr>
      <w:rPr>
        <w:rFonts w:ascii="Times New Roman" w:eastAsia="Times New Roman" w:hAnsi="Times New Roman" w:cs="Times New Roman"/>
      </w:rPr>
    </w:lvl>
    <w:lvl w:ilvl="2" w:tplc="B04CDF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C2547"/>
    <w:multiLevelType w:val="hybridMultilevel"/>
    <w:tmpl w:val="6506F232"/>
    <w:lvl w:ilvl="0" w:tplc="7AEE5D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14"/>
  </w:num>
  <w:num w:numId="5">
    <w:abstractNumId w:val="3"/>
  </w:num>
  <w:num w:numId="6">
    <w:abstractNumId w:val="10"/>
  </w:num>
  <w:num w:numId="7">
    <w:abstractNumId w:val="18"/>
  </w:num>
  <w:num w:numId="8">
    <w:abstractNumId w:val="16"/>
  </w:num>
  <w:num w:numId="9">
    <w:abstractNumId w:val="1"/>
  </w:num>
  <w:num w:numId="10">
    <w:abstractNumId w:val="19"/>
  </w:num>
  <w:num w:numId="11">
    <w:abstractNumId w:val="0"/>
  </w:num>
  <w:num w:numId="12">
    <w:abstractNumId w:val="17"/>
  </w:num>
  <w:num w:numId="13">
    <w:abstractNumId w:val="13"/>
  </w:num>
  <w:num w:numId="14">
    <w:abstractNumId w:val="4"/>
  </w:num>
  <w:num w:numId="15">
    <w:abstractNumId w:val="8"/>
  </w:num>
  <w:num w:numId="16">
    <w:abstractNumId w:val="15"/>
  </w:num>
  <w:num w:numId="17">
    <w:abstractNumId w:val="5"/>
  </w:num>
  <w:num w:numId="18">
    <w:abstractNumId w:val="5"/>
  </w:num>
  <w:num w:numId="19">
    <w:abstractNumId w:val="6"/>
  </w:num>
  <w:num w:numId="20">
    <w:abstractNumId w:val="2"/>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1497"/>
    <w:rsid w:val="00012754"/>
    <w:rsid w:val="000279EB"/>
    <w:rsid w:val="000337E6"/>
    <w:rsid w:val="00034CE6"/>
    <w:rsid w:val="00036DF9"/>
    <w:rsid w:val="00037073"/>
    <w:rsid w:val="00037F9B"/>
    <w:rsid w:val="000517C9"/>
    <w:rsid w:val="00054BFD"/>
    <w:rsid w:val="00056964"/>
    <w:rsid w:val="000616F3"/>
    <w:rsid w:val="00063778"/>
    <w:rsid w:val="00065129"/>
    <w:rsid w:val="000738FE"/>
    <w:rsid w:val="000742B3"/>
    <w:rsid w:val="00074BD5"/>
    <w:rsid w:val="00075EFA"/>
    <w:rsid w:val="00077FAF"/>
    <w:rsid w:val="00080933"/>
    <w:rsid w:val="000852D0"/>
    <w:rsid w:val="00092BFB"/>
    <w:rsid w:val="00097843"/>
    <w:rsid w:val="000A089D"/>
    <w:rsid w:val="000A2A44"/>
    <w:rsid w:val="000A2C70"/>
    <w:rsid w:val="000A4EE0"/>
    <w:rsid w:val="000B0D23"/>
    <w:rsid w:val="000B21BE"/>
    <w:rsid w:val="000B261C"/>
    <w:rsid w:val="000B42B6"/>
    <w:rsid w:val="000D1111"/>
    <w:rsid w:val="000D3A39"/>
    <w:rsid w:val="000D722B"/>
    <w:rsid w:val="000E34EE"/>
    <w:rsid w:val="000E4EFE"/>
    <w:rsid w:val="000F0AF3"/>
    <w:rsid w:val="000F154F"/>
    <w:rsid w:val="000F1823"/>
    <w:rsid w:val="000F21F2"/>
    <w:rsid w:val="000F2F76"/>
    <w:rsid w:val="000F4249"/>
    <w:rsid w:val="000F4830"/>
    <w:rsid w:val="0010227C"/>
    <w:rsid w:val="001026AA"/>
    <w:rsid w:val="001149A9"/>
    <w:rsid w:val="00115E77"/>
    <w:rsid w:val="001201D5"/>
    <w:rsid w:val="00120277"/>
    <w:rsid w:val="00120E81"/>
    <w:rsid w:val="001240D0"/>
    <w:rsid w:val="001324D2"/>
    <w:rsid w:val="00133ED6"/>
    <w:rsid w:val="0013672E"/>
    <w:rsid w:val="00142776"/>
    <w:rsid w:val="00143DD8"/>
    <w:rsid w:val="001532B7"/>
    <w:rsid w:val="001538D7"/>
    <w:rsid w:val="001560EA"/>
    <w:rsid w:val="001628B1"/>
    <w:rsid w:val="00173336"/>
    <w:rsid w:val="00174C4B"/>
    <w:rsid w:val="0018014B"/>
    <w:rsid w:val="001803A0"/>
    <w:rsid w:val="00181457"/>
    <w:rsid w:val="00183806"/>
    <w:rsid w:val="00183A7F"/>
    <w:rsid w:val="00184AE5"/>
    <w:rsid w:val="0018751E"/>
    <w:rsid w:val="0018798A"/>
    <w:rsid w:val="00190F5C"/>
    <w:rsid w:val="0019135D"/>
    <w:rsid w:val="00191E33"/>
    <w:rsid w:val="0019455C"/>
    <w:rsid w:val="00195B7B"/>
    <w:rsid w:val="001A1B67"/>
    <w:rsid w:val="001A2E6B"/>
    <w:rsid w:val="001A7740"/>
    <w:rsid w:val="001A7AF7"/>
    <w:rsid w:val="001B0EDF"/>
    <w:rsid w:val="001B2147"/>
    <w:rsid w:val="001B325C"/>
    <w:rsid w:val="001B45D5"/>
    <w:rsid w:val="001B5442"/>
    <w:rsid w:val="001B571A"/>
    <w:rsid w:val="001B6007"/>
    <w:rsid w:val="001B61EA"/>
    <w:rsid w:val="001C202C"/>
    <w:rsid w:val="001C42D0"/>
    <w:rsid w:val="001C5DC3"/>
    <w:rsid w:val="001D104C"/>
    <w:rsid w:val="001D1302"/>
    <w:rsid w:val="001D3E1D"/>
    <w:rsid w:val="001D5757"/>
    <w:rsid w:val="001D7080"/>
    <w:rsid w:val="001D736E"/>
    <w:rsid w:val="001E0764"/>
    <w:rsid w:val="001E1946"/>
    <w:rsid w:val="001E6B5A"/>
    <w:rsid w:val="001E7137"/>
    <w:rsid w:val="001F4B9E"/>
    <w:rsid w:val="002105E7"/>
    <w:rsid w:val="00210FF3"/>
    <w:rsid w:val="002110EE"/>
    <w:rsid w:val="0021208A"/>
    <w:rsid w:val="002147B2"/>
    <w:rsid w:val="00217C05"/>
    <w:rsid w:val="002245AB"/>
    <w:rsid w:val="00225B53"/>
    <w:rsid w:val="0022692B"/>
    <w:rsid w:val="002315EE"/>
    <w:rsid w:val="0023421E"/>
    <w:rsid w:val="00250A71"/>
    <w:rsid w:val="0025548D"/>
    <w:rsid w:val="00255C18"/>
    <w:rsid w:val="00255F7D"/>
    <w:rsid w:val="00256114"/>
    <w:rsid w:val="0025618C"/>
    <w:rsid w:val="00262914"/>
    <w:rsid w:val="00262EFB"/>
    <w:rsid w:val="002641D9"/>
    <w:rsid w:val="00265A99"/>
    <w:rsid w:val="002667DC"/>
    <w:rsid w:val="00266F2F"/>
    <w:rsid w:val="0026791C"/>
    <w:rsid w:val="00272751"/>
    <w:rsid w:val="00274E73"/>
    <w:rsid w:val="00276B75"/>
    <w:rsid w:val="002772BC"/>
    <w:rsid w:val="00280C60"/>
    <w:rsid w:val="00281C63"/>
    <w:rsid w:val="0028603C"/>
    <w:rsid w:val="002922CE"/>
    <w:rsid w:val="00293D8D"/>
    <w:rsid w:val="002A07A0"/>
    <w:rsid w:val="002A1D8C"/>
    <w:rsid w:val="002A5946"/>
    <w:rsid w:val="002C1797"/>
    <w:rsid w:val="002C39BF"/>
    <w:rsid w:val="002C45ED"/>
    <w:rsid w:val="002C56AC"/>
    <w:rsid w:val="002D1DFE"/>
    <w:rsid w:val="002D2748"/>
    <w:rsid w:val="002D3A34"/>
    <w:rsid w:val="002D3CAD"/>
    <w:rsid w:val="002D428E"/>
    <w:rsid w:val="002D557D"/>
    <w:rsid w:val="002E175B"/>
    <w:rsid w:val="002E28B0"/>
    <w:rsid w:val="002E548B"/>
    <w:rsid w:val="002E5D65"/>
    <w:rsid w:val="002E6A15"/>
    <w:rsid w:val="002E6B01"/>
    <w:rsid w:val="002F0B52"/>
    <w:rsid w:val="002F361B"/>
    <w:rsid w:val="002F540D"/>
    <w:rsid w:val="002F63A2"/>
    <w:rsid w:val="00302573"/>
    <w:rsid w:val="00303041"/>
    <w:rsid w:val="003041DD"/>
    <w:rsid w:val="00305AE1"/>
    <w:rsid w:val="0030733F"/>
    <w:rsid w:val="00307A43"/>
    <w:rsid w:val="00315CE8"/>
    <w:rsid w:val="0031626A"/>
    <w:rsid w:val="00320CDE"/>
    <w:rsid w:val="00320DF3"/>
    <w:rsid w:val="00321181"/>
    <w:rsid w:val="00321CB0"/>
    <w:rsid w:val="003233E7"/>
    <w:rsid w:val="003254BC"/>
    <w:rsid w:val="00330692"/>
    <w:rsid w:val="00335C7F"/>
    <w:rsid w:val="00335EA8"/>
    <w:rsid w:val="00337A3A"/>
    <w:rsid w:val="003434A1"/>
    <w:rsid w:val="003436B9"/>
    <w:rsid w:val="003440D0"/>
    <w:rsid w:val="003454F6"/>
    <w:rsid w:val="0034621F"/>
    <w:rsid w:val="00350D53"/>
    <w:rsid w:val="00355956"/>
    <w:rsid w:val="003641BA"/>
    <w:rsid w:val="003642F7"/>
    <w:rsid w:val="0036716D"/>
    <w:rsid w:val="00372B02"/>
    <w:rsid w:val="00377628"/>
    <w:rsid w:val="0037786D"/>
    <w:rsid w:val="00377D40"/>
    <w:rsid w:val="003A298D"/>
    <w:rsid w:val="003A6BF0"/>
    <w:rsid w:val="003B2034"/>
    <w:rsid w:val="003B5176"/>
    <w:rsid w:val="003B5F45"/>
    <w:rsid w:val="003B6EA6"/>
    <w:rsid w:val="003C17F6"/>
    <w:rsid w:val="003C1C8E"/>
    <w:rsid w:val="003C4C71"/>
    <w:rsid w:val="003D2587"/>
    <w:rsid w:val="003D6946"/>
    <w:rsid w:val="003D6D6E"/>
    <w:rsid w:val="003E791C"/>
    <w:rsid w:val="003F4224"/>
    <w:rsid w:val="00404810"/>
    <w:rsid w:val="004111F9"/>
    <w:rsid w:val="004118FA"/>
    <w:rsid w:val="00411A70"/>
    <w:rsid w:val="00413866"/>
    <w:rsid w:val="00414645"/>
    <w:rsid w:val="00423FAC"/>
    <w:rsid w:val="00424E5D"/>
    <w:rsid w:val="00425F46"/>
    <w:rsid w:val="00434F56"/>
    <w:rsid w:val="004359FC"/>
    <w:rsid w:val="004467C4"/>
    <w:rsid w:val="004537FA"/>
    <w:rsid w:val="00455833"/>
    <w:rsid w:val="00456B19"/>
    <w:rsid w:val="004604FB"/>
    <w:rsid w:val="00461386"/>
    <w:rsid w:val="00462D00"/>
    <w:rsid w:val="00470DD8"/>
    <w:rsid w:val="004710A6"/>
    <w:rsid w:val="004712EB"/>
    <w:rsid w:val="00475154"/>
    <w:rsid w:val="00476425"/>
    <w:rsid w:val="0048088F"/>
    <w:rsid w:val="00480BB2"/>
    <w:rsid w:val="004818E1"/>
    <w:rsid w:val="00481A7E"/>
    <w:rsid w:val="004825D6"/>
    <w:rsid w:val="0048427F"/>
    <w:rsid w:val="00486EBA"/>
    <w:rsid w:val="00493E4B"/>
    <w:rsid w:val="00495C9D"/>
    <w:rsid w:val="00497536"/>
    <w:rsid w:val="004A692C"/>
    <w:rsid w:val="004B70A3"/>
    <w:rsid w:val="004B7492"/>
    <w:rsid w:val="004C2B30"/>
    <w:rsid w:val="004C3860"/>
    <w:rsid w:val="004C52FC"/>
    <w:rsid w:val="004C7DB2"/>
    <w:rsid w:val="004D32E6"/>
    <w:rsid w:val="004D3BE1"/>
    <w:rsid w:val="004D3C8C"/>
    <w:rsid w:val="004D531F"/>
    <w:rsid w:val="004D6F9F"/>
    <w:rsid w:val="004E47AA"/>
    <w:rsid w:val="004E4BD6"/>
    <w:rsid w:val="004E7C3A"/>
    <w:rsid w:val="004F18BD"/>
    <w:rsid w:val="004F41D5"/>
    <w:rsid w:val="004F438D"/>
    <w:rsid w:val="004F5BE0"/>
    <w:rsid w:val="005059E6"/>
    <w:rsid w:val="0051294F"/>
    <w:rsid w:val="00516463"/>
    <w:rsid w:val="00520FBE"/>
    <w:rsid w:val="0052152C"/>
    <w:rsid w:val="0054350A"/>
    <w:rsid w:val="005531E8"/>
    <w:rsid w:val="00554A53"/>
    <w:rsid w:val="0056133C"/>
    <w:rsid w:val="0056418B"/>
    <w:rsid w:val="005674F9"/>
    <w:rsid w:val="0056775C"/>
    <w:rsid w:val="00571F69"/>
    <w:rsid w:val="00573ECD"/>
    <w:rsid w:val="00585766"/>
    <w:rsid w:val="005863ED"/>
    <w:rsid w:val="005864A4"/>
    <w:rsid w:val="005918B2"/>
    <w:rsid w:val="00592DD4"/>
    <w:rsid w:val="00597F85"/>
    <w:rsid w:val="005A2AE5"/>
    <w:rsid w:val="005A3683"/>
    <w:rsid w:val="005B2484"/>
    <w:rsid w:val="005D19D9"/>
    <w:rsid w:val="005D3818"/>
    <w:rsid w:val="005E0C16"/>
    <w:rsid w:val="005E76CE"/>
    <w:rsid w:val="005F5F7E"/>
    <w:rsid w:val="005F6B5B"/>
    <w:rsid w:val="005F7377"/>
    <w:rsid w:val="0061011D"/>
    <w:rsid w:val="0061454F"/>
    <w:rsid w:val="0061712A"/>
    <w:rsid w:val="00624906"/>
    <w:rsid w:val="00626B98"/>
    <w:rsid w:val="00630BE3"/>
    <w:rsid w:val="006368CC"/>
    <w:rsid w:val="00637591"/>
    <w:rsid w:val="00640611"/>
    <w:rsid w:val="00643904"/>
    <w:rsid w:val="00651CF2"/>
    <w:rsid w:val="006532D6"/>
    <w:rsid w:val="0065453B"/>
    <w:rsid w:val="00654C15"/>
    <w:rsid w:val="006551C4"/>
    <w:rsid w:val="00660080"/>
    <w:rsid w:val="0066285F"/>
    <w:rsid w:val="0066607A"/>
    <w:rsid w:val="00670519"/>
    <w:rsid w:val="00670FAA"/>
    <w:rsid w:val="00673CDD"/>
    <w:rsid w:val="00675DEF"/>
    <w:rsid w:val="00677703"/>
    <w:rsid w:val="006835C1"/>
    <w:rsid w:val="00690A3D"/>
    <w:rsid w:val="0069284B"/>
    <w:rsid w:val="006A085D"/>
    <w:rsid w:val="006A2AA3"/>
    <w:rsid w:val="006A3FB5"/>
    <w:rsid w:val="006B5D02"/>
    <w:rsid w:val="006B6194"/>
    <w:rsid w:val="006C142B"/>
    <w:rsid w:val="006C28B1"/>
    <w:rsid w:val="006C3259"/>
    <w:rsid w:val="006C4C0B"/>
    <w:rsid w:val="006C4F5E"/>
    <w:rsid w:val="006D67EB"/>
    <w:rsid w:val="006E3686"/>
    <w:rsid w:val="006F0183"/>
    <w:rsid w:val="006F4D23"/>
    <w:rsid w:val="00703EDA"/>
    <w:rsid w:val="00705D54"/>
    <w:rsid w:val="007145A3"/>
    <w:rsid w:val="00716A26"/>
    <w:rsid w:val="007207DD"/>
    <w:rsid w:val="007321E1"/>
    <w:rsid w:val="00740D35"/>
    <w:rsid w:val="00746675"/>
    <w:rsid w:val="00751FC5"/>
    <w:rsid w:val="0075279A"/>
    <w:rsid w:val="00756782"/>
    <w:rsid w:val="00772594"/>
    <w:rsid w:val="007760D5"/>
    <w:rsid w:val="00781DA4"/>
    <w:rsid w:val="007825CC"/>
    <w:rsid w:val="007856A2"/>
    <w:rsid w:val="0078669D"/>
    <w:rsid w:val="00786F00"/>
    <w:rsid w:val="00791FF2"/>
    <w:rsid w:val="0079281D"/>
    <w:rsid w:val="00794EA2"/>
    <w:rsid w:val="007A43CE"/>
    <w:rsid w:val="007B29F8"/>
    <w:rsid w:val="007C0720"/>
    <w:rsid w:val="007C1FEF"/>
    <w:rsid w:val="007C3A6B"/>
    <w:rsid w:val="007C46D3"/>
    <w:rsid w:val="007C74F5"/>
    <w:rsid w:val="007E21DF"/>
    <w:rsid w:val="007E36F4"/>
    <w:rsid w:val="007F2049"/>
    <w:rsid w:val="007F3D9F"/>
    <w:rsid w:val="007F45E6"/>
    <w:rsid w:val="007F66F9"/>
    <w:rsid w:val="0080292B"/>
    <w:rsid w:val="008034BE"/>
    <w:rsid w:val="008056C5"/>
    <w:rsid w:val="00805C23"/>
    <w:rsid w:val="00807113"/>
    <w:rsid w:val="0081473D"/>
    <w:rsid w:val="00817DDA"/>
    <w:rsid w:val="00821011"/>
    <w:rsid w:val="008258DA"/>
    <w:rsid w:val="00827AE5"/>
    <w:rsid w:val="00847243"/>
    <w:rsid w:val="00864258"/>
    <w:rsid w:val="008642E1"/>
    <w:rsid w:val="00866AD4"/>
    <w:rsid w:val="00866D1F"/>
    <w:rsid w:val="00874898"/>
    <w:rsid w:val="00875A7C"/>
    <w:rsid w:val="0087612F"/>
    <w:rsid w:val="008768F8"/>
    <w:rsid w:val="00877383"/>
    <w:rsid w:val="00880686"/>
    <w:rsid w:val="00883104"/>
    <w:rsid w:val="008836F4"/>
    <w:rsid w:val="008843C9"/>
    <w:rsid w:val="008860C1"/>
    <w:rsid w:val="008909D4"/>
    <w:rsid w:val="008942FA"/>
    <w:rsid w:val="00897A68"/>
    <w:rsid w:val="008A4090"/>
    <w:rsid w:val="008A5DAB"/>
    <w:rsid w:val="008B25A5"/>
    <w:rsid w:val="008B4230"/>
    <w:rsid w:val="008B4ACA"/>
    <w:rsid w:val="008B52A0"/>
    <w:rsid w:val="008B7DDD"/>
    <w:rsid w:val="008C3DCD"/>
    <w:rsid w:val="008D4D55"/>
    <w:rsid w:val="008E063A"/>
    <w:rsid w:val="008F078B"/>
    <w:rsid w:val="008F140E"/>
    <w:rsid w:val="008F3D47"/>
    <w:rsid w:val="008F41A6"/>
    <w:rsid w:val="008F67F3"/>
    <w:rsid w:val="00901345"/>
    <w:rsid w:val="009108ED"/>
    <w:rsid w:val="0091182C"/>
    <w:rsid w:val="009125F4"/>
    <w:rsid w:val="00915CDA"/>
    <w:rsid w:val="00916E6B"/>
    <w:rsid w:val="00916E8D"/>
    <w:rsid w:val="00917D58"/>
    <w:rsid w:val="00920C7D"/>
    <w:rsid w:val="009250B0"/>
    <w:rsid w:val="00925394"/>
    <w:rsid w:val="0092540D"/>
    <w:rsid w:val="009268A3"/>
    <w:rsid w:val="0094204C"/>
    <w:rsid w:val="0094331C"/>
    <w:rsid w:val="00952FA6"/>
    <w:rsid w:val="00954382"/>
    <w:rsid w:val="00963DD8"/>
    <w:rsid w:val="00966427"/>
    <w:rsid w:val="009778D1"/>
    <w:rsid w:val="00981D62"/>
    <w:rsid w:val="009845D0"/>
    <w:rsid w:val="009A2F4E"/>
    <w:rsid w:val="009A616E"/>
    <w:rsid w:val="009A69F0"/>
    <w:rsid w:val="009B1C4E"/>
    <w:rsid w:val="009B2090"/>
    <w:rsid w:val="009B5A54"/>
    <w:rsid w:val="009C0FFB"/>
    <w:rsid w:val="009C1092"/>
    <w:rsid w:val="009C5863"/>
    <w:rsid w:val="009D4417"/>
    <w:rsid w:val="009D4970"/>
    <w:rsid w:val="009E19B3"/>
    <w:rsid w:val="009E2519"/>
    <w:rsid w:val="009F2769"/>
    <w:rsid w:val="009F44E5"/>
    <w:rsid w:val="009F71F8"/>
    <w:rsid w:val="00A03C1A"/>
    <w:rsid w:val="00A11155"/>
    <w:rsid w:val="00A14B89"/>
    <w:rsid w:val="00A201E2"/>
    <w:rsid w:val="00A21E6E"/>
    <w:rsid w:val="00A279B7"/>
    <w:rsid w:val="00A316A8"/>
    <w:rsid w:val="00A3267B"/>
    <w:rsid w:val="00A34037"/>
    <w:rsid w:val="00A341DF"/>
    <w:rsid w:val="00A36DEE"/>
    <w:rsid w:val="00A4272D"/>
    <w:rsid w:val="00A50D9A"/>
    <w:rsid w:val="00A51345"/>
    <w:rsid w:val="00A54831"/>
    <w:rsid w:val="00A6078F"/>
    <w:rsid w:val="00A62968"/>
    <w:rsid w:val="00A63ACE"/>
    <w:rsid w:val="00A8476F"/>
    <w:rsid w:val="00AC0386"/>
    <w:rsid w:val="00AC62F8"/>
    <w:rsid w:val="00AD3207"/>
    <w:rsid w:val="00AD4FA7"/>
    <w:rsid w:val="00AD5A73"/>
    <w:rsid w:val="00AE192E"/>
    <w:rsid w:val="00AE4ABE"/>
    <w:rsid w:val="00AE4AD2"/>
    <w:rsid w:val="00AE5F43"/>
    <w:rsid w:val="00AF1271"/>
    <w:rsid w:val="00AF6A23"/>
    <w:rsid w:val="00B11F28"/>
    <w:rsid w:val="00B23418"/>
    <w:rsid w:val="00B27095"/>
    <w:rsid w:val="00B31728"/>
    <w:rsid w:val="00B34F9E"/>
    <w:rsid w:val="00B37058"/>
    <w:rsid w:val="00B42C55"/>
    <w:rsid w:val="00B43325"/>
    <w:rsid w:val="00B44B23"/>
    <w:rsid w:val="00B4625A"/>
    <w:rsid w:val="00B50893"/>
    <w:rsid w:val="00B608D5"/>
    <w:rsid w:val="00B61D81"/>
    <w:rsid w:val="00B6642B"/>
    <w:rsid w:val="00B700A5"/>
    <w:rsid w:val="00B71307"/>
    <w:rsid w:val="00B75B00"/>
    <w:rsid w:val="00B75DD0"/>
    <w:rsid w:val="00B764F8"/>
    <w:rsid w:val="00B81607"/>
    <w:rsid w:val="00B8227E"/>
    <w:rsid w:val="00B90F20"/>
    <w:rsid w:val="00B91F1E"/>
    <w:rsid w:val="00BA21C1"/>
    <w:rsid w:val="00BA3246"/>
    <w:rsid w:val="00BA411F"/>
    <w:rsid w:val="00BA527A"/>
    <w:rsid w:val="00BA56FF"/>
    <w:rsid w:val="00BB272C"/>
    <w:rsid w:val="00BB28CF"/>
    <w:rsid w:val="00BB4ABC"/>
    <w:rsid w:val="00BB4C9F"/>
    <w:rsid w:val="00BB5574"/>
    <w:rsid w:val="00BB5A2B"/>
    <w:rsid w:val="00BC12BF"/>
    <w:rsid w:val="00BC39F4"/>
    <w:rsid w:val="00BC5FF1"/>
    <w:rsid w:val="00BC6C11"/>
    <w:rsid w:val="00BD0D2A"/>
    <w:rsid w:val="00BD2C4F"/>
    <w:rsid w:val="00BD3EF3"/>
    <w:rsid w:val="00BD6930"/>
    <w:rsid w:val="00BE51FF"/>
    <w:rsid w:val="00BF3561"/>
    <w:rsid w:val="00BF556C"/>
    <w:rsid w:val="00BF6CCF"/>
    <w:rsid w:val="00BF788F"/>
    <w:rsid w:val="00C01CD8"/>
    <w:rsid w:val="00C033AB"/>
    <w:rsid w:val="00C05015"/>
    <w:rsid w:val="00C05EFD"/>
    <w:rsid w:val="00C10E68"/>
    <w:rsid w:val="00C22083"/>
    <w:rsid w:val="00C23C6D"/>
    <w:rsid w:val="00C32DEA"/>
    <w:rsid w:val="00C45053"/>
    <w:rsid w:val="00C50A91"/>
    <w:rsid w:val="00C52D74"/>
    <w:rsid w:val="00C5365F"/>
    <w:rsid w:val="00C56C48"/>
    <w:rsid w:val="00C57D7F"/>
    <w:rsid w:val="00C616FD"/>
    <w:rsid w:val="00C63B58"/>
    <w:rsid w:val="00C66325"/>
    <w:rsid w:val="00C7001F"/>
    <w:rsid w:val="00C70B3F"/>
    <w:rsid w:val="00C71F16"/>
    <w:rsid w:val="00C7732E"/>
    <w:rsid w:val="00C77723"/>
    <w:rsid w:val="00C800A9"/>
    <w:rsid w:val="00C80222"/>
    <w:rsid w:val="00C82633"/>
    <w:rsid w:val="00C86826"/>
    <w:rsid w:val="00C86D2C"/>
    <w:rsid w:val="00C87195"/>
    <w:rsid w:val="00C90C76"/>
    <w:rsid w:val="00C9326D"/>
    <w:rsid w:val="00C97759"/>
    <w:rsid w:val="00CA10D7"/>
    <w:rsid w:val="00CA71D6"/>
    <w:rsid w:val="00CB09E0"/>
    <w:rsid w:val="00CB6CDA"/>
    <w:rsid w:val="00CC0679"/>
    <w:rsid w:val="00CC582B"/>
    <w:rsid w:val="00CC66AD"/>
    <w:rsid w:val="00CC69E8"/>
    <w:rsid w:val="00CC6AF3"/>
    <w:rsid w:val="00CD0A81"/>
    <w:rsid w:val="00CD2613"/>
    <w:rsid w:val="00CD5118"/>
    <w:rsid w:val="00CD5ECC"/>
    <w:rsid w:val="00CE06A2"/>
    <w:rsid w:val="00CE118B"/>
    <w:rsid w:val="00CE21C2"/>
    <w:rsid w:val="00CE231C"/>
    <w:rsid w:val="00CF0112"/>
    <w:rsid w:val="00CF34BC"/>
    <w:rsid w:val="00D0057F"/>
    <w:rsid w:val="00D07030"/>
    <w:rsid w:val="00D15F96"/>
    <w:rsid w:val="00D23E74"/>
    <w:rsid w:val="00D31DDA"/>
    <w:rsid w:val="00D43526"/>
    <w:rsid w:val="00D44D7D"/>
    <w:rsid w:val="00D52978"/>
    <w:rsid w:val="00D57E53"/>
    <w:rsid w:val="00D609C0"/>
    <w:rsid w:val="00D60F74"/>
    <w:rsid w:val="00D62076"/>
    <w:rsid w:val="00D632DC"/>
    <w:rsid w:val="00D708C3"/>
    <w:rsid w:val="00D72920"/>
    <w:rsid w:val="00D72CCC"/>
    <w:rsid w:val="00D73E22"/>
    <w:rsid w:val="00D83A08"/>
    <w:rsid w:val="00D850D0"/>
    <w:rsid w:val="00D95762"/>
    <w:rsid w:val="00D9642E"/>
    <w:rsid w:val="00DA03C5"/>
    <w:rsid w:val="00DA5E37"/>
    <w:rsid w:val="00DA76E1"/>
    <w:rsid w:val="00DA7FA2"/>
    <w:rsid w:val="00DB041B"/>
    <w:rsid w:val="00DB17B2"/>
    <w:rsid w:val="00DC0672"/>
    <w:rsid w:val="00DC1FBE"/>
    <w:rsid w:val="00DC38CE"/>
    <w:rsid w:val="00DC5CEE"/>
    <w:rsid w:val="00DC7E3C"/>
    <w:rsid w:val="00DD0726"/>
    <w:rsid w:val="00DD42DB"/>
    <w:rsid w:val="00DE276D"/>
    <w:rsid w:val="00DE6787"/>
    <w:rsid w:val="00DE7018"/>
    <w:rsid w:val="00DF5973"/>
    <w:rsid w:val="00DF738A"/>
    <w:rsid w:val="00DF7501"/>
    <w:rsid w:val="00E054EE"/>
    <w:rsid w:val="00E07F67"/>
    <w:rsid w:val="00E12A67"/>
    <w:rsid w:val="00E12E4F"/>
    <w:rsid w:val="00E13C55"/>
    <w:rsid w:val="00E149A6"/>
    <w:rsid w:val="00E14C90"/>
    <w:rsid w:val="00E16205"/>
    <w:rsid w:val="00E254D9"/>
    <w:rsid w:val="00E25ACC"/>
    <w:rsid w:val="00E3280B"/>
    <w:rsid w:val="00E43DEF"/>
    <w:rsid w:val="00E4425B"/>
    <w:rsid w:val="00E47A53"/>
    <w:rsid w:val="00E501C6"/>
    <w:rsid w:val="00E544BD"/>
    <w:rsid w:val="00E55AD1"/>
    <w:rsid w:val="00E5681D"/>
    <w:rsid w:val="00E642B3"/>
    <w:rsid w:val="00E66EBA"/>
    <w:rsid w:val="00E7049B"/>
    <w:rsid w:val="00E727BB"/>
    <w:rsid w:val="00E727F2"/>
    <w:rsid w:val="00E73A43"/>
    <w:rsid w:val="00E749F1"/>
    <w:rsid w:val="00E82A0D"/>
    <w:rsid w:val="00E87116"/>
    <w:rsid w:val="00E90F22"/>
    <w:rsid w:val="00E91833"/>
    <w:rsid w:val="00E93633"/>
    <w:rsid w:val="00E96021"/>
    <w:rsid w:val="00E97968"/>
    <w:rsid w:val="00EA4382"/>
    <w:rsid w:val="00EA7AFE"/>
    <w:rsid w:val="00EB3C20"/>
    <w:rsid w:val="00EC0B9E"/>
    <w:rsid w:val="00EC1EB5"/>
    <w:rsid w:val="00EC6B80"/>
    <w:rsid w:val="00ED0C45"/>
    <w:rsid w:val="00ED4142"/>
    <w:rsid w:val="00EE3152"/>
    <w:rsid w:val="00EF15CD"/>
    <w:rsid w:val="00EF3682"/>
    <w:rsid w:val="00EF6E21"/>
    <w:rsid w:val="00EF74D5"/>
    <w:rsid w:val="00F0239E"/>
    <w:rsid w:val="00F07EFD"/>
    <w:rsid w:val="00F1164D"/>
    <w:rsid w:val="00F1200D"/>
    <w:rsid w:val="00F14001"/>
    <w:rsid w:val="00F154DF"/>
    <w:rsid w:val="00F17C08"/>
    <w:rsid w:val="00F260DC"/>
    <w:rsid w:val="00F27D5C"/>
    <w:rsid w:val="00F340B8"/>
    <w:rsid w:val="00F37373"/>
    <w:rsid w:val="00F43F29"/>
    <w:rsid w:val="00F44F2A"/>
    <w:rsid w:val="00F509AE"/>
    <w:rsid w:val="00F60941"/>
    <w:rsid w:val="00F60C52"/>
    <w:rsid w:val="00F60FAC"/>
    <w:rsid w:val="00F7110B"/>
    <w:rsid w:val="00F81080"/>
    <w:rsid w:val="00F8191D"/>
    <w:rsid w:val="00F85CDD"/>
    <w:rsid w:val="00F86156"/>
    <w:rsid w:val="00F9078F"/>
    <w:rsid w:val="00F920EB"/>
    <w:rsid w:val="00F938A3"/>
    <w:rsid w:val="00F94D4D"/>
    <w:rsid w:val="00F95896"/>
    <w:rsid w:val="00FA1F1B"/>
    <w:rsid w:val="00FA24D1"/>
    <w:rsid w:val="00FA76D9"/>
    <w:rsid w:val="00FA7DDB"/>
    <w:rsid w:val="00FB0E89"/>
    <w:rsid w:val="00FB231A"/>
    <w:rsid w:val="00FB2650"/>
    <w:rsid w:val="00FB4AA9"/>
    <w:rsid w:val="00FC11BC"/>
    <w:rsid w:val="00FC1435"/>
    <w:rsid w:val="00FC45CA"/>
    <w:rsid w:val="00FC49AB"/>
    <w:rsid w:val="00FC7F0C"/>
    <w:rsid w:val="00FD4866"/>
    <w:rsid w:val="00FD4F51"/>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D354A"/>
  <w15:docId w15:val="{56BEF4FF-C943-43DF-B9AE-CC3A64E7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paragraph" w:customStyle="1" w:styleId="xl65">
    <w:name w:val="xl65"/>
    <w:basedOn w:val="Normal"/>
    <w:rsid w:val="007C0720"/>
    <w:pPr>
      <w:spacing w:before="100" w:beforeAutospacing="1" w:after="100" w:afterAutospacing="1"/>
      <w:jc w:val="right"/>
    </w:pPr>
  </w:style>
  <w:style w:type="paragraph" w:customStyle="1" w:styleId="xl68">
    <w:name w:val="xl68"/>
    <w:basedOn w:val="Normal"/>
    <w:rsid w:val="007C0720"/>
    <w:pPr>
      <w:shd w:val="clear" w:color="000000" w:fill="D9D9D9"/>
      <w:spacing w:before="100" w:beforeAutospacing="1" w:after="100" w:afterAutospacing="1"/>
    </w:pPr>
  </w:style>
  <w:style w:type="paragraph" w:styleId="NormalWeb">
    <w:name w:val="Normal (Web)"/>
    <w:basedOn w:val="Normal"/>
    <w:unhideWhenUsed/>
    <w:rsid w:val="00E544BD"/>
    <w:pPr>
      <w:spacing w:after="240" w:line="210" w:lineRule="atLeast"/>
    </w:pPr>
    <w:rPr>
      <w:rFonts w:ascii="Montserrat" w:hAnsi="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4700599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25015600">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22460059">
      <w:bodyDiv w:val="1"/>
      <w:marLeft w:val="0"/>
      <w:marRight w:val="0"/>
      <w:marTop w:val="0"/>
      <w:marBottom w:val="0"/>
      <w:divBdr>
        <w:top w:val="none" w:sz="0" w:space="0" w:color="auto"/>
        <w:left w:val="none" w:sz="0" w:space="0" w:color="auto"/>
        <w:bottom w:val="none" w:sz="0" w:space="0" w:color="auto"/>
        <w:right w:val="none" w:sz="0" w:space="0" w:color="auto"/>
      </w:divBdr>
    </w:div>
    <w:div w:id="482697909">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34828899">
      <w:bodyDiv w:val="1"/>
      <w:marLeft w:val="0"/>
      <w:marRight w:val="0"/>
      <w:marTop w:val="0"/>
      <w:marBottom w:val="0"/>
      <w:divBdr>
        <w:top w:val="none" w:sz="0" w:space="0" w:color="auto"/>
        <w:left w:val="none" w:sz="0" w:space="0" w:color="auto"/>
        <w:bottom w:val="none" w:sz="0" w:space="0" w:color="auto"/>
        <w:right w:val="none" w:sz="0" w:space="0" w:color="auto"/>
      </w:divBdr>
    </w:div>
    <w:div w:id="1139036224">
      <w:bodyDiv w:val="1"/>
      <w:marLeft w:val="0"/>
      <w:marRight w:val="0"/>
      <w:marTop w:val="0"/>
      <w:marBottom w:val="0"/>
      <w:divBdr>
        <w:top w:val="none" w:sz="0" w:space="0" w:color="auto"/>
        <w:left w:val="none" w:sz="0" w:space="0" w:color="auto"/>
        <w:bottom w:val="none" w:sz="0" w:space="0" w:color="auto"/>
        <w:right w:val="none" w:sz="0" w:space="0" w:color="auto"/>
      </w:divBdr>
    </w:div>
    <w:div w:id="1236669330">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6476749">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21496684">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91026540">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786804821">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
          <c:y val="2.7777777777777801E-2"/>
        </c:manualLayout>
      </c:layout>
      <c:overlay val="0"/>
    </c:title>
    <c:autoTitleDeleted val="0"/>
    <c:plotArea>
      <c:layout/>
      <c:barChart>
        <c:barDir val="col"/>
        <c:grouping val="clustered"/>
        <c:varyColors val="0"/>
        <c:ser>
          <c:idx val="0"/>
          <c:order val="0"/>
          <c:tx>
            <c:strRef>
              <c:f>'[Charts.xlsx]CHART FOR COMPLETIONS'!$M$6</c:f>
              <c:strCache>
                <c:ptCount val="1"/>
                <c:pt idx="0">
                  <c:v>0250 - Theatre &amp; Dance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15</c:v>
                </c:pt>
                <c:pt idx="1">
                  <c:v>13</c:v>
                </c:pt>
                <c:pt idx="2">
                  <c:v>7</c:v>
                </c:pt>
                <c:pt idx="3">
                  <c:v>4</c:v>
                </c:pt>
                <c:pt idx="4" formatCode="General">
                  <c:v>8</c:v>
                </c:pt>
                <c:pt idx="5" formatCode="General">
                  <c:v>9</c:v>
                </c:pt>
                <c:pt idx="6" formatCode="General">
                  <c:v>7</c:v>
                </c:pt>
              </c:numCache>
            </c:numRef>
          </c:val>
        </c:ser>
        <c:ser>
          <c:idx val="1"/>
          <c:order val="1"/>
          <c:tx>
            <c:strRef>
              <c:f>'[Charts.xlsx]CHART FOR COMPLETIONS'!$M$7</c:f>
              <c:strCache>
                <c:ptCount val="1"/>
                <c:pt idx="0">
                  <c:v>0376 - African Studies Program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230367272"/>
        <c:axId val="230367664"/>
      </c:barChart>
      <c:catAx>
        <c:axId val="230367272"/>
        <c:scaling>
          <c:orientation val="minMax"/>
        </c:scaling>
        <c:delete val="0"/>
        <c:axPos val="b"/>
        <c:numFmt formatCode="General" sourceLinked="0"/>
        <c:majorTickMark val="out"/>
        <c:minorTickMark val="none"/>
        <c:tickLblPos val="nextTo"/>
        <c:crossAx val="230367664"/>
        <c:crosses val="autoZero"/>
        <c:auto val="1"/>
        <c:lblAlgn val="ctr"/>
        <c:lblOffset val="100"/>
        <c:noMultiLvlLbl val="0"/>
      </c:catAx>
      <c:valAx>
        <c:axId val="23036766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3036727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Theatre Degrees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0250 Theatre &amp; Dance</c:v>
                </c:pt>
              </c:strCache>
            </c:strRef>
          </c:tx>
          <c:spPr>
            <a:solidFill>
              <a:schemeClr val="accent1"/>
            </a:solidFill>
            <a:ln>
              <a:noFill/>
            </a:ln>
            <a:effectLst/>
          </c:spPr>
          <c:invertIfNegative val="0"/>
          <c:dLbls>
            <c:dLbl>
              <c:idx val="9"/>
              <c:tx>
                <c:rich>
                  <a:bodyPr/>
                  <a:lstStyle/>
                  <a:p>
                    <a:fld id="{C082EF4B-1151-4C29-99BE-3E424D40EDC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FY 05-06</c:v>
                </c:pt>
                <c:pt idx="1">
                  <c:v>FY 06-07</c:v>
                </c:pt>
                <c:pt idx="2">
                  <c:v>FY 07-08</c:v>
                </c:pt>
                <c:pt idx="3">
                  <c:v>FY 08-09</c:v>
                </c:pt>
                <c:pt idx="4">
                  <c:v>FY 09-10</c:v>
                </c:pt>
                <c:pt idx="5">
                  <c:v>FY 10-11</c:v>
                </c:pt>
                <c:pt idx="6">
                  <c:v>FY 11-12</c:v>
                </c:pt>
                <c:pt idx="7">
                  <c:v>FY 12-13</c:v>
                </c:pt>
                <c:pt idx="8">
                  <c:v>FY 13-14</c:v>
                </c:pt>
                <c:pt idx="9">
                  <c:v>FY 14-15</c:v>
                </c:pt>
              </c:strCache>
            </c:strRef>
          </c:cat>
          <c:val>
            <c:numRef>
              <c:f>Sheet1!$B$2:$B$11</c:f>
              <c:numCache>
                <c:formatCode>General</c:formatCode>
                <c:ptCount val="10"/>
                <c:pt idx="0">
                  <c:v>6</c:v>
                </c:pt>
                <c:pt idx="1">
                  <c:v>3</c:v>
                </c:pt>
                <c:pt idx="2">
                  <c:v>9</c:v>
                </c:pt>
                <c:pt idx="3">
                  <c:v>6</c:v>
                </c:pt>
                <c:pt idx="4">
                  <c:v>6</c:v>
                </c:pt>
                <c:pt idx="5">
                  <c:v>2</c:v>
                </c:pt>
                <c:pt idx="6">
                  <c:v>8</c:v>
                </c:pt>
                <c:pt idx="7">
                  <c:v>9</c:v>
                </c:pt>
                <c:pt idx="8">
                  <c:v>7</c:v>
                </c:pt>
                <c:pt idx="9">
                  <c:v>10</c:v>
                </c:pt>
              </c:numCache>
            </c:numRef>
          </c:val>
        </c:ser>
        <c:dLbls>
          <c:dLblPos val="outEnd"/>
          <c:showLegendKey val="0"/>
          <c:showVal val="1"/>
          <c:showCatName val="0"/>
          <c:showSerName val="0"/>
          <c:showPercent val="0"/>
          <c:showBubbleSize val="0"/>
        </c:dLbls>
        <c:gapWidth val="219"/>
        <c:overlap val="-27"/>
        <c:axId val="230368448"/>
        <c:axId val="230368840"/>
      </c:barChart>
      <c:catAx>
        <c:axId val="2303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368840"/>
        <c:crosses val="autoZero"/>
        <c:auto val="1"/>
        <c:lblAlgn val="ctr"/>
        <c:lblOffset val="100"/>
        <c:noMultiLvlLbl val="0"/>
      </c:catAx>
      <c:valAx>
        <c:axId val="230368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36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0250 - Theatre &amp; Dance</c:v>
                </c:pt>
              </c:strCache>
            </c:strRef>
          </c:tx>
          <c:invertIfNegative val="0"/>
          <c:dLbls>
            <c:dLbl>
              <c:idx val="0"/>
              <c:layout>
                <c:manualLayout>
                  <c:x val="1.89933523266857E-3"/>
                  <c:y val="9.2592592592592605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E-3"/>
                  <c:y val="-9.259259259259260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7E-3"/>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7E-3"/>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E-3"/>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E-3"/>
                  <c:y val="4.629265091863519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0.81100000000000005</c:v>
                </c:pt>
                <c:pt idx="1">
                  <c:v>0.754</c:v>
                </c:pt>
                <c:pt idx="2">
                  <c:v>0.755</c:v>
                </c:pt>
                <c:pt idx="3">
                  <c:v>0.74399999999999999</c:v>
                </c:pt>
                <c:pt idx="4">
                  <c:v>0.78500000000000003</c:v>
                </c:pt>
                <c:pt idx="5">
                  <c:v>0.76</c:v>
                </c:pt>
                <c:pt idx="6">
                  <c:v>0.71899999999999997</c:v>
                </c:pt>
              </c:numCache>
            </c:numRef>
          </c:val>
        </c:ser>
        <c:ser>
          <c:idx val="1"/>
          <c:order val="1"/>
          <c:tx>
            <c:strRef>
              <c:f>'CHART FOR SUCCESS RATES'!$C$8</c:f>
              <c:strCache>
                <c:ptCount val="1"/>
                <c:pt idx="0">
                  <c:v>LCS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0.70199999999999996</c:v>
                </c:pt>
                <c:pt idx="1">
                  <c:v>0.69399999999999995</c:v>
                </c:pt>
                <c:pt idx="2">
                  <c:v>0.68600000000000005</c:v>
                </c:pt>
                <c:pt idx="3">
                  <c:v>0.67600000000000005</c:v>
                </c:pt>
                <c:pt idx="4">
                  <c:v>0.69</c:v>
                </c:pt>
                <c:pt idx="5" formatCode="0.00%">
                  <c:v>0.67300000000000004</c:v>
                </c:pt>
                <c:pt idx="6" formatCode="0.00%">
                  <c:v>0.69399999999999995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230370016"/>
        <c:axId val="230370408"/>
      </c:barChart>
      <c:catAx>
        <c:axId val="230370016"/>
        <c:scaling>
          <c:orientation val="minMax"/>
        </c:scaling>
        <c:delete val="0"/>
        <c:axPos val="b"/>
        <c:numFmt formatCode="General" sourceLinked="1"/>
        <c:majorTickMark val="none"/>
        <c:minorTickMark val="none"/>
        <c:tickLblPos val="nextTo"/>
        <c:crossAx val="230370408"/>
        <c:crosses val="autoZero"/>
        <c:auto val="1"/>
        <c:lblAlgn val="ctr"/>
        <c:lblOffset val="100"/>
        <c:noMultiLvlLbl val="0"/>
      </c:catAx>
      <c:valAx>
        <c:axId val="23037040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3037001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3E50-2D6D-4FF2-A4DD-2F93CA0C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24</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Neuerer, Gina</cp:lastModifiedBy>
  <cp:revision>62</cp:revision>
  <cp:lastPrinted>2015-06-02T19:42:00Z</cp:lastPrinted>
  <dcterms:created xsi:type="dcterms:W3CDTF">2015-05-21T19:37:00Z</dcterms:created>
  <dcterms:modified xsi:type="dcterms:W3CDTF">2015-07-01T16:07:00Z</dcterms:modified>
</cp:coreProperties>
</file>