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D3" w:rsidRDefault="00B646D3" w:rsidP="00B646D3">
      <w:pPr>
        <w:jc w:val="center"/>
        <w:rPr>
          <w:rFonts w:ascii="Arial" w:hAnsi="Arial" w:cs="Arial"/>
          <w:b/>
          <w:color w:val="000000" w:themeColor="text1"/>
          <w:sz w:val="28"/>
        </w:rPr>
      </w:pPr>
      <w:r>
        <w:rPr>
          <w:rFonts w:ascii="Arial" w:hAnsi="Arial" w:cs="Arial"/>
          <w:b/>
          <w:color w:val="000000" w:themeColor="text1"/>
          <w:sz w:val="28"/>
        </w:rPr>
        <w:t>Sinclair Community College</w:t>
      </w:r>
    </w:p>
    <w:p w:rsidR="00B646D3" w:rsidRDefault="00B646D3" w:rsidP="00B646D3">
      <w:pPr>
        <w:jc w:val="center"/>
        <w:rPr>
          <w:rFonts w:ascii="Arial" w:hAnsi="Arial" w:cs="Arial"/>
          <w:b/>
          <w:color w:val="000000" w:themeColor="text1"/>
        </w:rPr>
      </w:pPr>
      <w:r>
        <w:rPr>
          <w:rFonts w:ascii="Arial" w:hAnsi="Arial" w:cs="Arial"/>
          <w:b/>
          <w:color w:val="000000" w:themeColor="text1"/>
        </w:rPr>
        <w:t>Continuous Improvement Annual Update 2014-15</w:t>
      </w:r>
    </w:p>
    <w:p w:rsidR="00B646D3" w:rsidRDefault="00B646D3" w:rsidP="00B646D3">
      <w:pPr>
        <w:jc w:val="center"/>
        <w:rPr>
          <w:rFonts w:ascii="Arial" w:hAnsi="Arial" w:cs="Arial"/>
          <w:b/>
          <w:color w:val="000000" w:themeColor="text1"/>
        </w:rPr>
      </w:pPr>
    </w:p>
    <w:p w:rsidR="00B646D3" w:rsidRDefault="00B646D3" w:rsidP="00B646D3">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rsidR="00B646D3" w:rsidRDefault="00B646D3" w:rsidP="00B646D3">
      <w:pPr>
        <w:jc w:val="center"/>
        <w:rPr>
          <w:rFonts w:ascii="Arial" w:hAnsi="Arial" w:cs="Arial"/>
          <w:b/>
          <w:color w:val="000000" w:themeColor="text1"/>
        </w:rPr>
      </w:pPr>
    </w:p>
    <w:p w:rsidR="00B646D3" w:rsidRDefault="00B646D3" w:rsidP="00B646D3">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D575EE">
        <w:rPr>
          <w:rFonts w:ascii="Arial" w:hAnsi="Arial" w:cs="Arial"/>
          <w:color w:val="000000" w:themeColor="text1"/>
          <w:u w:val="single"/>
        </w:rPr>
        <w:t xml:space="preserve">0340 – Modern Languages, </w:t>
      </w:r>
      <w:r w:rsidR="00C50A91">
        <w:rPr>
          <w:rFonts w:ascii="Arial" w:hAnsi="Arial" w:cs="Arial"/>
          <w:color w:val="000000" w:themeColor="text1"/>
          <w:u w:val="single"/>
        </w:rPr>
        <w:t>03</w:t>
      </w:r>
      <w:r w:rsidR="00C009CE">
        <w:rPr>
          <w:rFonts w:ascii="Arial" w:hAnsi="Arial" w:cs="Arial"/>
          <w:color w:val="000000" w:themeColor="text1"/>
          <w:u w:val="single"/>
        </w:rPr>
        <w:t>84</w:t>
      </w:r>
      <w:r w:rsidR="00C50A91">
        <w:rPr>
          <w:rFonts w:ascii="Arial" w:hAnsi="Arial" w:cs="Arial"/>
          <w:color w:val="000000" w:themeColor="text1"/>
          <w:u w:val="single"/>
        </w:rPr>
        <w:t xml:space="preserve"> – </w:t>
      </w:r>
      <w:r w:rsidR="00C009CE">
        <w:rPr>
          <w:rFonts w:ascii="Arial" w:hAnsi="Arial" w:cs="Arial"/>
          <w:color w:val="000000" w:themeColor="text1"/>
          <w:u w:val="single"/>
        </w:rPr>
        <w:t>Political Science</w:t>
      </w:r>
      <w:r w:rsidR="00C50A91">
        <w:rPr>
          <w:rFonts w:ascii="Arial" w:hAnsi="Arial" w:cs="Arial"/>
          <w:color w:val="000000" w:themeColor="text1"/>
          <w:u w:val="single"/>
        </w:rPr>
        <w:t xml:space="preserve">, </w:t>
      </w:r>
      <w:r w:rsidR="00C009CE">
        <w:rPr>
          <w:rFonts w:ascii="Arial" w:hAnsi="Arial" w:cs="Arial"/>
          <w:color w:val="000000" w:themeColor="text1"/>
          <w:u w:val="single"/>
        </w:rPr>
        <w:t>0385</w:t>
      </w:r>
      <w:r w:rsidR="00C50A91">
        <w:rPr>
          <w:rFonts w:ascii="Arial" w:hAnsi="Arial" w:cs="Arial"/>
          <w:color w:val="000000" w:themeColor="text1"/>
          <w:u w:val="single"/>
        </w:rPr>
        <w:t xml:space="preserve"> – </w:t>
      </w:r>
      <w:r w:rsidR="00C009CE">
        <w:rPr>
          <w:rFonts w:ascii="Arial" w:hAnsi="Arial" w:cs="Arial"/>
          <w:color w:val="000000" w:themeColor="text1"/>
          <w:u w:val="single"/>
        </w:rPr>
        <w:t>History/Humanities/Philosophy</w:t>
      </w:r>
      <w:r w:rsidR="001026AA" w:rsidRPr="00CD2613">
        <w:rPr>
          <w:rFonts w:ascii="Arial" w:hAnsi="Arial" w:cs="Arial"/>
          <w:color w:val="000000" w:themeColor="text1"/>
          <w:u w:val="single"/>
        </w:rPr>
        <w:tab/>
      </w:r>
    </w:p>
    <w:p w:rsidR="00666CB1" w:rsidRDefault="00666CB1" w:rsidP="00666CB1">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2013-2014</w:t>
      </w:r>
    </w:p>
    <w:p w:rsidR="00666CB1" w:rsidRDefault="00666CB1" w:rsidP="00666CB1">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2018-2019</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3D4ADD" w:rsidRDefault="003D4ADD" w:rsidP="00585766">
      <w:pPr>
        <w:rPr>
          <w:rFonts w:ascii="Arial" w:hAnsi="Arial" w:cs="Arial"/>
          <w:noProof/>
          <w:color w:val="000000" w:themeColor="text1"/>
        </w:rPr>
      </w:pPr>
    </w:p>
    <w:p w:rsidR="003D4ADD" w:rsidRDefault="003D4ADD" w:rsidP="00585766">
      <w:pPr>
        <w:rPr>
          <w:rFonts w:ascii="Arial" w:hAnsi="Arial" w:cs="Arial"/>
          <w:noProof/>
          <w:color w:val="000000" w:themeColor="text1"/>
        </w:rPr>
      </w:pPr>
    </w:p>
    <w:p w:rsidR="00637591" w:rsidRDefault="003567A2" w:rsidP="00585766">
      <w:pPr>
        <w:rPr>
          <w:rFonts w:ascii="Arial" w:hAnsi="Arial" w:cs="Arial"/>
          <w:noProof/>
          <w:color w:val="000000" w:themeColor="text1"/>
        </w:rPr>
      </w:pPr>
      <w:r>
        <w:rPr>
          <w:noProof/>
        </w:rPr>
        <w:drawing>
          <wp:inline distT="0" distB="0" distL="0" distR="0" wp14:anchorId="548F3B87" wp14:editId="08011D56">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3567A2" w:rsidRDefault="003567A2" w:rsidP="00585766">
      <w:pPr>
        <w:rPr>
          <w:rFonts w:ascii="Arial" w:hAnsi="Arial" w:cs="Arial"/>
          <w:color w:val="000000" w:themeColor="text1"/>
        </w:rPr>
      </w:pPr>
      <w:r>
        <w:rPr>
          <w:noProof/>
        </w:rPr>
        <w:lastRenderedPageBreak/>
        <w:drawing>
          <wp:inline distT="0" distB="0" distL="0" distR="0" wp14:anchorId="1AFE08D8" wp14:editId="61E559E7">
            <wp:extent cx="5857875" cy="2743200"/>
            <wp:effectExtent l="19050" t="1905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FC4B91" w:rsidRPr="00100B61" w:rsidRDefault="00FC4B91">
      <w:pPr>
        <w:spacing w:after="200" w:line="276" w:lineRule="auto"/>
        <w:rPr>
          <w:rFonts w:asciiTheme="minorHAnsi" w:hAnsiTheme="minorHAnsi" w:cs="Arial"/>
          <w:b/>
          <w:color w:val="000000" w:themeColor="text1"/>
        </w:rPr>
      </w:pPr>
      <w:r w:rsidRPr="00100B61">
        <w:rPr>
          <w:rFonts w:asciiTheme="minorHAnsi" w:hAnsiTheme="minorHAnsi" w:cs="Arial"/>
          <w:b/>
          <w:color w:val="000000" w:themeColor="text1"/>
        </w:rPr>
        <w:t>Modern Languages seems to represent an outlier here, with a modest upward trend over the past two FYs.  The trend is the result of the continued strength and growth of the Spanish language program.  This trend is likely to continue, though there is room for growth in other languages</w:t>
      </w:r>
      <w:r w:rsidR="00E10A2A" w:rsidRPr="00100B61">
        <w:rPr>
          <w:rFonts w:asciiTheme="minorHAnsi" w:hAnsiTheme="minorHAnsi" w:cs="Arial"/>
          <w:b/>
          <w:color w:val="000000" w:themeColor="text1"/>
        </w:rPr>
        <w:t>, particularly French.</w:t>
      </w:r>
    </w:p>
    <w:p w:rsidR="00FC4B91" w:rsidRPr="00100B61" w:rsidRDefault="00FC4B91" w:rsidP="008A1796">
      <w:pPr>
        <w:spacing w:after="200" w:line="276" w:lineRule="auto"/>
        <w:rPr>
          <w:rFonts w:asciiTheme="minorHAnsi" w:hAnsiTheme="minorHAnsi" w:cs="Arial"/>
          <w:b/>
          <w:color w:val="000000" w:themeColor="text1"/>
        </w:rPr>
      </w:pPr>
      <w:r w:rsidRPr="00100B61">
        <w:rPr>
          <w:rFonts w:asciiTheme="minorHAnsi" w:hAnsiTheme="minorHAnsi" w:cs="Arial"/>
          <w:b/>
          <w:color w:val="000000" w:themeColor="text1"/>
        </w:rPr>
        <w:t>In other programs, t</w:t>
      </w:r>
      <w:r w:rsidR="008A1796" w:rsidRPr="00100B61">
        <w:rPr>
          <w:rFonts w:asciiTheme="minorHAnsi" w:hAnsiTheme="minorHAnsi" w:cs="Arial"/>
          <w:b/>
          <w:color w:val="000000" w:themeColor="text1"/>
        </w:rPr>
        <w:t>he data</w:t>
      </w:r>
      <w:r w:rsidRPr="00100B61">
        <w:rPr>
          <w:rFonts w:asciiTheme="minorHAnsi" w:hAnsiTheme="minorHAnsi" w:cs="Arial"/>
          <w:b/>
          <w:color w:val="000000" w:themeColor="text1"/>
        </w:rPr>
        <w:t xml:space="preserve"> does not seem to </w:t>
      </w:r>
      <w:r w:rsidR="00E10A2A" w:rsidRPr="00100B61">
        <w:rPr>
          <w:rFonts w:asciiTheme="minorHAnsi" w:hAnsiTheme="minorHAnsi" w:cs="Arial"/>
          <w:b/>
          <w:color w:val="000000" w:themeColor="text1"/>
        </w:rPr>
        <w:t xml:space="preserve">suggest </w:t>
      </w:r>
      <w:r w:rsidRPr="00100B61">
        <w:rPr>
          <w:rFonts w:asciiTheme="minorHAnsi" w:hAnsiTheme="minorHAnsi" w:cs="Arial"/>
          <w:b/>
          <w:color w:val="000000" w:themeColor="text1"/>
        </w:rPr>
        <w:t xml:space="preserve">a </w:t>
      </w:r>
      <w:r w:rsidR="008A1796" w:rsidRPr="00100B61">
        <w:rPr>
          <w:rFonts w:asciiTheme="minorHAnsi" w:hAnsiTheme="minorHAnsi" w:cs="Arial"/>
          <w:b/>
          <w:color w:val="000000" w:themeColor="text1"/>
        </w:rPr>
        <w:t xml:space="preserve">significant trend up or down in over the past few years.  Beginning in 2012-13 History, Political Science, Philosophy, or Modern Languages became programs in their own right (rather than just areas of emphasis).  While we know anecdotally that </w:t>
      </w:r>
      <w:r w:rsidR="00E10A2A" w:rsidRPr="00100B61">
        <w:rPr>
          <w:rFonts w:asciiTheme="minorHAnsi" w:hAnsiTheme="minorHAnsi" w:cs="Arial"/>
          <w:b/>
          <w:color w:val="000000" w:themeColor="text1"/>
        </w:rPr>
        <w:t xml:space="preserve">the </w:t>
      </w:r>
      <w:r w:rsidR="008A1796" w:rsidRPr="00100B61">
        <w:rPr>
          <w:rFonts w:asciiTheme="minorHAnsi" w:hAnsiTheme="minorHAnsi" w:cs="Arial"/>
          <w:b/>
          <w:color w:val="000000" w:themeColor="text1"/>
        </w:rPr>
        <w:t xml:space="preserve">increased </w:t>
      </w:r>
      <w:r w:rsidRPr="00100B61">
        <w:rPr>
          <w:rFonts w:asciiTheme="minorHAnsi" w:hAnsiTheme="minorHAnsi" w:cs="Arial"/>
          <w:b/>
          <w:color w:val="000000" w:themeColor="text1"/>
        </w:rPr>
        <w:t xml:space="preserve">visibility for those </w:t>
      </w:r>
      <w:r w:rsidR="008A1796" w:rsidRPr="00100B61">
        <w:rPr>
          <w:rFonts w:asciiTheme="minorHAnsi" w:hAnsiTheme="minorHAnsi" w:cs="Arial"/>
          <w:b/>
          <w:color w:val="000000" w:themeColor="text1"/>
        </w:rPr>
        <w:t>programs in college publications and on the college website</w:t>
      </w:r>
      <w:r w:rsidRPr="00100B61">
        <w:rPr>
          <w:rFonts w:asciiTheme="minorHAnsi" w:hAnsiTheme="minorHAnsi" w:cs="Arial"/>
          <w:b/>
          <w:color w:val="000000" w:themeColor="text1"/>
        </w:rPr>
        <w:t xml:space="preserve"> </w:t>
      </w:r>
      <w:r w:rsidR="008A1796" w:rsidRPr="00100B61">
        <w:rPr>
          <w:rFonts w:asciiTheme="minorHAnsi" w:hAnsiTheme="minorHAnsi" w:cs="Arial"/>
          <w:b/>
          <w:color w:val="000000" w:themeColor="text1"/>
        </w:rPr>
        <w:t>ha</w:t>
      </w:r>
      <w:r w:rsidR="00E10A2A" w:rsidRPr="00100B61">
        <w:rPr>
          <w:rFonts w:asciiTheme="minorHAnsi" w:hAnsiTheme="minorHAnsi" w:cs="Arial"/>
          <w:b/>
          <w:color w:val="000000" w:themeColor="text1"/>
        </w:rPr>
        <w:t>s</w:t>
      </w:r>
      <w:r w:rsidR="008A1796" w:rsidRPr="00100B61">
        <w:rPr>
          <w:rFonts w:asciiTheme="minorHAnsi" w:hAnsiTheme="minorHAnsi" w:cs="Arial"/>
          <w:b/>
          <w:color w:val="000000" w:themeColor="text1"/>
        </w:rPr>
        <w:t xml:space="preserve"> brought more attention to </w:t>
      </w:r>
      <w:r w:rsidRPr="00100B61">
        <w:rPr>
          <w:rFonts w:asciiTheme="minorHAnsi" w:hAnsiTheme="minorHAnsi" w:cs="Arial"/>
          <w:b/>
          <w:color w:val="000000" w:themeColor="text1"/>
        </w:rPr>
        <w:t>those programs, we have not seen a significant shift in the data.</w:t>
      </w:r>
    </w:p>
    <w:p w:rsidR="0074591F" w:rsidRDefault="00FC4B91" w:rsidP="008A1796">
      <w:pPr>
        <w:spacing w:after="200" w:line="276" w:lineRule="auto"/>
        <w:rPr>
          <w:rFonts w:ascii="Arial" w:hAnsi="Arial" w:cs="Arial"/>
          <w:b/>
          <w:color w:val="000000" w:themeColor="text1"/>
        </w:rPr>
      </w:pPr>
      <w:r w:rsidRPr="00100B61">
        <w:rPr>
          <w:rFonts w:asciiTheme="minorHAnsi" w:hAnsiTheme="minorHAnsi" w:cs="Arial"/>
          <w:b/>
          <w:color w:val="000000" w:themeColor="text1"/>
        </w:rPr>
        <w:t xml:space="preserve">The data also suggests a clear possibility for growth in </w:t>
      </w:r>
      <w:r w:rsidR="00E10A2A" w:rsidRPr="00100B61">
        <w:rPr>
          <w:rFonts w:asciiTheme="minorHAnsi" w:hAnsiTheme="minorHAnsi" w:cs="Arial"/>
          <w:b/>
          <w:color w:val="000000" w:themeColor="text1"/>
        </w:rPr>
        <w:t>P</w:t>
      </w:r>
      <w:r w:rsidRPr="00100B61">
        <w:rPr>
          <w:rFonts w:asciiTheme="minorHAnsi" w:hAnsiTheme="minorHAnsi" w:cs="Arial"/>
          <w:b/>
          <w:color w:val="000000" w:themeColor="text1"/>
        </w:rPr>
        <w:t xml:space="preserve">olitical </w:t>
      </w:r>
      <w:r w:rsidR="00E10A2A" w:rsidRPr="00100B61">
        <w:rPr>
          <w:rFonts w:asciiTheme="minorHAnsi" w:hAnsiTheme="minorHAnsi" w:cs="Arial"/>
          <w:b/>
          <w:color w:val="000000" w:themeColor="text1"/>
        </w:rPr>
        <w:t>S</w:t>
      </w:r>
      <w:r w:rsidRPr="00100B61">
        <w:rPr>
          <w:rFonts w:asciiTheme="minorHAnsi" w:hAnsiTheme="minorHAnsi" w:cs="Arial"/>
          <w:b/>
          <w:color w:val="000000" w:themeColor="text1"/>
        </w:rPr>
        <w:t>cience.</w:t>
      </w:r>
      <w:r w:rsidR="00E10A2A" w:rsidRPr="00100B61">
        <w:rPr>
          <w:rFonts w:asciiTheme="minorHAnsi" w:hAnsiTheme="minorHAnsi" w:cs="Arial"/>
          <w:b/>
          <w:color w:val="000000" w:themeColor="text1"/>
        </w:rPr>
        <w:t xml:space="preserve">  There is reason to believe those </w:t>
      </w:r>
      <w:r w:rsidR="0074591F" w:rsidRPr="00100B61">
        <w:rPr>
          <w:rFonts w:asciiTheme="minorHAnsi" w:hAnsiTheme="minorHAnsi" w:cs="Arial"/>
          <w:b/>
          <w:color w:val="000000" w:themeColor="text1"/>
        </w:rPr>
        <w:t>completion</w:t>
      </w:r>
      <w:r w:rsidR="00E10A2A" w:rsidRPr="00100B61">
        <w:rPr>
          <w:rFonts w:asciiTheme="minorHAnsi" w:hAnsiTheme="minorHAnsi" w:cs="Arial"/>
          <w:b/>
          <w:color w:val="000000" w:themeColor="text1"/>
        </w:rPr>
        <w:t xml:space="preserve"> trends may increase, as recent Ohio legislation has mandated more vigorous </w:t>
      </w:r>
      <w:r w:rsidR="0074591F" w:rsidRPr="00100B61">
        <w:rPr>
          <w:rFonts w:asciiTheme="minorHAnsi" w:hAnsiTheme="minorHAnsi" w:cs="Arial"/>
          <w:b/>
          <w:color w:val="000000" w:themeColor="text1"/>
        </w:rPr>
        <w:t>state and local government courses in secondary schools.</w:t>
      </w:r>
    </w:p>
    <w:p w:rsidR="004C52FC" w:rsidRDefault="004C52FC" w:rsidP="008A1796">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3D4ADD" w:rsidRDefault="003D4ADD" w:rsidP="00585766">
      <w:pPr>
        <w:rPr>
          <w:rFonts w:ascii="Arial" w:hAnsi="Arial" w:cs="Arial"/>
          <w:color w:val="000000" w:themeColor="text1"/>
        </w:rPr>
      </w:pPr>
    </w:p>
    <w:p w:rsidR="00031876" w:rsidRDefault="00303718" w:rsidP="00585766">
      <w:pPr>
        <w:rPr>
          <w:rFonts w:ascii="Arial" w:hAnsi="Arial" w:cs="Arial"/>
          <w:color w:val="000000" w:themeColor="text1"/>
        </w:rPr>
      </w:pPr>
      <w:r>
        <w:rPr>
          <w:noProof/>
        </w:rPr>
        <w:drawing>
          <wp:inline distT="0" distB="0" distL="0" distR="0" wp14:anchorId="2CE74352" wp14:editId="35F9E1DD">
            <wp:extent cx="5943600" cy="2508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08885"/>
                    </a:xfrm>
                    <a:prstGeom prst="rect">
                      <a:avLst/>
                    </a:prstGeom>
                  </pic:spPr>
                </pic:pic>
              </a:graphicData>
            </a:graphic>
          </wp:inline>
        </w:drawing>
      </w:r>
    </w:p>
    <w:p w:rsidR="00031876" w:rsidRDefault="00031876" w:rsidP="00585766">
      <w:pPr>
        <w:rPr>
          <w:rFonts w:ascii="Arial" w:hAnsi="Arial" w:cs="Arial"/>
          <w:color w:val="000000" w:themeColor="text1"/>
        </w:rPr>
      </w:pPr>
    </w:p>
    <w:p w:rsidR="00031876" w:rsidRDefault="00303718" w:rsidP="00585766">
      <w:pPr>
        <w:rPr>
          <w:rFonts w:ascii="Arial" w:hAnsi="Arial" w:cs="Arial"/>
          <w:color w:val="000000" w:themeColor="text1"/>
        </w:rPr>
      </w:pPr>
      <w:r>
        <w:rPr>
          <w:noProof/>
        </w:rPr>
        <w:drawing>
          <wp:inline distT="0" distB="0" distL="0" distR="0" wp14:anchorId="1A7E4E2B" wp14:editId="05D0DE72">
            <wp:extent cx="5943600" cy="2505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505710"/>
                    </a:xfrm>
                    <a:prstGeom prst="rect">
                      <a:avLst/>
                    </a:prstGeom>
                  </pic:spPr>
                </pic:pic>
              </a:graphicData>
            </a:graphic>
          </wp:inline>
        </w:drawing>
      </w:r>
    </w:p>
    <w:p w:rsidR="00303718" w:rsidRDefault="00303718" w:rsidP="00585766">
      <w:pPr>
        <w:rPr>
          <w:rFonts w:ascii="Arial" w:hAnsi="Arial" w:cs="Arial"/>
          <w:color w:val="000000" w:themeColor="text1"/>
        </w:rPr>
      </w:pPr>
    </w:p>
    <w:p w:rsidR="00303718" w:rsidRDefault="00303718" w:rsidP="00585766">
      <w:pPr>
        <w:rPr>
          <w:rFonts w:ascii="Arial" w:hAnsi="Arial" w:cs="Arial"/>
          <w:color w:val="000000" w:themeColor="text1"/>
        </w:rPr>
      </w:pPr>
      <w:r>
        <w:rPr>
          <w:noProof/>
        </w:rPr>
        <w:drawing>
          <wp:inline distT="0" distB="0" distL="0" distR="0" wp14:anchorId="6CC855B8" wp14:editId="58F58A89">
            <wp:extent cx="5943600" cy="2493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493645"/>
                    </a:xfrm>
                    <a:prstGeom prst="rect">
                      <a:avLst/>
                    </a:prstGeom>
                  </pic:spPr>
                </pic:pic>
              </a:graphicData>
            </a:graphic>
          </wp:inline>
        </w:drawing>
      </w:r>
    </w:p>
    <w:p w:rsidR="00676B80" w:rsidRDefault="00676B80" w:rsidP="00585766">
      <w:pPr>
        <w:rPr>
          <w:rFonts w:ascii="Arial" w:hAnsi="Arial" w:cs="Arial"/>
          <w:color w:val="000000" w:themeColor="text1"/>
        </w:rPr>
      </w:pPr>
    </w:p>
    <w:p w:rsidR="00676B80" w:rsidRDefault="00676B80"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1D3E1D" w:rsidRPr="00100B61" w:rsidRDefault="00DC4939" w:rsidP="0074591F">
      <w:pPr>
        <w:pStyle w:val="ListParagraph"/>
        <w:ind w:left="0"/>
        <w:rPr>
          <w:rFonts w:asciiTheme="minorHAnsi" w:hAnsiTheme="minorHAnsi" w:cs="Arial"/>
          <w:color w:val="000000" w:themeColor="text1"/>
        </w:rPr>
      </w:pPr>
      <w:r w:rsidRPr="00100B61">
        <w:rPr>
          <w:rFonts w:asciiTheme="minorHAnsi" w:hAnsiTheme="minorHAnsi" w:cs="Arial"/>
          <w:b/>
          <w:color w:val="000000" w:themeColor="text1"/>
        </w:rPr>
        <w:t xml:space="preserve">The </w:t>
      </w:r>
      <w:r w:rsidR="00100B61">
        <w:rPr>
          <w:rFonts w:asciiTheme="minorHAnsi" w:hAnsiTheme="minorHAnsi" w:cs="Arial"/>
          <w:b/>
          <w:color w:val="000000" w:themeColor="text1"/>
        </w:rPr>
        <w:t>rates</w:t>
      </w:r>
      <w:r w:rsidRPr="00100B61">
        <w:rPr>
          <w:rFonts w:asciiTheme="minorHAnsi" w:hAnsiTheme="minorHAnsi" w:cs="Arial"/>
          <w:b/>
          <w:color w:val="000000" w:themeColor="text1"/>
        </w:rPr>
        <w:t xml:space="preserve"> provided for the above disciplines suggest a comparable rate with the college overall.  </w:t>
      </w:r>
      <w:r w:rsidR="00472CFB" w:rsidRPr="00100B61">
        <w:rPr>
          <w:rFonts w:asciiTheme="minorHAnsi" w:hAnsiTheme="minorHAnsi" w:cs="Arial"/>
          <w:b/>
          <w:color w:val="000000" w:themeColor="text1"/>
        </w:rPr>
        <w:t>Despite an occasional outlying year, courses within Modern Languages have strong success rates</w:t>
      </w:r>
      <w:r w:rsidR="00CE2ED7" w:rsidRPr="00100B61">
        <w:rPr>
          <w:rFonts w:asciiTheme="minorHAnsi" w:hAnsiTheme="minorHAnsi" w:cs="Arial"/>
          <w:b/>
          <w:color w:val="000000" w:themeColor="text1"/>
        </w:rPr>
        <w:t xml:space="preserve"> that have improved slightly over the last FY.  The slightly higher than collegewide rate for Political Science are expected to continue, though not necessarily grow.  </w:t>
      </w:r>
      <w:r w:rsidR="0074591F" w:rsidRPr="00100B61">
        <w:rPr>
          <w:rFonts w:asciiTheme="minorHAnsi" w:hAnsiTheme="minorHAnsi" w:cs="Arial"/>
          <w:b/>
          <w:color w:val="000000" w:themeColor="text1"/>
        </w:rPr>
        <w:t>The department’s high enrollment courses are basically the same ones used most frequently by other departments. They include HIS 1</w:t>
      </w:r>
      <w:r w:rsidR="00CE2ED7" w:rsidRPr="00100B61">
        <w:rPr>
          <w:rFonts w:asciiTheme="minorHAnsi" w:hAnsiTheme="minorHAnsi" w:cs="Arial"/>
          <w:b/>
          <w:color w:val="000000" w:themeColor="text1"/>
        </w:rPr>
        <w:t>1</w:t>
      </w:r>
      <w:r w:rsidR="0074591F" w:rsidRPr="00100B61">
        <w:rPr>
          <w:rFonts w:asciiTheme="minorHAnsi" w:hAnsiTheme="minorHAnsi" w:cs="Arial"/>
          <w:b/>
          <w:color w:val="000000" w:themeColor="text1"/>
        </w:rPr>
        <w:t>01, 1</w:t>
      </w:r>
      <w:r w:rsidR="00CE2ED7" w:rsidRPr="00100B61">
        <w:rPr>
          <w:rFonts w:asciiTheme="minorHAnsi" w:hAnsiTheme="minorHAnsi" w:cs="Arial"/>
          <w:b/>
          <w:color w:val="000000" w:themeColor="text1"/>
        </w:rPr>
        <w:t>1</w:t>
      </w:r>
      <w:r w:rsidR="0074591F" w:rsidRPr="00100B61">
        <w:rPr>
          <w:rFonts w:asciiTheme="minorHAnsi" w:hAnsiTheme="minorHAnsi" w:cs="Arial"/>
          <w:b/>
          <w:color w:val="000000" w:themeColor="text1"/>
        </w:rPr>
        <w:t xml:space="preserve">02, and </w:t>
      </w:r>
      <w:r w:rsidR="00CE2ED7" w:rsidRPr="00100B61">
        <w:rPr>
          <w:rFonts w:asciiTheme="minorHAnsi" w:hAnsiTheme="minorHAnsi" w:cs="Arial"/>
          <w:b/>
          <w:color w:val="000000" w:themeColor="text1"/>
        </w:rPr>
        <w:t xml:space="preserve">1111.  </w:t>
      </w:r>
      <w:r w:rsidR="0074591F" w:rsidRPr="00100B61">
        <w:rPr>
          <w:rFonts w:asciiTheme="minorHAnsi" w:hAnsiTheme="minorHAnsi" w:cs="Arial"/>
          <w:b/>
          <w:color w:val="000000" w:themeColor="text1"/>
        </w:rPr>
        <w:t xml:space="preserve">HUM 125 </w:t>
      </w:r>
      <w:r w:rsidR="00CE2ED7" w:rsidRPr="00100B61">
        <w:rPr>
          <w:rFonts w:asciiTheme="minorHAnsi" w:hAnsiTheme="minorHAnsi" w:cs="Arial"/>
          <w:b/>
          <w:color w:val="000000" w:themeColor="text1"/>
        </w:rPr>
        <w:t xml:space="preserve">and HUM 130 remain strong and should continue to grow </w:t>
      </w:r>
      <w:r w:rsidR="0074591F" w:rsidRPr="00100B61">
        <w:rPr>
          <w:rFonts w:asciiTheme="minorHAnsi" w:hAnsiTheme="minorHAnsi" w:cs="Arial"/>
          <w:b/>
          <w:color w:val="000000" w:themeColor="text1"/>
        </w:rPr>
        <w:t xml:space="preserve">with </w:t>
      </w:r>
      <w:r w:rsidR="00CE2ED7" w:rsidRPr="00100B61">
        <w:rPr>
          <w:rFonts w:asciiTheme="minorHAnsi" w:hAnsiTheme="minorHAnsi" w:cs="Arial"/>
          <w:b/>
          <w:color w:val="000000" w:themeColor="text1"/>
        </w:rPr>
        <w:t xml:space="preserve">students in technical programs.  </w:t>
      </w:r>
      <w:r w:rsidR="00D75FE9" w:rsidRPr="00100B61">
        <w:rPr>
          <w:rFonts w:asciiTheme="minorHAnsi" w:hAnsiTheme="minorHAnsi" w:cs="Arial"/>
          <w:b/>
          <w:color w:val="000000" w:themeColor="text1"/>
        </w:rPr>
        <w:t xml:space="preserve">The rate for Philosophy remains stable, led by </w:t>
      </w:r>
      <w:r w:rsidR="0074591F" w:rsidRPr="00100B61">
        <w:rPr>
          <w:rFonts w:asciiTheme="minorHAnsi" w:hAnsiTheme="minorHAnsi" w:cs="Arial"/>
          <w:b/>
          <w:color w:val="000000" w:themeColor="text1"/>
        </w:rPr>
        <w:t>PHI 205</w:t>
      </w:r>
      <w:r w:rsidR="00D75FE9" w:rsidRPr="00100B61">
        <w:rPr>
          <w:rFonts w:asciiTheme="minorHAnsi" w:hAnsiTheme="minorHAnsi" w:cs="Arial"/>
          <w:b/>
          <w:color w:val="000000" w:themeColor="text1"/>
        </w:rPr>
        <w:t xml:space="preserve">.  </w:t>
      </w: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100B61" w:rsidRDefault="00100B61" w:rsidP="008258DA">
      <w:pPr>
        <w:rPr>
          <w:rFonts w:ascii="Arial" w:hAnsi="Arial" w:cs="Arial"/>
          <w:color w:val="000000" w:themeColor="text1"/>
        </w:rPr>
      </w:pPr>
    </w:p>
    <w:p w:rsidR="00100B61" w:rsidRPr="00F04829" w:rsidRDefault="00F04829" w:rsidP="008258DA">
      <w:pPr>
        <w:rPr>
          <w:rFonts w:asciiTheme="minorHAnsi" w:hAnsiTheme="minorHAnsi" w:cs="Arial"/>
          <w:b/>
          <w:color w:val="000000" w:themeColor="text1"/>
        </w:rPr>
      </w:pPr>
      <w:r>
        <w:rPr>
          <w:rFonts w:asciiTheme="minorHAnsi" w:hAnsiTheme="minorHAnsi"/>
          <w:b/>
        </w:rPr>
        <w:t>Since f</w:t>
      </w:r>
      <w:r w:rsidR="00100B61" w:rsidRPr="00F04829">
        <w:rPr>
          <w:rFonts w:asciiTheme="minorHAnsi" w:hAnsiTheme="minorHAnsi"/>
          <w:b/>
        </w:rPr>
        <w:t>all 2012</w:t>
      </w:r>
      <w:r>
        <w:rPr>
          <w:rFonts w:asciiTheme="minorHAnsi" w:hAnsiTheme="minorHAnsi"/>
          <w:b/>
        </w:rPr>
        <w:t>,</w:t>
      </w:r>
      <w:r w:rsidR="00100B61" w:rsidRPr="00F04829">
        <w:rPr>
          <w:rFonts w:asciiTheme="minorHAnsi" w:hAnsiTheme="minorHAnsi"/>
          <w:b/>
        </w:rPr>
        <w:t xml:space="preserve"> the percentage of pay hours by full-time instructors </w:t>
      </w:r>
      <w:r>
        <w:rPr>
          <w:rFonts w:asciiTheme="minorHAnsi" w:hAnsiTheme="minorHAnsi"/>
          <w:b/>
        </w:rPr>
        <w:t xml:space="preserve">has been </w:t>
      </w:r>
      <w:r w:rsidR="00100B61" w:rsidRPr="00F04829">
        <w:rPr>
          <w:rFonts w:asciiTheme="minorHAnsi" w:hAnsiTheme="minorHAnsi"/>
          <w:b/>
        </w:rPr>
        <w:t>below 40% in all three budget lines of the department. This is a matter of concern because it increases the amount of time that faculty coordinators must devote to working with adjuncts despite the fact that reassigned hours for coordinators in the department are very inadequate and have not been increased. The department is interested in modern languages, and at least maintaining current levels of full-time staffing in history and political science.</w:t>
      </w:r>
    </w:p>
    <w:p w:rsidR="004C52FC" w:rsidRDefault="004C52FC" w:rsidP="00377D40">
      <w:pPr>
        <w:spacing w:after="200" w:line="276" w:lineRule="auto"/>
        <w:rPr>
          <w:rFonts w:ascii="Arial" w:hAnsi="Arial" w:cs="Arial"/>
          <w:color w:val="000000" w:themeColor="text1"/>
        </w:rPr>
      </w:pPr>
    </w:p>
    <w:p w:rsidR="00100B61" w:rsidRDefault="00100B61" w:rsidP="00377D40">
      <w:pPr>
        <w:spacing w:after="200" w:line="276" w:lineRule="auto"/>
        <w:rPr>
          <w:rFonts w:ascii="Arial" w:hAnsi="Arial" w:cs="Arial"/>
          <w:color w:val="000000" w:themeColor="text1"/>
        </w:rPr>
        <w:sectPr w:rsidR="00100B61" w:rsidSect="00D708C3">
          <w:footerReference w:type="default" r:id="rId13"/>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E1B7F">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E1B7F" w:rsidTr="001E1B7F">
        <w:trPr>
          <w:trHeight w:val="1399"/>
        </w:trPr>
        <w:tc>
          <w:tcPr>
            <w:tcW w:w="3951" w:type="dxa"/>
          </w:tcPr>
          <w:p w:rsidR="001E1B7F" w:rsidRPr="0037786D" w:rsidRDefault="00C70693" w:rsidP="00225B53">
            <w:pPr>
              <w:spacing w:line="276" w:lineRule="auto"/>
              <w:rPr>
                <w:rFonts w:ascii="Arial" w:hAnsi="Arial" w:cs="Arial"/>
                <w:color w:val="000000" w:themeColor="text1"/>
              </w:rPr>
            </w:pPr>
            <w:r>
              <w:rPr>
                <w:rFonts w:ascii="Arial" w:hAnsi="Arial" w:cs="Arial"/>
                <w:sz w:val="24"/>
                <w:szCs w:val="24"/>
              </w:rPr>
              <w:t>The department does not expect to develop additional new courses except in areas of critical need, such as possibly Spanish for Health Care Professionals, university-parallel Chinese and Japanese, and online versions of French, Latin American History, and Search for Utopia</w:t>
            </w:r>
          </w:p>
        </w:tc>
        <w:tc>
          <w:tcPr>
            <w:tcW w:w="2647"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In progress</w:t>
            </w:r>
            <w:r w:rsidR="00C70693">
              <w:rPr>
                <w:rFonts w:ascii="Arial" w:hAnsi="Arial" w:cs="Arial"/>
                <w:color w:val="000000" w:themeColor="text1"/>
              </w:rPr>
              <w:t xml:space="preserve"> </w:t>
            </w:r>
            <w:r w:rsidR="00F04829">
              <w:fldChar w:fldCharType="begin">
                <w:ffData>
                  <w:name w:val=""/>
                  <w:enabled/>
                  <w:calcOnExit w:val="0"/>
                  <w:checkBox>
                    <w:sizeAuto/>
                    <w:default w:val="1"/>
                  </w:checkBox>
                </w:ffData>
              </w:fldChar>
            </w:r>
            <w:r w:rsidR="00F04829">
              <w:instrText xml:space="preserve"> FORMCHECKBOX </w:instrText>
            </w:r>
            <w:r w:rsidR="00CF3316">
              <w:fldChar w:fldCharType="separate"/>
            </w:r>
            <w:r w:rsidR="00F04829">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632" w:type="dxa"/>
          </w:tcPr>
          <w:p w:rsidR="001E1B7F" w:rsidRDefault="001E1B7F" w:rsidP="006E36C2"/>
          <w:p w:rsidR="00F04829" w:rsidRDefault="00F04829" w:rsidP="006E36C2">
            <w:r>
              <w:t xml:space="preserve">The department has maintained its current course offering and will likely begin developing online courses for </w:t>
            </w:r>
            <w:r w:rsidRPr="00F04829">
              <w:t>French, Latin American History, and Search for Utopia</w:t>
            </w:r>
            <w:r>
              <w:t xml:space="preserve"> after D2L conversion is completed.</w:t>
            </w:r>
          </w:p>
        </w:tc>
      </w:tr>
      <w:tr w:rsidR="001E1B7F" w:rsidTr="001E1B7F">
        <w:trPr>
          <w:trHeight w:val="1399"/>
        </w:trPr>
        <w:tc>
          <w:tcPr>
            <w:tcW w:w="3951" w:type="dxa"/>
          </w:tcPr>
          <w:p w:rsidR="001E1B7F" w:rsidRPr="0037786D" w:rsidRDefault="00C70693" w:rsidP="00C70693">
            <w:pPr>
              <w:tabs>
                <w:tab w:val="left" w:pos="504"/>
              </w:tabs>
              <w:suppressAutoHyphens/>
              <w:spacing w:after="120"/>
              <w:rPr>
                <w:rFonts w:ascii="Arial" w:hAnsi="Arial" w:cs="Arial"/>
                <w:color w:val="000000" w:themeColor="text1"/>
              </w:rPr>
            </w:pPr>
            <w:r>
              <w:rPr>
                <w:rFonts w:ascii="Arial" w:hAnsi="Arial" w:cs="Arial"/>
                <w:sz w:val="24"/>
                <w:szCs w:val="24"/>
              </w:rPr>
              <w:t>Continued improvement of online courses and development of more hybrid sections combining online and traditional delivery.</w:t>
            </w:r>
            <w:r w:rsidRPr="0037786D">
              <w:rPr>
                <w:rFonts w:ascii="Arial" w:hAnsi="Arial" w:cs="Arial"/>
                <w:color w:val="000000" w:themeColor="text1"/>
              </w:rPr>
              <w:t xml:space="preserve"> </w:t>
            </w:r>
          </w:p>
        </w:tc>
        <w:tc>
          <w:tcPr>
            <w:tcW w:w="2647" w:type="dxa"/>
          </w:tcPr>
          <w:p w:rsidR="001E1B7F" w:rsidRDefault="001E1B7F" w:rsidP="00637591">
            <w:pPr>
              <w:pStyle w:val="ListParagraph"/>
              <w:ind w:left="0"/>
              <w:rPr>
                <w:rFonts w:ascii="Arial" w:hAnsi="Arial" w:cs="Arial"/>
                <w:color w:val="000000" w:themeColor="text1"/>
              </w:rPr>
            </w:pPr>
          </w:p>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In progress </w:t>
            </w:r>
            <w:r w:rsidR="00F04829">
              <w:fldChar w:fldCharType="begin">
                <w:ffData>
                  <w:name w:val=""/>
                  <w:enabled/>
                  <w:calcOnExit w:val="0"/>
                  <w:checkBox>
                    <w:sizeAuto/>
                    <w:default w:val="1"/>
                  </w:checkBox>
                </w:ffData>
              </w:fldChar>
            </w:r>
            <w:r w:rsidR="00F04829">
              <w:instrText xml:space="preserve"> FORMCHECKBOX </w:instrText>
            </w:r>
            <w:r w:rsidR="00CF3316">
              <w:fldChar w:fldCharType="separate"/>
            </w:r>
            <w:r w:rsidR="00F04829">
              <w:fldChar w:fldCharType="end"/>
            </w:r>
          </w:p>
          <w:p w:rsidR="00C70693" w:rsidRDefault="00C70693" w:rsidP="00C70693">
            <w:pPr>
              <w:pStyle w:val="ListParagraph"/>
              <w:ind w:left="0"/>
              <w:rPr>
                <w:rFonts w:ascii="Arial" w:hAnsi="Arial" w:cs="Arial"/>
                <w:color w:val="000000" w:themeColor="text1"/>
              </w:rPr>
            </w:pPr>
          </w:p>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p>
          <w:p w:rsidR="00C70693" w:rsidRDefault="00C70693" w:rsidP="00C70693">
            <w:pPr>
              <w:pStyle w:val="ListParagraph"/>
              <w:ind w:left="0"/>
              <w:rPr>
                <w:rFonts w:ascii="Arial" w:hAnsi="Arial" w:cs="Arial"/>
                <w:color w:val="000000" w:themeColor="text1"/>
              </w:rPr>
            </w:pPr>
          </w:p>
          <w:p w:rsidR="001E1B7F" w:rsidRPr="0037786D"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p>
        </w:tc>
        <w:tc>
          <w:tcPr>
            <w:tcW w:w="6632" w:type="dxa"/>
          </w:tcPr>
          <w:p w:rsidR="001E1B7F" w:rsidRDefault="001E1B7F" w:rsidP="00106BF6"/>
          <w:p w:rsidR="007370A2" w:rsidRDefault="007370A2" w:rsidP="00106BF6">
            <w:r>
              <w:t>Work was done to update HUM 1130, HIS 1111 and HIS 1112, HIS 1101 and 1102 online.  We are in the planning stage for developing hybrids for PLS 1232, HIS 2218, and PHI 2207.</w:t>
            </w:r>
          </w:p>
        </w:tc>
      </w:tr>
      <w:tr w:rsidR="001E1B7F" w:rsidTr="001E1B7F">
        <w:trPr>
          <w:trHeight w:val="1101"/>
        </w:trPr>
        <w:tc>
          <w:tcPr>
            <w:tcW w:w="3951" w:type="dxa"/>
          </w:tcPr>
          <w:p w:rsidR="00C70693" w:rsidRPr="00BA6813" w:rsidRDefault="00C70693" w:rsidP="00C70693">
            <w:pPr>
              <w:tabs>
                <w:tab w:val="left" w:pos="504"/>
              </w:tabs>
              <w:suppressAutoHyphens/>
              <w:spacing w:after="120"/>
              <w:rPr>
                <w:rFonts w:ascii="Arial" w:hAnsi="Arial" w:cs="Arial"/>
              </w:rPr>
            </w:pPr>
            <w:r>
              <w:rPr>
                <w:rFonts w:ascii="Arial" w:hAnsi="Arial" w:cs="Arial"/>
                <w:sz w:val="24"/>
                <w:szCs w:val="24"/>
              </w:rPr>
              <w:t>Working with learning centers and Courseview staff, to develop more complete sc</w:t>
            </w:r>
            <w:r w:rsidR="009578EA">
              <w:rPr>
                <w:rFonts w:ascii="Arial" w:hAnsi="Arial" w:cs="Arial"/>
                <w:sz w:val="24"/>
                <w:szCs w:val="24"/>
              </w:rPr>
              <w:t>hedules of our courses at one or</w:t>
            </w:r>
            <w:r>
              <w:rPr>
                <w:rFonts w:ascii="Arial" w:hAnsi="Arial" w:cs="Arial"/>
                <w:sz w:val="24"/>
                <w:szCs w:val="24"/>
              </w:rPr>
              <w:t xml:space="preserve"> more of these locations so that students could earn most of the credits for one of our degrees there.</w:t>
            </w:r>
          </w:p>
          <w:p w:rsidR="001E1B7F" w:rsidRPr="0037786D" w:rsidRDefault="001E1B7F" w:rsidP="00225B53">
            <w:pPr>
              <w:spacing w:line="276" w:lineRule="auto"/>
              <w:rPr>
                <w:rFonts w:ascii="Arial" w:hAnsi="Arial" w:cs="Arial"/>
                <w:color w:val="000000" w:themeColor="text1"/>
              </w:rPr>
            </w:pPr>
          </w:p>
        </w:tc>
        <w:tc>
          <w:tcPr>
            <w:tcW w:w="2647" w:type="dxa"/>
          </w:tcPr>
          <w:p w:rsidR="001E1B7F" w:rsidRDefault="001E1B7F" w:rsidP="00637591">
            <w:pPr>
              <w:pStyle w:val="ListParagraph"/>
              <w:ind w:left="0"/>
              <w:rPr>
                <w:rFonts w:ascii="Arial" w:hAnsi="Arial" w:cs="Arial"/>
                <w:color w:val="000000" w:themeColor="text1"/>
              </w:rPr>
            </w:pPr>
          </w:p>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In progress </w:t>
            </w:r>
            <w:r w:rsidR="009578EA">
              <w:fldChar w:fldCharType="begin">
                <w:ffData>
                  <w:name w:val=""/>
                  <w:enabled/>
                  <w:calcOnExit w:val="0"/>
                  <w:checkBox>
                    <w:sizeAuto/>
                    <w:default w:val="1"/>
                  </w:checkBox>
                </w:ffData>
              </w:fldChar>
            </w:r>
            <w:r w:rsidR="009578EA">
              <w:instrText xml:space="preserve"> FORMCHECKBOX </w:instrText>
            </w:r>
            <w:r w:rsidR="00CF3316">
              <w:fldChar w:fldCharType="separate"/>
            </w:r>
            <w:r w:rsidR="009578EA">
              <w:fldChar w:fldCharType="end"/>
            </w:r>
          </w:p>
          <w:p w:rsidR="00C70693" w:rsidRDefault="00C70693" w:rsidP="00C70693">
            <w:pPr>
              <w:pStyle w:val="ListParagraph"/>
              <w:ind w:left="0"/>
              <w:rPr>
                <w:rFonts w:ascii="Arial" w:hAnsi="Arial" w:cs="Arial"/>
                <w:color w:val="000000" w:themeColor="text1"/>
              </w:rPr>
            </w:pPr>
          </w:p>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p>
          <w:p w:rsidR="00C70693" w:rsidRDefault="00C70693" w:rsidP="00C70693">
            <w:pPr>
              <w:pStyle w:val="ListParagraph"/>
              <w:ind w:left="0"/>
              <w:rPr>
                <w:rFonts w:ascii="Arial" w:hAnsi="Arial" w:cs="Arial"/>
                <w:color w:val="000000" w:themeColor="text1"/>
              </w:rPr>
            </w:pPr>
          </w:p>
          <w:p w:rsidR="001E1B7F" w:rsidRPr="0037786D"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p>
        </w:tc>
        <w:tc>
          <w:tcPr>
            <w:tcW w:w="6632" w:type="dxa"/>
          </w:tcPr>
          <w:p w:rsidR="001E1B7F" w:rsidRDefault="001E1B7F" w:rsidP="00106BF6"/>
          <w:p w:rsidR="006667B8" w:rsidRDefault="006667B8" w:rsidP="006667B8">
            <w:r>
              <w:t>The department continues a vigorous offering of courses at the Learning Centers in nearly all of our high enrollment courses.  The Learning Centers have also worked on developing block schedules to accommodate the needs of students taking our courses.</w:t>
            </w:r>
          </w:p>
        </w:tc>
      </w:tr>
      <w:tr w:rsidR="00C70693" w:rsidTr="001E1B7F">
        <w:trPr>
          <w:trHeight w:val="1101"/>
        </w:trPr>
        <w:tc>
          <w:tcPr>
            <w:tcW w:w="3951" w:type="dxa"/>
          </w:tcPr>
          <w:p w:rsidR="00C70693" w:rsidRDefault="00C70693" w:rsidP="00C70693">
            <w:pPr>
              <w:suppressAutoHyphens/>
              <w:rPr>
                <w:rFonts w:ascii="Arial" w:hAnsi="Arial" w:cs="Arial"/>
                <w:color w:val="000000"/>
                <w:sz w:val="24"/>
                <w:szCs w:val="24"/>
              </w:rPr>
            </w:pPr>
            <w:r>
              <w:rPr>
                <w:rFonts w:ascii="Arial" w:hAnsi="Arial" w:cs="Arial"/>
                <w:color w:val="000000"/>
                <w:sz w:val="24"/>
                <w:szCs w:val="24"/>
              </w:rPr>
              <w:lastRenderedPageBreak/>
              <w:t>In the future, the Department and PLS faculty plans to: expand its visibility on the SCC campus by advertising the PLS courses to attract students, continue to encourage other Departments to recognize the importance of requiring PLS courses as part of their programs, work to increase the number of articulation agreements the College has with other colleges and universities, continue to provide faculty support to the College for Lifelong Learning, develop new online PLS courses and Special Topics courses (where approved by the College), and meet the challenges of Dual enrollment to ensure quality instruction, and student retention and success.</w:t>
            </w:r>
          </w:p>
          <w:p w:rsidR="00C70693" w:rsidRDefault="00C70693" w:rsidP="00C70693">
            <w:pPr>
              <w:tabs>
                <w:tab w:val="left" w:pos="504"/>
              </w:tabs>
              <w:suppressAutoHyphens/>
              <w:spacing w:after="120"/>
              <w:rPr>
                <w:rFonts w:ascii="Arial" w:hAnsi="Arial" w:cs="Arial"/>
              </w:rPr>
            </w:pPr>
          </w:p>
        </w:tc>
        <w:tc>
          <w:tcPr>
            <w:tcW w:w="2647" w:type="dxa"/>
          </w:tcPr>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In progress </w:t>
            </w:r>
            <w:r w:rsidR="00AC0D26">
              <w:fldChar w:fldCharType="begin">
                <w:ffData>
                  <w:name w:val=""/>
                  <w:enabled/>
                  <w:calcOnExit w:val="0"/>
                  <w:checkBox>
                    <w:sizeAuto/>
                    <w:default w:val="1"/>
                  </w:checkBox>
                </w:ffData>
              </w:fldChar>
            </w:r>
            <w:r w:rsidR="00AC0D26">
              <w:instrText xml:space="preserve"> FORMCHECKBOX </w:instrText>
            </w:r>
            <w:r w:rsidR="00CF3316">
              <w:fldChar w:fldCharType="separate"/>
            </w:r>
            <w:r w:rsidR="00AC0D26">
              <w:fldChar w:fldCharType="end"/>
            </w:r>
          </w:p>
          <w:p w:rsidR="00C70693" w:rsidRDefault="00C70693" w:rsidP="00C70693">
            <w:pPr>
              <w:pStyle w:val="ListParagraph"/>
              <w:ind w:left="0"/>
              <w:rPr>
                <w:rFonts w:ascii="Arial" w:hAnsi="Arial" w:cs="Arial"/>
                <w:color w:val="000000" w:themeColor="text1"/>
              </w:rPr>
            </w:pPr>
          </w:p>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p>
          <w:p w:rsidR="00C70693" w:rsidRDefault="00C70693" w:rsidP="00C70693">
            <w:pPr>
              <w:pStyle w:val="ListParagraph"/>
              <w:ind w:left="0"/>
              <w:rPr>
                <w:rFonts w:ascii="Arial" w:hAnsi="Arial" w:cs="Arial"/>
                <w:color w:val="000000" w:themeColor="text1"/>
              </w:rPr>
            </w:pPr>
          </w:p>
          <w:p w:rsidR="00C70693" w:rsidRDefault="00C70693" w:rsidP="00C70693">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p>
        </w:tc>
        <w:tc>
          <w:tcPr>
            <w:tcW w:w="6632" w:type="dxa"/>
          </w:tcPr>
          <w:p w:rsidR="00C70693" w:rsidRDefault="00C70693" w:rsidP="00106BF6"/>
          <w:p w:rsidR="00AC0D26" w:rsidRDefault="00AC0D26" w:rsidP="00106BF6"/>
          <w:p w:rsidR="00AC0D26" w:rsidRDefault="00AC0D26" w:rsidP="00AC0D26">
            <w:r>
              <w:t xml:space="preserve">The department has requested funds from the Dean’s office in order to purchase two banners in order advertise Political Science.  We have not heard back yet on the status of this request.  Members of the Political Science faculty have also been in discussion in order to establish pathways with the business department.  No final agreement has been reached yet. </w:t>
            </w:r>
          </w:p>
        </w:tc>
      </w:tr>
    </w:tbl>
    <w:p w:rsidR="003C1C8E" w:rsidRPr="00CD2613" w:rsidRDefault="0037786D" w:rsidP="009B1A9F">
      <w:pPr>
        <w:spacing w:after="200" w:line="276" w:lineRule="auto"/>
        <w:rPr>
          <w:rFonts w:ascii="Arial" w:hAnsi="Arial" w:cs="Arial"/>
          <w:color w:val="000000" w:themeColor="text1"/>
        </w:rPr>
      </w:pPr>
      <w:r>
        <w:rPr>
          <w:rFonts w:ascii="Arial" w:hAnsi="Arial" w:cs="Arial"/>
          <w:color w:val="000000" w:themeColor="text1"/>
        </w:rPr>
        <w:br w:type="page"/>
      </w:r>
      <w:r w:rsidR="00190F5C"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00190F5C"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4705"/>
        <w:gridCol w:w="1703"/>
        <w:gridCol w:w="6480"/>
      </w:tblGrid>
      <w:tr w:rsidR="004C52FC" w:rsidRPr="0037786D" w:rsidTr="00C70693">
        <w:tc>
          <w:tcPr>
            <w:tcW w:w="4705"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1703"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E1B7F" w:rsidRPr="0037786D" w:rsidTr="00C70693">
        <w:tc>
          <w:tcPr>
            <w:tcW w:w="4705" w:type="dxa"/>
          </w:tcPr>
          <w:p w:rsidR="00C70693" w:rsidRPr="00D015B2" w:rsidRDefault="00C70693" w:rsidP="00C70693">
            <w:pPr>
              <w:pStyle w:val="Body"/>
              <w:rPr>
                <w:rFonts w:asciiTheme="minorHAnsi" w:hAnsiTheme="minorHAnsi"/>
              </w:rPr>
            </w:pPr>
            <w:r w:rsidRPr="00D015B2">
              <w:rPr>
                <w:rFonts w:asciiTheme="minorHAnsi" w:hAnsiTheme="minorHAnsi"/>
              </w:rPr>
              <w:t xml:space="preserve">While there is no doubt that effective work is done in the Language Lab that improves student learning, the department is encouraged to find ways to track student use of the Language Lab and document its impact on student learning, perhaps through comparative research in collaboration with Research, Analytics, and Reporting.  </w:t>
            </w:r>
          </w:p>
          <w:p w:rsidR="001E1B7F" w:rsidRPr="00654C15" w:rsidRDefault="001E1B7F" w:rsidP="003E791C">
            <w:pPr>
              <w:pStyle w:val="ListParagraph"/>
              <w:ind w:left="0"/>
              <w:rPr>
                <w:rFonts w:ascii="Arial" w:hAnsi="Arial" w:cs="Arial"/>
                <w:color w:val="000000" w:themeColor="text1"/>
                <w:sz w:val="24"/>
                <w:szCs w:val="24"/>
              </w:rPr>
            </w:pPr>
          </w:p>
        </w:tc>
        <w:tc>
          <w:tcPr>
            <w:tcW w:w="1703"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AC0D26">
              <w:fldChar w:fldCharType="begin">
                <w:ffData>
                  <w:name w:val=""/>
                  <w:enabled/>
                  <w:calcOnExit w:val="0"/>
                  <w:checkBox>
                    <w:sizeAuto/>
                    <w:default w:val="1"/>
                  </w:checkBox>
                </w:ffData>
              </w:fldChar>
            </w:r>
            <w:r w:rsidR="00AC0D26">
              <w:instrText xml:space="preserve"> FORMCHECKBOX </w:instrText>
            </w:r>
            <w:r w:rsidR="00CF3316">
              <w:fldChar w:fldCharType="separate"/>
            </w:r>
            <w:r w:rsidR="00AC0D26">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480" w:type="dxa"/>
          </w:tcPr>
          <w:p w:rsidR="001E1B7F" w:rsidRDefault="001E1B7F" w:rsidP="00FD51F2"/>
          <w:p w:rsidR="00AC0D26" w:rsidRDefault="00AC0D26" w:rsidP="00FD51F2">
            <w:r>
              <w:t>Julie Hatton (Language Lab coordinator) is working with Derek Petrey to develop a methodology toward completing this goal.</w:t>
            </w:r>
          </w:p>
        </w:tc>
      </w:tr>
      <w:tr w:rsidR="001E1B7F" w:rsidRPr="0037786D" w:rsidTr="00C70693">
        <w:tc>
          <w:tcPr>
            <w:tcW w:w="4705" w:type="dxa"/>
          </w:tcPr>
          <w:p w:rsidR="00C70693" w:rsidRPr="00D015B2" w:rsidRDefault="00C70693" w:rsidP="00C70693">
            <w:pPr>
              <w:pStyle w:val="Body"/>
              <w:rPr>
                <w:rFonts w:asciiTheme="minorHAnsi" w:hAnsiTheme="minorHAnsi"/>
              </w:rPr>
            </w:pPr>
            <w:r w:rsidRPr="00D015B2">
              <w:rPr>
                <w:rFonts w:asciiTheme="minorHAnsi" w:hAnsiTheme="minorHAnsi"/>
              </w:rPr>
              <w:t>The department</w:t>
            </w:r>
            <w:r w:rsidRPr="00D015B2">
              <w:rPr>
                <w:rFonts w:asciiTheme="minorHAnsi" w:hAnsiTheme="minorHAnsi"/>
                <w:lang w:val="fr-FR"/>
              </w:rPr>
              <w:t>’</w:t>
            </w:r>
            <w:r w:rsidRPr="00D015B2">
              <w:rPr>
                <w:rFonts w:asciiTheme="minorHAnsi" w:hAnsiTheme="minorHAnsi"/>
              </w:rPr>
              <w:t>s work developing articulation agreements with Wright State University has been truly outstanding – this work should be extended to include articulation agreements with other four-year institutions that a substantial number of students transfer to.</w:t>
            </w:r>
          </w:p>
          <w:p w:rsidR="001E1B7F" w:rsidRPr="00654C15" w:rsidRDefault="001E1B7F" w:rsidP="003E791C">
            <w:pPr>
              <w:pStyle w:val="ListParagraph"/>
              <w:ind w:left="0"/>
              <w:rPr>
                <w:rFonts w:ascii="Arial" w:hAnsi="Arial" w:cs="Arial"/>
                <w:color w:val="000000" w:themeColor="text1"/>
                <w:sz w:val="24"/>
                <w:szCs w:val="24"/>
              </w:rPr>
            </w:pPr>
          </w:p>
        </w:tc>
        <w:tc>
          <w:tcPr>
            <w:tcW w:w="1703"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667B8">
              <w:fldChar w:fldCharType="begin">
                <w:ffData>
                  <w:name w:val=""/>
                  <w:enabled/>
                  <w:calcOnExit w:val="0"/>
                  <w:checkBox>
                    <w:sizeAuto/>
                    <w:default w:val="1"/>
                  </w:checkBox>
                </w:ffData>
              </w:fldChar>
            </w:r>
            <w:r w:rsidR="006667B8">
              <w:instrText xml:space="preserve"> FORMCHECKBOX </w:instrText>
            </w:r>
            <w:r w:rsidR="00CF3316">
              <w:fldChar w:fldCharType="separate"/>
            </w:r>
            <w:r w:rsidR="006667B8">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C70693">
              <w:fldChar w:fldCharType="begin">
                <w:ffData>
                  <w:name w:val="Check1"/>
                  <w:enabled/>
                  <w:calcOnExit w:val="0"/>
                  <w:checkBox>
                    <w:sizeAuto/>
                    <w:default w:val="0"/>
                  </w:checkBox>
                </w:ffData>
              </w:fldChar>
            </w:r>
            <w:r w:rsidR="00C70693">
              <w:instrText xml:space="preserve"> FORMCHECKBOX </w:instrText>
            </w:r>
            <w:r w:rsidR="00CF3316">
              <w:fldChar w:fldCharType="separate"/>
            </w:r>
            <w:r w:rsidR="00C70693">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480" w:type="dxa"/>
          </w:tcPr>
          <w:p w:rsidR="001E1B7F" w:rsidRDefault="001E1B7F" w:rsidP="00FD51F2"/>
          <w:p w:rsidR="006667B8" w:rsidRDefault="006667B8" w:rsidP="00FD51F2"/>
          <w:p w:rsidR="006667B8" w:rsidRDefault="006667B8" w:rsidP="006667B8">
            <w:r>
              <w:t xml:space="preserve">The department chair is currently working with the LCS Dean in order to identify </w:t>
            </w:r>
            <w:r w:rsidRPr="00D015B2">
              <w:rPr>
                <w:rFonts w:asciiTheme="minorHAnsi" w:hAnsiTheme="minorHAnsi"/>
              </w:rPr>
              <w:t>other four-year institutions</w:t>
            </w:r>
            <w:r>
              <w:rPr>
                <w:rFonts w:asciiTheme="minorHAnsi" w:hAnsiTheme="minorHAnsi"/>
              </w:rPr>
              <w:t xml:space="preserve">  in might benefit the department to develop articulation agreements. </w:t>
            </w:r>
          </w:p>
        </w:tc>
      </w:tr>
      <w:tr w:rsidR="001E1B7F" w:rsidRPr="0037786D" w:rsidTr="00C70693">
        <w:tc>
          <w:tcPr>
            <w:tcW w:w="4705" w:type="dxa"/>
          </w:tcPr>
          <w:p w:rsidR="00C70693" w:rsidRPr="00D015B2" w:rsidRDefault="00C70693" w:rsidP="00C70693">
            <w:pPr>
              <w:pStyle w:val="Body"/>
              <w:rPr>
                <w:rFonts w:asciiTheme="minorHAnsi" w:hAnsiTheme="minorHAnsi"/>
              </w:rPr>
            </w:pPr>
            <w:r w:rsidRPr="00D015B2">
              <w:rPr>
                <w:rFonts w:asciiTheme="minorHAnsi" w:hAnsiTheme="minorHAnsi"/>
              </w:rPr>
              <w:t xml:space="preserve">Assessment of general education and program outcomes was discussed at length in the meeting with the Review Team.  While not readily apparent from the self-study, it seems that a great deal of assessment work is already occurring where student performance against outcomes is being measured.  It may be that to some extent the department can step up its assessment work by formalizing the collection, aggregation, analysis, and reporting of work that is already being done that measures student performance.  In stepping up its assessment efforts, the department is encouraged to start small at first – rather than feeling overwhelmed, </w:t>
            </w:r>
            <w:r w:rsidRPr="00D015B2">
              <w:rPr>
                <w:rFonts w:asciiTheme="minorHAnsi" w:hAnsiTheme="minorHAnsi"/>
              </w:rPr>
              <w:lastRenderedPageBreak/>
              <w:t>perhaps the department can focus on one program outcome in each area and identify an assignment in a high enrollment course in each area with assignments that align well with the chosen</w:t>
            </w:r>
            <w:r w:rsidRPr="00D015B2">
              <w:rPr>
                <w:rFonts w:asciiTheme="minorHAnsi" w:hAnsiTheme="minorHAnsi"/>
                <w:lang w:val="pt-PT"/>
              </w:rPr>
              <w:t xml:space="preserve"> program outcome</w:t>
            </w:r>
            <w:r w:rsidRPr="00D015B2">
              <w:rPr>
                <w:rFonts w:asciiTheme="minorHAnsi" w:hAnsiTheme="minorHAnsi"/>
              </w:rPr>
              <w:t>, and then include that assignment in all sections of that specific course.  While assessment is a top priority, the Review Team wants to emphasize that it doesn</w:t>
            </w:r>
            <w:r w:rsidRPr="00D015B2">
              <w:rPr>
                <w:rFonts w:asciiTheme="minorHAnsi" w:hAnsiTheme="minorHAnsi"/>
                <w:lang w:val="fr-FR"/>
              </w:rPr>
              <w:t>’</w:t>
            </w:r>
            <w:r w:rsidRPr="00D015B2">
              <w:rPr>
                <w:rFonts w:asciiTheme="minorHAnsi" w:hAnsiTheme="minorHAnsi"/>
              </w:rPr>
              <w:t>t need to be overwhelming, starting small and then growing is recommended.  The department is encouraged to work with the division Assessment Coordinator/Learning Liaison and the Provost</w:t>
            </w:r>
            <w:r w:rsidRPr="00D015B2">
              <w:rPr>
                <w:rFonts w:asciiTheme="minorHAnsi" w:hAnsiTheme="minorHAnsi"/>
                <w:lang w:val="fr-FR"/>
              </w:rPr>
              <w:t>’</w:t>
            </w:r>
            <w:r w:rsidRPr="00D015B2">
              <w:rPr>
                <w:rFonts w:asciiTheme="minorHAnsi" w:hAnsiTheme="minorHAnsi"/>
              </w:rPr>
              <w:t>s Office as needed in increasing its assessment efforts.  Encouraging key faculty to enroll in the Curriculum and Assessment track offered by the Center for Teaching and Learning may also be extremely beneficial in this regard.</w:t>
            </w:r>
          </w:p>
          <w:p w:rsidR="001E1B7F" w:rsidRPr="00654C15" w:rsidRDefault="001E1B7F" w:rsidP="003E791C">
            <w:pPr>
              <w:pStyle w:val="ListParagraph"/>
              <w:ind w:left="0"/>
              <w:rPr>
                <w:rFonts w:ascii="Arial" w:hAnsi="Arial" w:cs="Arial"/>
                <w:color w:val="000000" w:themeColor="text1"/>
                <w:sz w:val="24"/>
                <w:szCs w:val="24"/>
              </w:rPr>
            </w:pPr>
          </w:p>
        </w:tc>
        <w:tc>
          <w:tcPr>
            <w:tcW w:w="1703"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9647D">
              <w:fldChar w:fldCharType="begin">
                <w:ffData>
                  <w:name w:val=""/>
                  <w:enabled/>
                  <w:calcOnExit w:val="0"/>
                  <w:checkBox>
                    <w:sizeAuto/>
                    <w:default w:val="1"/>
                  </w:checkBox>
                </w:ffData>
              </w:fldChar>
            </w:r>
            <w:r w:rsidR="0059647D">
              <w:instrText xml:space="preserve"> FORMCHECKBOX </w:instrText>
            </w:r>
            <w:r w:rsidR="00CF3316">
              <w:fldChar w:fldCharType="separate"/>
            </w:r>
            <w:r w:rsidR="0059647D">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480" w:type="dxa"/>
          </w:tcPr>
          <w:p w:rsidR="001E1B7F" w:rsidRDefault="001E1B7F" w:rsidP="00BB2E09"/>
          <w:p w:rsidR="0059647D" w:rsidRDefault="0059647D" w:rsidP="00BB2E09"/>
          <w:p w:rsidR="0059647D" w:rsidRDefault="0059647D" w:rsidP="00716436">
            <w:r>
              <w:t xml:space="preserve">The department is making progress on this goal by articulating this need in Angel Community forum, where we are able to elicit feedback from faculty on </w:t>
            </w:r>
            <w:r>
              <w:rPr>
                <w:rFonts w:asciiTheme="minorHAnsi" w:hAnsiTheme="minorHAnsi"/>
              </w:rPr>
              <w:t>assessment work.</w:t>
            </w:r>
            <w:r w:rsidR="00716436">
              <w:rPr>
                <w:rFonts w:asciiTheme="minorHAnsi" w:hAnsiTheme="minorHAnsi"/>
              </w:rPr>
              <w:t xml:space="preserve">  Key faculty are tacking curriculum and assessment workshops offered by the CTL.</w:t>
            </w:r>
          </w:p>
        </w:tc>
      </w:tr>
      <w:tr w:rsidR="001E1B7F" w:rsidRPr="0037786D" w:rsidTr="00C70693">
        <w:tc>
          <w:tcPr>
            <w:tcW w:w="4705" w:type="dxa"/>
          </w:tcPr>
          <w:p w:rsidR="00C70693" w:rsidRPr="00D015B2" w:rsidRDefault="00C70693" w:rsidP="00C70693">
            <w:pPr>
              <w:pStyle w:val="Body"/>
              <w:rPr>
                <w:rFonts w:asciiTheme="minorHAnsi" w:hAnsiTheme="minorHAnsi"/>
              </w:rPr>
            </w:pPr>
            <w:r w:rsidRPr="00D015B2">
              <w:rPr>
                <w:rFonts w:asciiTheme="minorHAnsi" w:hAnsiTheme="minorHAnsi"/>
              </w:rPr>
              <w:lastRenderedPageBreak/>
              <w:t xml:space="preserve">Related to the recommendation regarding assessment, the Review Team also recommends that the department explore using common assignments or common exam items across all sections of some of its courses.  Some level of standardization is required for a complete picture of student learning, else data cannot be gathered across different sections of the same course to provide a comprehensive picture of how students are performing and whether adjustments are needed.  Again, it is recommended that the department start small - is there an assignment already in use by some faculty that relates to a program outcome that could be used by all sections of that course?  For example, is there an assignment in HIS 1111 that relates to a program </w:t>
            </w:r>
            <w:r w:rsidRPr="00D015B2">
              <w:rPr>
                <w:rFonts w:asciiTheme="minorHAnsi" w:hAnsiTheme="minorHAnsi"/>
              </w:rPr>
              <w:lastRenderedPageBreak/>
              <w:t>outcome that all sections of HIS 1111 could use such that scores could be aggregated, analyzed, and reported to determine how well students are meeting that outcome?  It is recommended that this only be done in a couple of courses initially to avoid overwhelming the department, and that what the department wants to know about student learning be used to guide the selection course and assignment used in this way - which program outcomes would you prioritize to study first, based on what you want to know most about your students?</w:t>
            </w:r>
          </w:p>
          <w:p w:rsidR="001E1B7F" w:rsidRPr="00654C15" w:rsidRDefault="001E1B7F" w:rsidP="003E791C">
            <w:pPr>
              <w:pStyle w:val="ListParagraph"/>
              <w:ind w:left="0"/>
              <w:rPr>
                <w:rFonts w:ascii="Arial" w:hAnsi="Arial" w:cs="Arial"/>
                <w:color w:val="000000" w:themeColor="text1"/>
                <w:sz w:val="24"/>
                <w:szCs w:val="24"/>
              </w:rPr>
            </w:pPr>
          </w:p>
        </w:tc>
        <w:tc>
          <w:tcPr>
            <w:tcW w:w="1703" w:type="dxa"/>
          </w:tcPr>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9A1CF3">
              <w:fldChar w:fldCharType="begin">
                <w:ffData>
                  <w:name w:val=""/>
                  <w:enabled/>
                  <w:calcOnExit w:val="0"/>
                  <w:checkBox>
                    <w:sizeAuto/>
                    <w:default w:val="1"/>
                  </w:checkBox>
                </w:ffData>
              </w:fldChar>
            </w:r>
            <w:r w:rsidR="009A1CF3">
              <w:instrText xml:space="preserve"> FORMCHECKBOX </w:instrText>
            </w:r>
            <w:r w:rsidR="00CF3316">
              <w:fldChar w:fldCharType="separate"/>
            </w:r>
            <w:r w:rsidR="009A1CF3">
              <w:fldChar w:fldCharType="end"/>
            </w:r>
          </w:p>
          <w:p w:rsidR="001E1B7F" w:rsidRDefault="001E1B7F" w:rsidP="00637591">
            <w:pPr>
              <w:pStyle w:val="ListParagraph"/>
              <w:ind w:left="0"/>
              <w:rPr>
                <w:rFonts w:ascii="Arial" w:hAnsi="Arial" w:cs="Arial"/>
                <w:color w:val="000000" w:themeColor="text1"/>
              </w:rPr>
            </w:pPr>
          </w:p>
          <w:p w:rsidR="001E1B7F"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ed w:val="0"/>
                  </w:checkBox>
                </w:ffData>
              </w:fldChar>
            </w:r>
            <w:r>
              <w:instrText xml:space="preserve"> FORMCHECKBOX </w:instrText>
            </w:r>
            <w:r w:rsidR="00CF3316">
              <w:fldChar w:fldCharType="separate"/>
            </w:r>
            <w:r w:rsidR="00E13038">
              <w:fldChar w:fldCharType="end"/>
            </w:r>
          </w:p>
          <w:p w:rsidR="001E1B7F" w:rsidRDefault="001E1B7F" w:rsidP="00637591">
            <w:pPr>
              <w:pStyle w:val="ListParagraph"/>
              <w:ind w:left="0"/>
              <w:rPr>
                <w:rFonts w:ascii="Arial" w:hAnsi="Arial" w:cs="Arial"/>
                <w:color w:val="000000" w:themeColor="text1"/>
              </w:rPr>
            </w:pPr>
          </w:p>
          <w:p w:rsidR="001E1B7F" w:rsidRPr="0037786D" w:rsidRDefault="001E1B7F"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480" w:type="dxa"/>
          </w:tcPr>
          <w:p w:rsidR="001E1B7F" w:rsidRDefault="001E1B7F" w:rsidP="00BB2E09"/>
          <w:p w:rsidR="009A1CF3" w:rsidRDefault="009A1CF3" w:rsidP="00BB2E09"/>
          <w:p w:rsidR="009A1CF3" w:rsidRDefault="009A1CF3" w:rsidP="00BB2E09"/>
          <w:p w:rsidR="009A1CF3" w:rsidRDefault="009A1CF3" w:rsidP="00BB2E09">
            <w:r>
              <w:t>The department has also created an Angel community forum with this goal in mind.  Faculty members have talked about creating a common assessment that can be shared.  Here, our attention has been focused on developing an assessment that emphasized common skills, such as developing the components of an effective essay, which might be shared across disciplines within our department.</w:t>
            </w:r>
          </w:p>
        </w:tc>
      </w:tr>
      <w:tr w:rsidR="001E1B7F" w:rsidRPr="0037786D" w:rsidTr="00C70693">
        <w:tc>
          <w:tcPr>
            <w:tcW w:w="4705" w:type="dxa"/>
          </w:tcPr>
          <w:p w:rsidR="00C70693" w:rsidRPr="00D015B2" w:rsidRDefault="00C70693" w:rsidP="00C70693">
            <w:pPr>
              <w:pStyle w:val="Body"/>
              <w:rPr>
                <w:rFonts w:asciiTheme="minorHAnsi" w:hAnsiTheme="minorHAnsi"/>
              </w:rPr>
            </w:pPr>
            <w:r w:rsidRPr="00D015B2">
              <w:rPr>
                <w:rFonts w:asciiTheme="minorHAnsi" w:hAnsiTheme="minorHAnsi"/>
              </w:rPr>
              <w:lastRenderedPageBreak/>
              <w:t>During the meeting with the Review Team it was noted that in some cases other departments have dropped the courses that the HGML Department offers - Paralegal and Criminal Justice were provided as examples.  The department may need to explore reaching out to other departments to "market" courses.  It is recommended that the department identify courses that it offers that might meet specific needs of programs in other departments, and reach out to those departments to discuss how their needs might be met by HGML courses.  It may be the case that other departments could use HGML courses in their programs, and they just aren't aware of the benefits.</w:t>
            </w:r>
          </w:p>
          <w:p w:rsidR="001E1B7F" w:rsidRPr="00654C15" w:rsidRDefault="001E1B7F" w:rsidP="00C70693">
            <w:pPr>
              <w:pStyle w:val="Body"/>
              <w:rPr>
                <w:rFonts w:ascii="Arial" w:hAnsi="Arial" w:cs="Arial"/>
                <w:color w:val="000000" w:themeColor="text1"/>
                <w:sz w:val="24"/>
                <w:szCs w:val="24"/>
              </w:rPr>
            </w:pPr>
          </w:p>
        </w:tc>
        <w:tc>
          <w:tcPr>
            <w:tcW w:w="1703" w:type="dxa"/>
          </w:tcPr>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774287">
              <w:fldChar w:fldCharType="begin">
                <w:ffData>
                  <w:name w:val=""/>
                  <w:enabled/>
                  <w:calcOnExit w:val="0"/>
                  <w:checkBox>
                    <w:sizeAuto/>
                    <w:default w:val="1"/>
                  </w:checkBox>
                </w:ffData>
              </w:fldChar>
            </w:r>
            <w:r w:rsidR="00774287">
              <w:instrText xml:space="preserve"> FORMCHECKBOX </w:instrText>
            </w:r>
            <w:r w:rsidR="00774287">
              <w:fldChar w:fldCharType="end"/>
            </w:r>
          </w:p>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C70693">
              <w:fldChar w:fldCharType="begin">
                <w:ffData>
                  <w:name w:val="Check1"/>
                  <w:enabled/>
                  <w:calcOnExit w:val="0"/>
                  <w:checkBox>
                    <w:sizeAuto/>
                    <w:default w:val="0"/>
                  </w:checkBox>
                </w:ffData>
              </w:fldChar>
            </w:r>
            <w:r w:rsidR="00C70693">
              <w:instrText xml:space="preserve"> FORMCHECKBOX </w:instrText>
            </w:r>
            <w:r w:rsidR="00CF3316">
              <w:fldChar w:fldCharType="separate"/>
            </w:r>
            <w:r w:rsidR="00C70693">
              <w:fldChar w:fldCharType="end"/>
            </w:r>
          </w:p>
          <w:p w:rsidR="001E1B7F" w:rsidRDefault="001E1B7F" w:rsidP="00D07030">
            <w:pPr>
              <w:pStyle w:val="ListParagraph"/>
              <w:ind w:left="0"/>
              <w:rPr>
                <w:rFonts w:ascii="Arial" w:hAnsi="Arial" w:cs="Arial"/>
                <w:color w:val="000000" w:themeColor="text1"/>
              </w:rPr>
            </w:pPr>
          </w:p>
          <w:p w:rsidR="001E1B7F" w:rsidRPr="0037786D"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480" w:type="dxa"/>
          </w:tcPr>
          <w:p w:rsidR="001E1B7F" w:rsidRDefault="001E1B7F" w:rsidP="00BB2E09"/>
          <w:p w:rsidR="00774287" w:rsidRDefault="00774287" w:rsidP="00BB2E09">
            <w:r>
              <w:t>Our different disciplines are in the process of identifying programs/departments we might meet with in order to promote HGML courses</w:t>
            </w:r>
            <w:bookmarkStart w:id="0" w:name="_GoBack"/>
            <w:bookmarkEnd w:id="0"/>
            <w:r>
              <w:t>.</w:t>
            </w:r>
          </w:p>
        </w:tc>
      </w:tr>
      <w:tr w:rsidR="001E1B7F" w:rsidRPr="0037786D" w:rsidTr="00C70693">
        <w:tc>
          <w:tcPr>
            <w:tcW w:w="4705" w:type="dxa"/>
          </w:tcPr>
          <w:p w:rsidR="00C70693" w:rsidRPr="00D015B2" w:rsidRDefault="00C70693" w:rsidP="00C70693">
            <w:pPr>
              <w:pStyle w:val="Body"/>
              <w:rPr>
                <w:rFonts w:asciiTheme="minorHAnsi" w:hAnsiTheme="minorHAnsi"/>
              </w:rPr>
            </w:pPr>
            <w:r w:rsidRPr="00D015B2">
              <w:rPr>
                <w:rFonts w:asciiTheme="minorHAnsi" w:hAnsiTheme="minorHAnsi"/>
              </w:rPr>
              <w:t xml:space="preserve">Given the current budgetary climate, becoming more efficient must be a priority for all departments.  It is recommended that the department take a hard look at scheduling - are several OTM courses that would all meet the </w:t>
            </w:r>
            <w:r w:rsidRPr="00D015B2">
              <w:rPr>
                <w:rFonts w:asciiTheme="minorHAnsi" w:hAnsiTheme="minorHAnsi"/>
              </w:rPr>
              <w:lastRenderedPageBreak/>
              <w:t>same Arts and Humanities elective being scheduled at the same time in ways that decrease enrollment in each of them?   Can we perhaps be more strategic in how we schedule our courses such that electives are not "competing" with each other?  The Review Team recommends that the department be able to demonstrate on its next Annual Update that it has a process in place to accomplish strategic scheduling, and be able to demonstrate that progress has been made in its scheduling practices.</w:t>
            </w:r>
          </w:p>
          <w:p w:rsidR="001E1B7F" w:rsidRPr="00654C15" w:rsidRDefault="001E1B7F" w:rsidP="009B1A9F">
            <w:pPr>
              <w:pStyle w:val="ListParagraph"/>
              <w:ind w:left="0"/>
              <w:jc w:val="center"/>
              <w:rPr>
                <w:rFonts w:ascii="Arial" w:hAnsi="Arial" w:cs="Arial"/>
                <w:color w:val="000000" w:themeColor="text1"/>
                <w:sz w:val="24"/>
                <w:szCs w:val="24"/>
              </w:rPr>
            </w:pPr>
          </w:p>
        </w:tc>
        <w:tc>
          <w:tcPr>
            <w:tcW w:w="1703" w:type="dxa"/>
          </w:tcPr>
          <w:p w:rsidR="001E1B7F" w:rsidRDefault="001E1B7F" w:rsidP="00D07030">
            <w:pPr>
              <w:pStyle w:val="ListParagraph"/>
              <w:ind w:left="0"/>
              <w:rPr>
                <w:rFonts w:ascii="Arial" w:hAnsi="Arial" w:cs="Arial"/>
                <w:color w:val="000000" w:themeColor="text1"/>
              </w:rPr>
            </w:pPr>
          </w:p>
          <w:p w:rsidR="001E1B7F" w:rsidRDefault="001E1B7F" w:rsidP="00D07030">
            <w:pPr>
              <w:pStyle w:val="ListParagraph"/>
              <w:ind w:left="0"/>
            </w:pPr>
            <w:r>
              <w:rPr>
                <w:rFonts w:ascii="Arial" w:hAnsi="Arial" w:cs="Arial"/>
                <w:color w:val="000000" w:themeColor="text1"/>
              </w:rPr>
              <w:t>In progress</w:t>
            </w:r>
            <w:r w:rsidR="00C70693">
              <w:rPr>
                <w:rFonts w:ascii="Arial" w:hAnsi="Arial" w:cs="Arial"/>
                <w:color w:val="000000" w:themeColor="text1"/>
              </w:rPr>
              <w:t xml:space="preserve"> </w:t>
            </w:r>
            <w:r w:rsidR="009A1CF3">
              <w:fldChar w:fldCharType="begin">
                <w:ffData>
                  <w:name w:val=""/>
                  <w:enabled/>
                  <w:calcOnExit w:val="0"/>
                  <w:checkBox>
                    <w:sizeAuto/>
                    <w:default w:val="1"/>
                  </w:checkBox>
                </w:ffData>
              </w:fldChar>
            </w:r>
            <w:r w:rsidR="009A1CF3">
              <w:instrText xml:space="preserve"> FORMCHECKBOX </w:instrText>
            </w:r>
            <w:r w:rsidR="00CF3316">
              <w:fldChar w:fldCharType="separate"/>
            </w:r>
            <w:r w:rsidR="009A1CF3">
              <w:fldChar w:fldCharType="end"/>
            </w:r>
            <w:r w:rsidR="00C70693">
              <w:t xml:space="preserve"> </w:t>
            </w:r>
          </w:p>
          <w:p w:rsidR="00C70693" w:rsidRDefault="00C70693" w:rsidP="00D07030">
            <w:pPr>
              <w:pStyle w:val="ListParagraph"/>
              <w:ind w:left="0"/>
              <w:rPr>
                <w:rFonts w:ascii="Arial" w:hAnsi="Arial" w:cs="Arial"/>
                <w:color w:val="000000" w:themeColor="text1"/>
              </w:rPr>
            </w:pPr>
          </w:p>
          <w:p w:rsidR="001E1B7F" w:rsidRDefault="001E1B7F"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p w:rsidR="001E1B7F" w:rsidRDefault="001E1B7F" w:rsidP="00D07030">
            <w:pPr>
              <w:pStyle w:val="ListParagraph"/>
              <w:ind w:left="0"/>
              <w:rPr>
                <w:rFonts w:ascii="Arial" w:hAnsi="Arial" w:cs="Arial"/>
                <w:color w:val="000000" w:themeColor="text1"/>
              </w:rPr>
            </w:pPr>
          </w:p>
          <w:p w:rsidR="001E1B7F" w:rsidRPr="0037786D" w:rsidRDefault="001E1B7F" w:rsidP="00D07030">
            <w:pPr>
              <w:pStyle w:val="ListParagraph"/>
              <w:ind w:left="0"/>
              <w:rPr>
                <w:rFonts w:ascii="Arial" w:hAnsi="Arial" w:cs="Arial"/>
                <w:color w:val="000000" w:themeColor="text1"/>
              </w:rPr>
            </w:pPr>
            <w:r>
              <w:rPr>
                <w:rFonts w:ascii="Arial" w:hAnsi="Arial" w:cs="Arial"/>
                <w:color w:val="000000" w:themeColor="text1"/>
              </w:rPr>
              <w:lastRenderedPageBreak/>
              <w:t xml:space="preserve">No longer applicable </w:t>
            </w:r>
            <w:r w:rsidR="00E13038">
              <w:fldChar w:fldCharType="begin">
                <w:ffData>
                  <w:name w:val="Check1"/>
                  <w:enabled/>
                  <w:calcOnExit w:val="0"/>
                  <w:checkBox>
                    <w:sizeAuto/>
                    <w:default w:val="0"/>
                  </w:checkBox>
                </w:ffData>
              </w:fldChar>
            </w:r>
            <w:r>
              <w:instrText xml:space="preserve"> FORMCHECKBOX </w:instrText>
            </w:r>
            <w:r w:rsidR="00CF3316">
              <w:fldChar w:fldCharType="separate"/>
            </w:r>
            <w:r w:rsidR="00E13038">
              <w:fldChar w:fldCharType="end"/>
            </w:r>
          </w:p>
        </w:tc>
        <w:tc>
          <w:tcPr>
            <w:tcW w:w="6480" w:type="dxa"/>
          </w:tcPr>
          <w:p w:rsidR="001E1B7F" w:rsidRDefault="001E1B7F" w:rsidP="004A27DC"/>
          <w:p w:rsidR="009A1CF3" w:rsidRDefault="009A1CF3" w:rsidP="004A27DC"/>
          <w:p w:rsidR="009A1CF3" w:rsidRDefault="009A1CF3" w:rsidP="00BB0BF1">
            <w:r>
              <w:t>Our department has been proactive in developing effective scheduling practices with an</w:t>
            </w:r>
            <w:r w:rsidR="00AC0D26">
              <w:t xml:space="preserve"> eye toward average class size.  Our strategy rests on a number of points.  We have reduced the initial courses offerings </w:t>
            </w:r>
            <w:r w:rsidR="00AC0D26">
              <w:lastRenderedPageBreak/>
              <w:t>each term.  We carefully monitor enrollment, adding additional sections, increasing capacity</w:t>
            </w:r>
            <w:r w:rsidR="00BB0BF1">
              <w:t xml:space="preserve">, or cancelling classes as appropriate.  In terms of online classes, we work with the Dean’s office on a strategy that “rotates” our response to a request to increase capacity.  For example, DL might request an increase in capacity/additional sections for HIS, HUM, and REL.  We might add additional capacity to HIS, encouraging those students looking for a Humanities elective to enroll in the HIS.  The chair also utilizes the Average Class Size tool to monitor and react to enrolment.  </w:t>
            </w:r>
          </w:p>
        </w:tc>
      </w:tr>
    </w:tbl>
    <w:p w:rsidR="00EF15CD" w:rsidRDefault="00EF15CD" w:rsidP="00D708C3">
      <w:pPr>
        <w:rPr>
          <w:rFonts w:ascii="Arial" w:hAnsi="Arial" w:cs="Arial"/>
          <w:b/>
          <w:color w:val="000000" w:themeColor="text1"/>
          <w:u w:val="single"/>
        </w:rPr>
      </w:pPr>
    </w:p>
    <w:p w:rsidR="00E27BD2" w:rsidRDefault="00E27BD2" w:rsidP="00D708C3">
      <w:pPr>
        <w:rPr>
          <w:rFonts w:ascii="Arial" w:hAnsi="Arial" w:cs="Arial"/>
          <w:b/>
          <w:color w:val="000000" w:themeColor="text1"/>
          <w:u w:val="single"/>
        </w:rPr>
      </w:pPr>
    </w:p>
    <w:p w:rsidR="00E27BD2" w:rsidRDefault="00E27BD2" w:rsidP="00D708C3">
      <w:pPr>
        <w:rPr>
          <w:rFonts w:ascii="Arial" w:hAnsi="Arial" w:cs="Arial"/>
          <w:b/>
          <w:color w:val="000000" w:themeColor="text1"/>
          <w:u w:val="single"/>
        </w:rPr>
      </w:pPr>
    </w:p>
    <w:p w:rsidR="00E27BD2" w:rsidRDefault="00E27BD2"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E27BD2" w:rsidTr="00E27BD2">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E27BD2" w:rsidRDefault="00E27BD2">
            <w:pPr>
              <w:rPr>
                <w:sz w:val="24"/>
                <w:szCs w:val="24"/>
              </w:rPr>
            </w:pPr>
            <w:r>
              <w:lastRenderedPageBreak/>
              <w:t>Please respond to the following items regarding external program accreditation.</w:t>
            </w:r>
          </w:p>
          <w:p w:rsidR="00E27BD2" w:rsidRDefault="00E27BD2">
            <w:pPr>
              <w:pStyle w:val="ListParagraph"/>
              <w:ind w:left="0"/>
              <w:rPr>
                <w:rFonts w:ascii="Arial" w:hAnsi="Arial" w:cs="Arial"/>
                <w:color w:val="000000" w:themeColor="text1"/>
              </w:rPr>
            </w:pPr>
          </w:p>
        </w:tc>
      </w:tr>
      <w:tr w:rsidR="00E27BD2" w:rsidTr="00E27BD2">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27BD2" w:rsidRDefault="00E27BD2">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27BD2" w:rsidRDefault="00E27BD2">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rsidR="00E27BD2" w:rsidRDefault="00E27BD2">
            <w:pPr>
              <w:pStyle w:val="ListParagraph"/>
              <w:ind w:left="0"/>
              <w:rPr>
                <w:rFonts w:ascii="Arial" w:hAnsi="Arial" w:cs="Arial"/>
                <w:color w:val="000000" w:themeColor="text1"/>
              </w:rPr>
            </w:pPr>
          </w:p>
          <w:p w:rsidR="00E27BD2" w:rsidRDefault="00E27BD2">
            <w:pPr>
              <w:pStyle w:val="ListParagraph"/>
              <w:ind w:left="0"/>
              <w:rPr>
                <w:rFonts w:ascii="Arial" w:hAnsi="Arial" w:cs="Arial"/>
                <w:b/>
                <w:color w:val="000000" w:themeColor="text1"/>
              </w:rPr>
            </w:pPr>
            <w:r>
              <w:rPr>
                <w:rFonts w:ascii="Arial" w:hAnsi="Arial" w:cs="Arial"/>
                <w:b/>
                <w:color w:val="000000" w:themeColor="text1"/>
              </w:rPr>
              <w:t>OR</w:t>
            </w:r>
          </w:p>
          <w:p w:rsidR="00E27BD2" w:rsidRDefault="00E27BD2">
            <w:pPr>
              <w:pStyle w:val="ListParagraph"/>
              <w:ind w:left="0"/>
              <w:rPr>
                <w:rFonts w:ascii="Arial" w:hAnsi="Arial" w:cs="Arial"/>
                <w:color w:val="000000" w:themeColor="text1"/>
              </w:rPr>
            </w:pPr>
          </w:p>
          <w:bookmarkStart w:id="1" w:name="Check1"/>
          <w:p w:rsidR="00E27BD2" w:rsidRDefault="00E27BD2">
            <w:pPr>
              <w:pStyle w:val="ListParagraph"/>
              <w:ind w:left="0"/>
              <w:rPr>
                <w:rFonts w:ascii="Arial" w:hAnsi="Arial" w:cs="Arial"/>
                <w:color w:val="000000" w:themeColor="text1"/>
              </w:rPr>
            </w:pPr>
            <w:r>
              <w:fldChar w:fldCharType="begin">
                <w:ffData>
                  <w:name w:val="Check1"/>
                  <w:enabled/>
                  <w:calcOnExit w:val="0"/>
                  <w:checkBox>
                    <w:sizeAuto/>
                    <w:default w:val="0"/>
                  </w:checkBox>
                </w:ffData>
              </w:fldChar>
            </w:r>
            <w:r>
              <w:instrText xml:space="preserve"> FORMCHECKBOX </w:instrText>
            </w:r>
            <w:r w:rsidR="00CF3316">
              <w:fldChar w:fldCharType="separate"/>
            </w:r>
            <w:r>
              <w:fldChar w:fldCharType="end"/>
            </w:r>
            <w:bookmarkEnd w:id="1"/>
            <w:r>
              <w:t xml:space="preserve">   </w:t>
            </w:r>
            <w:r>
              <w:rPr>
                <w:rFonts w:ascii="Arial" w:hAnsi="Arial" w:cs="Arial"/>
                <w:color w:val="000000" w:themeColor="text1"/>
              </w:rPr>
              <w:t xml:space="preserve">Programs in this department do not have external accreditation </w:t>
            </w:r>
          </w:p>
        </w:tc>
      </w:tr>
      <w:tr w:rsidR="00E27BD2" w:rsidTr="00E27BD2">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27BD2" w:rsidRDefault="00E27BD2">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27BD2" w:rsidRDefault="00E27BD2">
            <w:pPr>
              <w:rPr>
                <w:rFonts w:asciiTheme="minorHAnsi" w:hAnsiTheme="minorHAnsi" w:cs="Arial"/>
                <w:color w:val="000000" w:themeColor="text1"/>
                <w:sz w:val="20"/>
              </w:rPr>
            </w:pPr>
          </w:p>
        </w:tc>
      </w:tr>
      <w:tr w:rsidR="00E27BD2" w:rsidTr="00E27BD2">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E27BD2" w:rsidRDefault="00E27BD2">
            <w:pPr>
              <w:rPr>
                <w:rFonts w:asciiTheme="minorHAnsi" w:hAnsiTheme="minorHAnsi"/>
                <w:b/>
                <w:color w:val="000000" w:themeColor="text1"/>
                <w:sz w:val="24"/>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27BD2" w:rsidRDefault="00E27BD2">
            <w:pPr>
              <w:rPr>
                <w:rFonts w:asciiTheme="minorHAnsi" w:hAnsiTheme="minorHAnsi" w:cs="Arial"/>
                <w:color w:val="000000" w:themeColor="text1"/>
                <w:sz w:val="20"/>
              </w:rPr>
            </w:pPr>
          </w:p>
        </w:tc>
      </w:tr>
    </w:tbl>
    <w:p w:rsidR="00E27BD2" w:rsidRDefault="00E27BD2" w:rsidP="00D708C3">
      <w:pPr>
        <w:rPr>
          <w:rFonts w:ascii="Arial" w:hAnsi="Arial" w:cs="Arial"/>
          <w:b/>
          <w:color w:val="000000" w:themeColor="text1"/>
          <w:u w:val="single"/>
        </w:rPr>
        <w:sectPr w:rsidR="00E27BD2" w:rsidSect="004C52FC">
          <w:pgSz w:w="15840" w:h="12240" w:orient="landscape"/>
          <w:pgMar w:top="1440" w:right="1152" w:bottom="1440" w:left="1152" w:header="720" w:footer="288" w:gutter="0"/>
          <w:cols w:space="720"/>
          <w:docGrid w:linePitch="360"/>
        </w:sectPr>
      </w:pPr>
    </w:p>
    <w:p w:rsidR="003B7BFE" w:rsidRDefault="003B7BFE" w:rsidP="003B7BFE">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rsidR="003B7BFE" w:rsidRDefault="003B7BFE" w:rsidP="003B7BFE">
      <w:pPr>
        <w:rPr>
          <w:rFonts w:ascii="Arial" w:hAnsi="Arial" w:cs="Arial"/>
          <w:color w:val="000000"/>
          <w:sz w:val="20"/>
          <w:szCs w:val="20"/>
        </w:rPr>
      </w:pPr>
    </w:p>
    <w:p w:rsidR="003B7BFE" w:rsidRDefault="003B7BFE" w:rsidP="003B7BFE">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rsidR="003B7BFE" w:rsidRDefault="003B7BFE" w:rsidP="003B7BFE">
      <w:pPr>
        <w:rPr>
          <w:rFonts w:ascii="Arial" w:hAnsi="Arial" w:cs="Arial"/>
          <w:color w:val="000000"/>
          <w:sz w:val="20"/>
          <w:szCs w:val="20"/>
        </w:rPr>
      </w:pPr>
    </w:p>
    <w:p w:rsidR="003B7BFE" w:rsidRDefault="003B7BFE" w:rsidP="003B7BFE">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rsidR="003B7BFE" w:rsidRDefault="003B7BFE" w:rsidP="003B7BFE">
      <w:pPr>
        <w:rPr>
          <w:rFonts w:ascii="Arial" w:hAnsi="Arial" w:cs="Arial"/>
          <w:b/>
          <w:color w:val="FF0000"/>
          <w:sz w:val="20"/>
          <w:szCs w:val="20"/>
        </w:rPr>
      </w:pPr>
    </w:p>
    <w:p w:rsidR="003B7BFE" w:rsidRDefault="003B7BFE" w:rsidP="003B7BFE">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CRITICAL THINKING/PROBLEM SOLVING </w:t>
      </w:r>
    </w:p>
    <w:p w:rsidR="003B7BFE" w:rsidRDefault="003B7BFE" w:rsidP="003B7BFE">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rsidR="003B7BFE" w:rsidRDefault="003B7BFE" w:rsidP="003B7BFE">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COMPUTER LITERACY </w:t>
      </w:r>
    </w:p>
    <w:p w:rsidR="003B7BFE" w:rsidRDefault="003B7BFE" w:rsidP="003B7BFE">
      <w:pPr>
        <w:rPr>
          <w:rFonts w:ascii="Arial" w:hAnsi="Arial" w:cs="Arial"/>
          <w:b/>
          <w:color w:val="FF0000"/>
          <w:sz w:val="20"/>
          <w:szCs w:val="20"/>
        </w:rPr>
      </w:pPr>
    </w:p>
    <w:p w:rsidR="003B7BFE" w:rsidRDefault="003B7BFE" w:rsidP="003B7BFE">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rsidR="003B7BFE" w:rsidRDefault="003B7BFE" w:rsidP="003B7BFE">
      <w:pPr>
        <w:rPr>
          <w:rFonts w:ascii="Arial" w:hAnsi="Arial" w:cs="Arial"/>
          <w:b/>
          <w:color w:val="FF0000"/>
          <w:sz w:val="20"/>
          <w:szCs w:val="20"/>
        </w:rPr>
      </w:pPr>
    </w:p>
    <w:p w:rsidR="003B7BFE" w:rsidRDefault="003B7BFE" w:rsidP="003B7BFE">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rsidR="003B7BFE" w:rsidRDefault="003B7BFE" w:rsidP="003B7BFE">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3B7BFE" w:rsidTr="003B7BFE">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7BFE" w:rsidRDefault="003B7BFE">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rsidR="003B7BFE" w:rsidRDefault="003B7BFE">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B7BFE" w:rsidRDefault="003B7BFE">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3B7BFE">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rsidR="003B7BFE" w:rsidRDefault="003B7BFE">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rsidR="003B7BFE" w:rsidRDefault="003B7BFE">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rsidR="003B7BFE" w:rsidRDefault="003B7BFE">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rsidR="003B7BFE" w:rsidRDefault="003B7BFE">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3B7BFE" w:rsidTr="003B7BFE">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7BFE" w:rsidRDefault="003B7BFE">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3B7BFE" w:rsidRDefault="003B7BF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B7BFE" w:rsidRDefault="003B7BF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D438B4">
            <w:pPr>
              <w:spacing w:line="256" w:lineRule="auto"/>
              <w:ind w:left="72"/>
              <w:rPr>
                <w:rFonts w:ascii="Calibri" w:hAnsi="Calibri" w:cs="Arial"/>
                <w:color w:val="000000"/>
              </w:rPr>
            </w:pPr>
            <w:r>
              <w:rPr>
                <w:rFonts w:ascii="Calibri" w:hAnsi="Calibri" w:cs="Arial"/>
                <w:color w:val="000000"/>
              </w:rPr>
              <w:t xml:space="preserve">HIS 1102, HUM 1125, PHI 2205, PLS 1120 </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3B7BFE">
            <w:pPr>
              <w:spacing w:line="256" w:lineRule="auto"/>
              <w:ind w:left="72"/>
              <w:rPr>
                <w:rFonts w:ascii="Calibri" w:hAnsi="Calibri" w:cs="Arial"/>
                <w:color w:val="000000"/>
              </w:rPr>
            </w:pPr>
          </w:p>
        </w:tc>
      </w:tr>
      <w:tr w:rsidR="003B7BFE" w:rsidTr="003B7BF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7BFE" w:rsidRDefault="003B7BFE">
            <w:pPr>
              <w:tabs>
                <w:tab w:val="left" w:pos="5040"/>
              </w:tabs>
              <w:spacing w:line="256" w:lineRule="auto"/>
              <w:rPr>
                <w:rFonts w:ascii="Calibri" w:hAnsi="Calibri" w:cs="Arial"/>
              </w:rPr>
            </w:pPr>
            <w:r>
              <w:rPr>
                <w:rFonts w:ascii="Calibri" w:hAnsi="Calibri" w:cs="Arial"/>
              </w:rPr>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3B7BFE" w:rsidRDefault="003B7BF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B7BFE" w:rsidRDefault="003B7BF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D438B4">
            <w:pPr>
              <w:spacing w:line="256" w:lineRule="auto"/>
              <w:ind w:left="72"/>
              <w:rPr>
                <w:rFonts w:ascii="Calibri" w:hAnsi="Calibri" w:cs="Arial"/>
                <w:color w:val="000000"/>
              </w:rPr>
            </w:pPr>
            <w:r>
              <w:rPr>
                <w:rFonts w:ascii="Calibri" w:hAnsi="Calibri" w:cs="Arial"/>
                <w:color w:val="000000"/>
              </w:rPr>
              <w:t>HIS 1102, HUM 1125, PHI 2205, PLS 1120</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3B7BFE">
            <w:pPr>
              <w:spacing w:line="256" w:lineRule="auto"/>
              <w:ind w:left="72"/>
              <w:rPr>
                <w:rFonts w:ascii="Calibri" w:hAnsi="Calibri" w:cs="Arial"/>
                <w:color w:val="000000"/>
              </w:rPr>
            </w:pPr>
          </w:p>
        </w:tc>
      </w:tr>
      <w:tr w:rsidR="003B7BFE" w:rsidTr="003B7BF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B7BFE" w:rsidRDefault="003B7BFE">
            <w:pPr>
              <w:tabs>
                <w:tab w:val="left" w:pos="5040"/>
              </w:tabs>
              <w:spacing w:line="256" w:lineRule="auto"/>
              <w:rPr>
                <w:rFonts w:ascii="Calibri" w:hAnsi="Calibri" w:cs="Arial"/>
                <w:color w:val="000000"/>
              </w:rPr>
            </w:pPr>
            <w:r>
              <w:rPr>
                <w:rFonts w:ascii="Calibri" w:hAnsi="Calibri" w:cs="Arial"/>
                <w:color w:val="000000"/>
              </w:rPr>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rsidR="003B7BFE" w:rsidRDefault="003B7BFE">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rsidR="003B7BFE" w:rsidRDefault="003B7BFE">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D438B4">
            <w:pPr>
              <w:spacing w:line="256" w:lineRule="auto"/>
              <w:ind w:left="72"/>
              <w:rPr>
                <w:rFonts w:ascii="Calibri" w:hAnsi="Calibri" w:cs="Arial"/>
                <w:color w:val="000000"/>
              </w:rPr>
            </w:pPr>
            <w:r>
              <w:rPr>
                <w:rFonts w:ascii="Calibri" w:hAnsi="Calibri" w:cs="Arial"/>
                <w:color w:val="000000"/>
              </w:rPr>
              <w:t xml:space="preserve">HIS 1102, HUM 1125, PHI 2205, PLS </w:t>
            </w:r>
            <w:r>
              <w:rPr>
                <w:rFonts w:ascii="Calibri" w:hAnsi="Calibri" w:cs="Arial"/>
                <w:color w:val="000000"/>
              </w:rPr>
              <w:lastRenderedPageBreak/>
              <w:t>1120 (Online Courses)</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rsidR="003B7BFE" w:rsidRDefault="003B7BFE">
            <w:pPr>
              <w:spacing w:line="256" w:lineRule="auto"/>
              <w:ind w:left="72"/>
              <w:rPr>
                <w:rFonts w:ascii="Calibri" w:hAnsi="Calibri" w:cs="Arial"/>
                <w:color w:val="000000"/>
              </w:rPr>
            </w:pPr>
          </w:p>
        </w:tc>
      </w:tr>
      <w:tr w:rsidR="003B7BFE" w:rsidTr="003B7BF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B7BFE" w:rsidRDefault="003B7BFE">
            <w:pPr>
              <w:tabs>
                <w:tab w:val="left" w:pos="5040"/>
              </w:tabs>
              <w:spacing w:line="256" w:lineRule="auto"/>
              <w:rPr>
                <w:rFonts w:ascii="Calibri" w:hAnsi="Calibri" w:cs="Arial"/>
                <w:color w:val="FFFFFF"/>
              </w:rPr>
            </w:pPr>
            <w:r>
              <w:rPr>
                <w:rFonts w:ascii="Calibri" w:hAnsi="Calibri" w:cs="Arial"/>
                <w:color w:val="FFFFFF"/>
              </w:rPr>
              <w:lastRenderedPageBreak/>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3B7BFE" w:rsidRDefault="003B7BFE">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3B7BFE" w:rsidRDefault="003B7BFE">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3B7BFE" w:rsidRDefault="003B7BFE">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3B7BFE" w:rsidRDefault="003B7BFE">
            <w:pPr>
              <w:spacing w:line="256" w:lineRule="auto"/>
              <w:ind w:left="72"/>
              <w:rPr>
                <w:rFonts w:ascii="Calibri" w:hAnsi="Calibri" w:cs="Arial"/>
                <w:color w:val="FFFFFF"/>
              </w:rPr>
            </w:pPr>
          </w:p>
        </w:tc>
      </w:tr>
      <w:tr w:rsidR="003B7BFE" w:rsidTr="003B7BF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B7BFE" w:rsidRDefault="003B7BFE">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3B7BFE" w:rsidRDefault="003B7BFE">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3B7BFE" w:rsidRDefault="003B7BFE">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3B7BFE" w:rsidRDefault="003B7BFE">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3B7BFE" w:rsidRDefault="003B7BFE">
            <w:pPr>
              <w:spacing w:line="256" w:lineRule="auto"/>
              <w:ind w:left="72"/>
              <w:rPr>
                <w:rFonts w:ascii="Calibri" w:hAnsi="Calibri" w:cs="Arial"/>
                <w:color w:val="FFFFFF"/>
              </w:rPr>
            </w:pPr>
          </w:p>
        </w:tc>
      </w:tr>
      <w:tr w:rsidR="003B7BFE" w:rsidTr="003B7BFE">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3B7BFE" w:rsidRDefault="003B7BFE">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rsidR="003B7BFE" w:rsidRDefault="003B7BFE">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rsidR="003B7BFE" w:rsidRDefault="003B7BFE">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rsidR="003B7BFE" w:rsidRDefault="003B7BFE">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rsidR="003B7BFE" w:rsidRDefault="003B7BFE">
            <w:pPr>
              <w:spacing w:line="256" w:lineRule="auto"/>
              <w:ind w:left="72"/>
              <w:rPr>
                <w:rFonts w:ascii="Calibri" w:hAnsi="Calibri" w:cs="Arial"/>
                <w:color w:val="FFFFFF"/>
              </w:rPr>
            </w:pPr>
          </w:p>
        </w:tc>
      </w:tr>
      <w:tr w:rsidR="003B7BFE" w:rsidTr="0051073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rsidR="003B7BFE" w:rsidRDefault="003B7BFE">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b/>
                <w:color w:val="000000"/>
              </w:rPr>
            </w:pPr>
            <w:r>
              <w:rPr>
                <w:rFonts w:ascii="Calibri" w:hAnsi="Calibri" w:cs="Arial"/>
                <w:b/>
                <w:color w:val="000000"/>
              </w:rPr>
              <w:t>OPTIONAL FOR FY 2014-15</w:t>
            </w: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tc>
      </w:tr>
      <w:tr w:rsidR="003B7BFE" w:rsidTr="00510731">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rsidR="003B7BFE" w:rsidRDefault="003B7BFE">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p w:rsidR="003B7BFE" w:rsidRDefault="003B7BFE">
            <w:pPr>
              <w:tabs>
                <w:tab w:val="left" w:pos="5040"/>
              </w:tabs>
              <w:spacing w:line="256" w:lineRule="auto"/>
              <w:rPr>
                <w:rFonts w:ascii="Calibri" w:hAnsi="Calibri" w:cs="Arial"/>
              </w:rPr>
            </w:pP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b/>
                <w:color w:val="000000"/>
              </w:rPr>
            </w:pPr>
            <w:r>
              <w:rPr>
                <w:rFonts w:ascii="Calibri" w:hAnsi="Calibri" w:cs="Arial"/>
                <w:b/>
                <w:color w:val="000000"/>
              </w:rPr>
              <w:t>OPTIONAL FOR FY 2014-15</w:t>
            </w: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p w:rsidR="003B7BFE" w:rsidRDefault="003B7BFE">
            <w:pPr>
              <w:spacing w:line="256" w:lineRule="auto"/>
              <w:ind w:left="72"/>
              <w:rPr>
                <w:rFonts w:ascii="Calibri" w:hAnsi="Calibri" w:cs="Arial"/>
                <w:color w:val="000000"/>
              </w:rPr>
            </w:pPr>
          </w:p>
        </w:tc>
      </w:tr>
    </w:tbl>
    <w:p w:rsidR="003B7BFE" w:rsidRDefault="003B7BFE" w:rsidP="003B7BFE"/>
    <w:p w:rsidR="003B7BFE" w:rsidRDefault="003B7BFE" w:rsidP="003B7BFE"/>
    <w:p w:rsidR="003B7BFE" w:rsidRDefault="003B7BFE" w:rsidP="003B7BFE">
      <w:pPr>
        <w:ind w:left="900"/>
        <w:rPr>
          <w:rFonts w:ascii="Arial" w:hAnsi="Arial" w:cs="Arial"/>
          <w:b/>
          <w:color w:val="000000"/>
          <w:u w:val="single"/>
        </w:rPr>
      </w:pPr>
    </w:p>
    <w:p w:rsidR="003B7BFE" w:rsidRDefault="003B7BFE" w:rsidP="003B7BFE">
      <w:pPr>
        <w:rPr>
          <w:rFonts w:ascii="Arial" w:hAnsi="Arial" w:cs="Arial"/>
          <w:b/>
          <w:color w:val="000000"/>
          <w:u w:val="single"/>
        </w:rPr>
        <w:sectPr w:rsidR="003B7BFE">
          <w:pgSz w:w="15840" w:h="12240" w:orient="landscape"/>
          <w:pgMar w:top="1440" w:right="1152" w:bottom="1440" w:left="1152" w:header="720" w:footer="288" w:gutter="0"/>
          <w:cols w:space="720"/>
        </w:sectPr>
      </w:pPr>
    </w:p>
    <w:p w:rsidR="00277F1A" w:rsidRDefault="00277F1A" w:rsidP="00D708C3">
      <w:pPr>
        <w:rPr>
          <w:rFonts w:ascii="Arial" w:hAnsi="Arial" w:cs="Arial"/>
          <w:b/>
          <w:color w:val="000000" w:themeColor="text1"/>
          <w:u w:val="single"/>
        </w:rPr>
      </w:pPr>
    </w:p>
    <w:p w:rsidR="00277F1A" w:rsidRDefault="00277F1A" w:rsidP="00D708C3">
      <w:pPr>
        <w:rPr>
          <w:rFonts w:ascii="Arial" w:hAnsi="Arial" w:cs="Arial"/>
          <w:b/>
          <w:color w:val="000000" w:themeColor="text1"/>
          <w:u w:val="single"/>
        </w:rPr>
      </w:pPr>
    </w:p>
    <w:tbl>
      <w:tblPr>
        <w:tblStyle w:val="TableGrid"/>
        <w:tblW w:w="13158" w:type="dxa"/>
        <w:shd w:val="clear" w:color="auto" w:fill="FFFFFF"/>
        <w:tblLayout w:type="fixed"/>
        <w:tblLook w:val="01E0" w:firstRow="1" w:lastRow="1" w:firstColumn="1" w:lastColumn="1" w:noHBand="0" w:noVBand="0"/>
      </w:tblPr>
      <w:tblGrid>
        <w:gridCol w:w="3708"/>
        <w:gridCol w:w="1742"/>
        <w:gridCol w:w="1430"/>
        <w:gridCol w:w="2250"/>
        <w:gridCol w:w="4028"/>
      </w:tblGrid>
      <w:tr w:rsidR="00B34F9E" w:rsidRPr="004C52FC" w:rsidTr="00B34F9E">
        <w:trPr>
          <w:trHeight w:val="274"/>
        </w:trPr>
        <w:tc>
          <w:tcPr>
            <w:tcW w:w="3708" w:type="dxa"/>
            <w:shd w:val="clear" w:color="auto" w:fill="FFFFFF"/>
            <w:vAlign w:val="center"/>
          </w:tcPr>
          <w:p w:rsidR="00B34F9E" w:rsidRPr="004C52FC" w:rsidRDefault="00B34F9E">
            <w:pPr>
              <w:jc w:val="center"/>
              <w:rPr>
                <w:rFonts w:asciiTheme="minorHAnsi" w:hAnsiTheme="minorHAnsi"/>
                <w:b/>
                <w:sz w:val="24"/>
                <w:szCs w:val="24"/>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Assessment Methods</w:t>
            </w:r>
          </w:p>
          <w:p w:rsidR="00B34F9E" w:rsidRPr="004C52FC" w:rsidRDefault="00B34F9E" w:rsidP="00C50A91">
            <w:pPr>
              <w:jc w:val="center"/>
              <w:rPr>
                <w:rFonts w:asciiTheme="minorHAnsi" w:hAnsiTheme="minorHAnsi" w:cs="Arial"/>
                <w:color w:val="000000" w:themeColor="text1"/>
                <w:sz w:val="20"/>
                <w:szCs w:val="24"/>
              </w:rPr>
            </w:pPr>
            <w:r w:rsidRPr="004C52FC">
              <w:rPr>
                <w:rFonts w:asciiTheme="minorHAnsi" w:hAnsiTheme="minorHAnsi" w:cs="Arial"/>
                <w:color w:val="000000" w:themeColor="text1"/>
                <w:sz w:val="20"/>
                <w:szCs w:val="24"/>
              </w:rPr>
              <w:t>Used</w:t>
            </w:r>
          </w:p>
          <w:p w:rsidR="00B34F9E" w:rsidRPr="004C52FC" w:rsidRDefault="00B34F9E" w:rsidP="00C50A91">
            <w:pPr>
              <w:jc w:val="center"/>
              <w:rPr>
                <w:rFonts w:asciiTheme="minorHAnsi" w:hAnsiTheme="minorHAnsi" w:cs="Arial"/>
                <w:color w:val="000000" w:themeColor="text1"/>
                <w:sz w:val="20"/>
                <w:szCs w:val="24"/>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1E1B7F" w:rsidRPr="004C52FC" w:rsidTr="009B1A9F">
        <w:trPr>
          <w:trHeight w:val="274"/>
        </w:trPr>
        <w:tc>
          <w:tcPr>
            <w:tcW w:w="3708" w:type="dxa"/>
            <w:shd w:val="clear" w:color="auto" w:fill="FFFFFF"/>
            <w:vAlign w:val="center"/>
          </w:tcPr>
          <w:p w:rsidR="001E1B7F" w:rsidRDefault="001E1B7F" w:rsidP="006E36C2">
            <w:r>
              <w:t>Demonstrate ability to think logically and solve problems using analysis, synthesis and evaluation.</w:t>
            </w:r>
          </w:p>
          <w:p w:rsidR="001E1B7F" w:rsidRPr="00814EB1" w:rsidRDefault="001E1B7F" w:rsidP="006E36C2">
            <w:pPr>
              <w:ind w:left="360"/>
              <w:rPr>
                <w:rFonts w:ascii="Verdana" w:hAnsi="Verdana"/>
                <w:sz w:val="20"/>
                <w:szCs w:val="20"/>
              </w:rPr>
            </w:pPr>
          </w:p>
        </w:tc>
        <w:tc>
          <w:tcPr>
            <w:tcW w:w="1742" w:type="dxa"/>
            <w:vAlign w:val="center"/>
          </w:tcPr>
          <w:p w:rsidR="001E1B7F" w:rsidRPr="00AD236A" w:rsidRDefault="001E1B7F" w:rsidP="006E36C2">
            <w:pPr>
              <w:rPr>
                <w:rFonts w:ascii="Verdana" w:hAnsi="Verdana"/>
                <w:sz w:val="20"/>
                <w:szCs w:val="20"/>
              </w:rPr>
            </w:pPr>
            <w:r w:rsidRPr="007C7FCF">
              <w:rPr>
                <w:rFonts w:ascii="Verdana" w:hAnsi="Verdana"/>
                <w:sz w:val="20"/>
                <w:szCs w:val="20"/>
              </w:rPr>
              <w:t>MAT 1190, 1250</w:t>
            </w:r>
          </w:p>
        </w:tc>
        <w:tc>
          <w:tcPr>
            <w:tcW w:w="1430" w:type="dxa"/>
            <w:shd w:val="clear" w:color="auto" w:fill="auto"/>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rPr>
          <w:trHeight w:val="72"/>
        </w:trPr>
        <w:tc>
          <w:tcPr>
            <w:tcW w:w="3708" w:type="dxa"/>
            <w:shd w:val="clear" w:color="auto" w:fill="FFFFFF"/>
            <w:vAlign w:val="center"/>
          </w:tcPr>
          <w:p w:rsidR="001E1B7F" w:rsidRDefault="001E1B7F" w:rsidP="006E36C2">
            <w:r>
              <w:t>Recognize and articulate an understanding of the increasing interdependence of world cultures and their consequences.</w:t>
            </w:r>
          </w:p>
          <w:p w:rsidR="001E1B7F" w:rsidRPr="00814EB1" w:rsidRDefault="001E1B7F" w:rsidP="006E36C2">
            <w:pPr>
              <w:rPr>
                <w:rFonts w:ascii="Verdana" w:hAnsi="Verdana"/>
                <w:sz w:val="20"/>
                <w:szCs w:val="20"/>
              </w:rPr>
            </w:pPr>
          </w:p>
        </w:tc>
        <w:tc>
          <w:tcPr>
            <w:tcW w:w="1742" w:type="dxa"/>
            <w:vAlign w:val="center"/>
          </w:tcPr>
          <w:p w:rsidR="001E1B7F" w:rsidRDefault="001E1B7F" w:rsidP="006E36C2">
            <w:pPr>
              <w:ind w:left="720"/>
              <w:rPr>
                <w:rFonts w:ascii="Verdana" w:hAnsi="Verdana"/>
                <w:color w:val="333333"/>
                <w:sz w:val="17"/>
                <w:szCs w:val="17"/>
              </w:rPr>
            </w:pPr>
            <w:r>
              <w:rPr>
                <w:rFonts w:ascii="Verdana" w:hAnsi="Verdana"/>
                <w:color w:val="333333"/>
                <w:sz w:val="17"/>
                <w:szCs w:val="17"/>
              </w:rPr>
              <w:t xml:space="preserve">ART 2236, </w:t>
            </w:r>
          </w:p>
          <w:p w:rsidR="001E1B7F" w:rsidRPr="000C275D" w:rsidRDefault="001E1B7F" w:rsidP="006E36C2">
            <w:pPr>
              <w:ind w:left="720"/>
              <w:rPr>
                <w:rFonts w:ascii="Verdana" w:hAnsi="Verdana"/>
                <w:color w:val="333333"/>
                <w:sz w:val="17"/>
                <w:szCs w:val="17"/>
              </w:rPr>
            </w:pPr>
            <w:r w:rsidRPr="000C275D">
              <w:rPr>
                <w:rFonts w:ascii="Verdana" w:hAnsi="Verdana"/>
                <w:color w:val="333333"/>
                <w:sz w:val="17"/>
                <w:szCs w:val="17"/>
              </w:rPr>
              <w:t>PSY 22</w:t>
            </w:r>
            <w:r>
              <w:rPr>
                <w:rFonts w:ascii="Verdana" w:hAnsi="Verdana"/>
                <w:color w:val="333333"/>
                <w:sz w:val="17"/>
                <w:szCs w:val="17"/>
              </w:rPr>
              <w:t>25,</w:t>
            </w:r>
          </w:p>
          <w:p w:rsidR="001E1B7F" w:rsidRPr="000C275D" w:rsidRDefault="001E1B7F" w:rsidP="006E36C2">
            <w:pPr>
              <w:ind w:left="720"/>
              <w:rPr>
                <w:rFonts w:ascii="Verdana" w:hAnsi="Verdana"/>
                <w:color w:val="333333"/>
                <w:sz w:val="17"/>
                <w:szCs w:val="17"/>
              </w:rPr>
            </w:pPr>
            <w:r w:rsidRPr="000C275D">
              <w:rPr>
                <w:rFonts w:ascii="Verdana" w:hAnsi="Verdana"/>
                <w:color w:val="333333"/>
                <w:sz w:val="17"/>
                <w:szCs w:val="17"/>
              </w:rPr>
              <w:t xml:space="preserve">GEO </w:t>
            </w:r>
            <w:r>
              <w:rPr>
                <w:rFonts w:ascii="Verdana" w:hAnsi="Verdana"/>
                <w:color w:val="333333"/>
                <w:sz w:val="17"/>
                <w:szCs w:val="17"/>
              </w:rPr>
              <w:t>1201,</w:t>
            </w:r>
          </w:p>
          <w:p w:rsidR="001E1B7F" w:rsidRPr="000C275D" w:rsidRDefault="001E1B7F" w:rsidP="006E36C2">
            <w:pPr>
              <w:ind w:left="720"/>
              <w:rPr>
                <w:rFonts w:ascii="Verdana" w:hAnsi="Verdana"/>
                <w:color w:val="333333"/>
                <w:sz w:val="17"/>
                <w:szCs w:val="17"/>
              </w:rPr>
            </w:pPr>
            <w:r w:rsidRPr="000C275D">
              <w:rPr>
                <w:rFonts w:ascii="Verdana" w:hAnsi="Verdana"/>
                <w:color w:val="333333"/>
                <w:sz w:val="17"/>
                <w:szCs w:val="17"/>
              </w:rPr>
              <w:t>SOC</w:t>
            </w:r>
            <w:r>
              <w:rPr>
                <w:rFonts w:ascii="Verdana" w:hAnsi="Verdana"/>
                <w:color w:val="333333"/>
                <w:sz w:val="17"/>
                <w:szCs w:val="17"/>
              </w:rPr>
              <w:t xml:space="preserve"> 2215,</w:t>
            </w:r>
          </w:p>
          <w:p w:rsidR="001E1B7F" w:rsidRPr="000C275D" w:rsidRDefault="001E1B7F" w:rsidP="006E36C2">
            <w:pPr>
              <w:ind w:left="720"/>
              <w:rPr>
                <w:rFonts w:ascii="Verdana" w:hAnsi="Verdana"/>
                <w:color w:val="333333"/>
                <w:sz w:val="17"/>
                <w:szCs w:val="17"/>
              </w:rPr>
            </w:pPr>
            <w:r w:rsidRPr="0056523A">
              <w:rPr>
                <w:rFonts w:ascii="Verdana" w:hAnsi="Verdana"/>
                <w:color w:val="333333"/>
                <w:sz w:val="17"/>
                <w:szCs w:val="17"/>
              </w:rPr>
              <w:t xml:space="preserve">HUM </w:t>
            </w:r>
            <w:r>
              <w:rPr>
                <w:rFonts w:ascii="Verdana" w:hAnsi="Verdana"/>
                <w:color w:val="333333"/>
                <w:sz w:val="17"/>
                <w:szCs w:val="17"/>
              </w:rPr>
              <w:t>1130,</w:t>
            </w:r>
          </w:p>
          <w:p w:rsidR="001E1B7F" w:rsidRPr="000C275D" w:rsidRDefault="001E1B7F" w:rsidP="006E36C2">
            <w:pPr>
              <w:ind w:left="720"/>
              <w:rPr>
                <w:rFonts w:ascii="Verdana" w:hAnsi="Verdana"/>
                <w:color w:val="333333"/>
                <w:sz w:val="17"/>
                <w:szCs w:val="17"/>
              </w:rPr>
            </w:pPr>
            <w:r>
              <w:rPr>
                <w:rFonts w:ascii="Verdana" w:hAnsi="Verdana"/>
                <w:color w:val="333333"/>
                <w:sz w:val="17"/>
                <w:szCs w:val="17"/>
              </w:rPr>
              <w:t xml:space="preserve">GEO </w:t>
            </w:r>
            <w:r w:rsidRPr="000C275D">
              <w:rPr>
                <w:rFonts w:ascii="Verdana" w:hAnsi="Verdana"/>
                <w:color w:val="333333"/>
                <w:sz w:val="17"/>
                <w:szCs w:val="17"/>
              </w:rPr>
              <w:t>1</w:t>
            </w:r>
            <w:r>
              <w:rPr>
                <w:rFonts w:ascii="Verdana" w:hAnsi="Verdana"/>
                <w:color w:val="333333"/>
                <w:sz w:val="17"/>
                <w:szCs w:val="17"/>
              </w:rPr>
              <w:t>101,</w:t>
            </w:r>
            <w:r w:rsidRPr="000C275D">
              <w:rPr>
                <w:rFonts w:ascii="Verdana" w:hAnsi="Verdana"/>
                <w:color w:val="333333"/>
                <w:sz w:val="17"/>
                <w:szCs w:val="17"/>
              </w:rPr>
              <w:t xml:space="preserve"> </w:t>
            </w:r>
          </w:p>
          <w:p w:rsidR="001E1B7F" w:rsidRPr="00AD236A" w:rsidRDefault="001E1B7F" w:rsidP="006E36C2">
            <w:pPr>
              <w:ind w:left="720"/>
              <w:rPr>
                <w:rFonts w:ascii="Verdana" w:hAnsi="Verdana"/>
                <w:sz w:val="20"/>
                <w:szCs w:val="20"/>
              </w:rPr>
            </w:pPr>
            <w:r w:rsidRPr="000C275D">
              <w:rPr>
                <w:rFonts w:ascii="Verdana" w:hAnsi="Verdana"/>
                <w:color w:val="333333"/>
                <w:sz w:val="17"/>
                <w:szCs w:val="17"/>
              </w:rPr>
              <w:t>PLS 200</w:t>
            </w:r>
            <w:r>
              <w:rPr>
                <w:rFonts w:ascii="Verdana" w:hAnsi="Verdana"/>
                <w:color w:val="333333"/>
                <w:sz w:val="17"/>
                <w:szCs w:val="17"/>
              </w:rPr>
              <w:t>0,</w:t>
            </w:r>
            <w:r w:rsidRPr="000C275D">
              <w:rPr>
                <w:rFonts w:ascii="Verdana" w:hAnsi="Verdana"/>
                <w:color w:val="333333"/>
                <w:sz w:val="17"/>
                <w:szCs w:val="17"/>
              </w:rPr>
              <w:t xml:space="preserve"> LIT 217</w:t>
            </w:r>
            <w:r>
              <w:rPr>
                <w:rFonts w:ascii="Verdana" w:hAnsi="Verdana"/>
                <w:color w:val="333333"/>
                <w:sz w:val="17"/>
                <w:szCs w:val="17"/>
              </w:rPr>
              <w:t>0, LIT 2234,</w:t>
            </w:r>
            <w:r w:rsidRPr="000C275D">
              <w:rPr>
                <w:rFonts w:ascii="Verdana" w:hAnsi="Verdana"/>
                <w:color w:val="333333"/>
                <w:sz w:val="17"/>
                <w:szCs w:val="17"/>
              </w:rPr>
              <w:t xml:space="preserve"> SOC 1</w:t>
            </w:r>
            <w:r>
              <w:rPr>
                <w:rFonts w:ascii="Verdana" w:hAnsi="Verdana"/>
                <w:color w:val="333333"/>
                <w:sz w:val="17"/>
                <w:szCs w:val="17"/>
              </w:rPr>
              <w:t>1</w:t>
            </w:r>
            <w:r w:rsidRPr="000C275D">
              <w:rPr>
                <w:rFonts w:ascii="Verdana" w:hAnsi="Verdana"/>
                <w:color w:val="333333"/>
                <w:sz w:val="17"/>
                <w:szCs w:val="17"/>
              </w:rPr>
              <w:t>45</w:t>
            </w:r>
          </w:p>
        </w:tc>
        <w:tc>
          <w:tcPr>
            <w:tcW w:w="1430" w:type="dxa"/>
            <w:shd w:val="clear" w:color="auto" w:fill="auto"/>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rPr>
          <w:trHeight w:val="72"/>
        </w:trPr>
        <w:tc>
          <w:tcPr>
            <w:tcW w:w="3708" w:type="dxa"/>
            <w:shd w:val="clear" w:color="auto" w:fill="FFFFFF"/>
            <w:vAlign w:val="center"/>
          </w:tcPr>
          <w:p w:rsidR="001E1B7F" w:rsidRPr="00111959" w:rsidRDefault="001E1B7F" w:rsidP="006E36C2"/>
          <w:p w:rsidR="001E1B7F" w:rsidRDefault="001E1B7F" w:rsidP="006E36C2">
            <w:r>
              <w:t>Demonstrate responsibility and accountability in accomplishing goals.</w:t>
            </w:r>
          </w:p>
          <w:p w:rsidR="001E1B7F" w:rsidRPr="00111959" w:rsidRDefault="001E1B7F" w:rsidP="006E36C2"/>
          <w:p w:rsidR="001E1B7F" w:rsidRPr="00111959" w:rsidRDefault="001E1B7F" w:rsidP="006E36C2"/>
        </w:tc>
        <w:tc>
          <w:tcPr>
            <w:tcW w:w="1742" w:type="dxa"/>
            <w:vAlign w:val="center"/>
          </w:tcPr>
          <w:p w:rsidR="001E1B7F" w:rsidRPr="00AD236A" w:rsidRDefault="001E1B7F" w:rsidP="006E36C2">
            <w:pPr>
              <w:rPr>
                <w:rFonts w:ascii="Verdana" w:hAnsi="Verdana"/>
                <w:sz w:val="20"/>
                <w:szCs w:val="20"/>
              </w:rPr>
            </w:pPr>
            <w:r w:rsidRPr="007C7FCF">
              <w:rPr>
                <w:rFonts w:ascii="Verdana" w:hAnsi="Verdana"/>
                <w:sz w:val="20"/>
                <w:szCs w:val="20"/>
              </w:rPr>
              <w:t>SCC 1101</w:t>
            </w:r>
          </w:p>
        </w:tc>
        <w:tc>
          <w:tcPr>
            <w:tcW w:w="1430" w:type="dxa"/>
            <w:shd w:val="clear" w:color="auto" w:fill="auto"/>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Communicate effectively in a variety of ways with varied audiences through writing skills, oral communication skills, listening skills, reading skills, computer literacy and information literacy.</w:t>
            </w:r>
          </w:p>
          <w:p w:rsidR="001E1B7F" w:rsidRPr="00111959" w:rsidRDefault="001E1B7F" w:rsidP="006E36C2"/>
        </w:tc>
        <w:tc>
          <w:tcPr>
            <w:tcW w:w="1742" w:type="dxa"/>
            <w:vAlign w:val="center"/>
          </w:tcPr>
          <w:p w:rsidR="001E1B7F" w:rsidRPr="00AD236A" w:rsidRDefault="001E1B7F" w:rsidP="006E36C2">
            <w:pPr>
              <w:rPr>
                <w:rFonts w:ascii="Verdana" w:hAnsi="Verdana"/>
                <w:sz w:val="20"/>
                <w:szCs w:val="20"/>
              </w:rPr>
            </w:pPr>
            <w:r>
              <w:rPr>
                <w:rFonts w:ascii="Verdana" w:hAnsi="Verdana"/>
                <w:sz w:val="20"/>
                <w:szCs w:val="20"/>
              </w:rPr>
              <w:lastRenderedPageBreak/>
              <w:t>ENG 1101, 1201, BIS 1120</w:t>
            </w:r>
            <w:r w:rsidRPr="007C7FCF">
              <w:rPr>
                <w:rFonts w:ascii="Verdana" w:hAnsi="Verdana"/>
                <w:sz w:val="20"/>
                <w:szCs w:val="20"/>
              </w:rPr>
              <w:t>,</w:t>
            </w:r>
            <w:r>
              <w:rPr>
                <w:rFonts w:ascii="Verdana" w:hAnsi="Verdana"/>
                <w:sz w:val="20"/>
                <w:szCs w:val="20"/>
              </w:rPr>
              <w:t xml:space="preserve"> COM 2206, COM </w:t>
            </w:r>
            <w:r w:rsidRPr="00111959">
              <w:rPr>
                <w:rFonts w:ascii="Verdana" w:hAnsi="Verdana"/>
                <w:sz w:val="20"/>
                <w:szCs w:val="20"/>
              </w:rPr>
              <w:t>2111</w:t>
            </w:r>
          </w:p>
        </w:tc>
        <w:tc>
          <w:tcPr>
            <w:tcW w:w="1430" w:type="dxa"/>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lastRenderedPageBreak/>
              <w:t>Describe major historical themes and events in diverse times and places.</w:t>
            </w:r>
          </w:p>
        </w:tc>
        <w:tc>
          <w:tcPr>
            <w:tcW w:w="1742" w:type="dxa"/>
            <w:vAlign w:val="center"/>
          </w:tcPr>
          <w:p w:rsidR="001E1B7F" w:rsidRPr="00D20D4E" w:rsidRDefault="001E1B7F" w:rsidP="006E36C2">
            <w:pPr>
              <w:rPr>
                <w:rFonts w:ascii="Verdana" w:hAnsi="Verdana"/>
                <w:bCs/>
                <w:color w:val="333333"/>
                <w:sz w:val="17"/>
              </w:rPr>
            </w:pPr>
            <w:r w:rsidRPr="00D20D4E">
              <w:rPr>
                <w:rFonts w:ascii="Verdana" w:hAnsi="Verdana"/>
                <w:bCs/>
                <w:color w:val="333333"/>
                <w:sz w:val="17"/>
              </w:rPr>
              <w:t>HIS 1101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1105, HIS 2218,</w:t>
            </w:r>
          </w:p>
          <w:p w:rsidR="001E1B7F" w:rsidRPr="00D20D4E" w:rsidRDefault="001E1B7F" w:rsidP="006E36C2">
            <w:pPr>
              <w:rPr>
                <w:rFonts w:ascii="Verdana" w:hAnsi="Verdana"/>
                <w:bCs/>
                <w:color w:val="333333"/>
                <w:sz w:val="17"/>
              </w:rPr>
            </w:pPr>
            <w:r w:rsidRPr="00D20D4E">
              <w:rPr>
                <w:rFonts w:ascii="Verdana" w:hAnsi="Verdana"/>
                <w:bCs/>
                <w:color w:val="333333"/>
                <w:sz w:val="17"/>
              </w:rPr>
              <w:t>HIS 2215, HIS 2216, HIS 2217, HIS 2219</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Use historical evidence (primary and secondary sources) to construct arguments explaining historical events and trends.</w:t>
            </w:r>
          </w:p>
        </w:tc>
        <w:tc>
          <w:tcPr>
            <w:tcW w:w="1742" w:type="dxa"/>
            <w:vAlign w:val="center"/>
          </w:tcPr>
          <w:p w:rsidR="001E1B7F" w:rsidRPr="00D20D4E" w:rsidRDefault="001E1B7F" w:rsidP="006E36C2">
            <w:pPr>
              <w:rPr>
                <w:rFonts w:ascii="Verdana" w:hAnsi="Verdana"/>
                <w:bCs/>
                <w:color w:val="333333"/>
                <w:sz w:val="17"/>
              </w:rPr>
            </w:pPr>
            <w:r w:rsidRPr="00D20D4E">
              <w:rPr>
                <w:rFonts w:ascii="Verdana" w:hAnsi="Verdana"/>
                <w:bCs/>
                <w:color w:val="333333"/>
                <w:sz w:val="17"/>
              </w:rPr>
              <w:t>HIS 1101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1111</w:t>
            </w:r>
          </w:p>
          <w:p w:rsidR="001E1B7F" w:rsidRPr="00D20D4E" w:rsidRDefault="001E1B7F" w:rsidP="006E36C2">
            <w:pPr>
              <w:rPr>
                <w:rFonts w:ascii="Verdana" w:hAnsi="Verdana"/>
                <w:bCs/>
                <w:color w:val="333333"/>
                <w:sz w:val="17"/>
              </w:rPr>
            </w:pPr>
            <w:r w:rsidRPr="00D20D4E">
              <w:rPr>
                <w:rFonts w:ascii="Verdana" w:hAnsi="Verdana"/>
                <w:bCs/>
                <w:color w:val="333333"/>
                <w:sz w:val="17"/>
              </w:rPr>
              <w:t>HIS 1112</w:t>
            </w:r>
          </w:p>
          <w:p w:rsidR="001E1B7F" w:rsidRPr="00D20D4E" w:rsidRDefault="001E1B7F" w:rsidP="006E36C2">
            <w:pPr>
              <w:rPr>
                <w:rFonts w:ascii="Verdana" w:hAnsi="Verdana"/>
                <w:bCs/>
                <w:color w:val="333333"/>
                <w:sz w:val="17"/>
              </w:rPr>
            </w:pPr>
            <w:r w:rsidRPr="00D20D4E">
              <w:rPr>
                <w:rFonts w:ascii="Verdana" w:hAnsi="Verdana"/>
                <w:bCs/>
                <w:color w:val="333333"/>
                <w:sz w:val="17"/>
              </w:rPr>
              <w:t>HIS 1105, HIS 2218,</w:t>
            </w:r>
          </w:p>
          <w:p w:rsidR="001E1B7F" w:rsidRPr="00D20D4E" w:rsidRDefault="001E1B7F" w:rsidP="006E36C2">
            <w:pPr>
              <w:rPr>
                <w:rFonts w:ascii="Verdana" w:hAnsi="Verdana"/>
                <w:bCs/>
                <w:color w:val="333333"/>
                <w:sz w:val="17"/>
              </w:rPr>
            </w:pPr>
            <w:r w:rsidRPr="00D20D4E">
              <w:rPr>
                <w:rFonts w:ascii="Verdana" w:hAnsi="Verdana"/>
                <w:bCs/>
                <w:color w:val="333333"/>
                <w:sz w:val="17"/>
              </w:rPr>
              <w:t>HIS 2215, HIS 2216, HIS 2217, HIS 2219</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Achieve group goals in a variety of social contexts.</w:t>
            </w:r>
          </w:p>
          <w:p w:rsidR="001E1B7F" w:rsidRPr="00814EB1" w:rsidRDefault="001E1B7F" w:rsidP="006E36C2">
            <w:pPr>
              <w:rPr>
                <w:rFonts w:ascii="Verdana" w:hAnsi="Verdana"/>
                <w:sz w:val="20"/>
                <w:szCs w:val="20"/>
              </w:rPr>
            </w:pPr>
          </w:p>
        </w:tc>
        <w:tc>
          <w:tcPr>
            <w:tcW w:w="1742" w:type="dxa"/>
            <w:vAlign w:val="center"/>
          </w:tcPr>
          <w:p w:rsidR="001E1B7F" w:rsidRPr="00AD236A" w:rsidRDefault="001E1B7F" w:rsidP="006E36C2">
            <w:pPr>
              <w:rPr>
                <w:rFonts w:ascii="Verdana" w:hAnsi="Verdana"/>
                <w:sz w:val="20"/>
                <w:szCs w:val="20"/>
              </w:rPr>
            </w:pPr>
            <w:r>
              <w:rPr>
                <w:rFonts w:ascii="Verdana" w:hAnsi="Verdana"/>
                <w:sz w:val="20"/>
                <w:szCs w:val="20"/>
              </w:rPr>
              <w:t>SCC 1101</w:t>
            </w:r>
          </w:p>
        </w:tc>
        <w:tc>
          <w:tcPr>
            <w:tcW w:w="1430" w:type="dxa"/>
          </w:tcPr>
          <w:p w:rsidR="001E1B7F" w:rsidRPr="004C52FC" w:rsidRDefault="00E13038" w:rsidP="006E36C2">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001E1B7F" w:rsidRPr="00F433AF">
              <w:rPr>
                <w:rFonts w:ascii="Arial" w:hAnsi="Arial" w:cs="Arial"/>
                <w:color w:val="000000" w:themeColor="text1"/>
              </w:rPr>
              <w:t> </w:t>
            </w:r>
            <w:r w:rsidRPr="00F433AF">
              <w:rPr>
                <w:rFonts w:ascii="Arial" w:hAnsi="Arial" w:cs="Arial"/>
                <w:color w:val="000000" w:themeColor="text1"/>
              </w:rPr>
              <w:fldChar w:fldCharType="end"/>
            </w:r>
          </w:p>
        </w:tc>
        <w:tc>
          <w:tcPr>
            <w:tcW w:w="2250"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Read, write  and speak one language at the intermediate (2</w:t>
            </w:r>
            <w:r w:rsidRPr="00E71873">
              <w:rPr>
                <w:vertAlign w:val="superscript"/>
              </w:rPr>
              <w:t>nd</w:t>
            </w:r>
            <w:r>
              <w:t>-year) level or two languages at the beginning level (1</w:t>
            </w:r>
            <w:r w:rsidRPr="00E71873">
              <w:rPr>
                <w:vertAlign w:val="superscript"/>
              </w:rPr>
              <w:t>st</w:t>
            </w:r>
            <w:r>
              <w:t>-year level).</w:t>
            </w:r>
          </w:p>
        </w:tc>
        <w:tc>
          <w:tcPr>
            <w:tcW w:w="1742" w:type="dxa"/>
            <w:vAlign w:val="center"/>
          </w:tcPr>
          <w:p w:rsidR="001E1B7F" w:rsidRDefault="001E1B7F" w:rsidP="006E36C2">
            <w:pPr>
              <w:rPr>
                <w:rFonts w:ascii="Verdana" w:hAnsi="Verdana"/>
                <w:b/>
                <w:bCs/>
                <w:color w:val="333333"/>
                <w:sz w:val="17"/>
              </w:rPr>
            </w:pPr>
            <w:r>
              <w:rPr>
                <w:rFonts w:ascii="Verdana" w:hAnsi="Verdana"/>
                <w:b/>
                <w:bCs/>
                <w:color w:val="333333"/>
                <w:sz w:val="17"/>
              </w:rPr>
              <w:t>FRE 1101, 1102</w:t>
            </w:r>
          </w:p>
          <w:p w:rsidR="001E1B7F" w:rsidRDefault="001E1B7F" w:rsidP="006E36C2">
            <w:pPr>
              <w:rPr>
                <w:rFonts w:ascii="Verdana" w:hAnsi="Verdana"/>
                <w:b/>
                <w:bCs/>
                <w:color w:val="333333"/>
                <w:sz w:val="17"/>
              </w:rPr>
            </w:pPr>
            <w:r>
              <w:rPr>
                <w:rFonts w:ascii="Verdana" w:hAnsi="Verdana"/>
                <w:b/>
                <w:bCs/>
                <w:color w:val="333333"/>
                <w:sz w:val="17"/>
              </w:rPr>
              <w:t>FRE 2201, 2202</w:t>
            </w:r>
          </w:p>
          <w:p w:rsidR="001E1B7F" w:rsidRDefault="001E1B7F" w:rsidP="006E36C2">
            <w:pPr>
              <w:rPr>
                <w:rFonts w:ascii="Verdana" w:hAnsi="Verdana"/>
                <w:b/>
                <w:bCs/>
                <w:color w:val="333333"/>
                <w:sz w:val="17"/>
              </w:rPr>
            </w:pPr>
            <w:r>
              <w:rPr>
                <w:rFonts w:ascii="Verdana" w:hAnsi="Verdana"/>
                <w:b/>
                <w:bCs/>
                <w:color w:val="333333"/>
                <w:sz w:val="17"/>
              </w:rPr>
              <w:t>GER 1101, 1102</w:t>
            </w:r>
          </w:p>
          <w:p w:rsidR="001E1B7F" w:rsidRDefault="001E1B7F" w:rsidP="006E36C2">
            <w:pPr>
              <w:rPr>
                <w:rFonts w:ascii="Verdana" w:hAnsi="Verdana"/>
                <w:b/>
                <w:bCs/>
                <w:color w:val="333333"/>
                <w:sz w:val="17"/>
              </w:rPr>
            </w:pPr>
            <w:r>
              <w:rPr>
                <w:rFonts w:ascii="Verdana" w:hAnsi="Verdana"/>
                <w:b/>
                <w:bCs/>
                <w:color w:val="333333"/>
                <w:sz w:val="17"/>
              </w:rPr>
              <w:t>GER 2201, 2202</w:t>
            </w:r>
          </w:p>
          <w:p w:rsidR="001E1B7F" w:rsidRDefault="001E1B7F" w:rsidP="006E36C2">
            <w:pPr>
              <w:rPr>
                <w:rFonts w:ascii="Verdana" w:hAnsi="Verdana"/>
                <w:b/>
                <w:bCs/>
                <w:color w:val="333333"/>
                <w:sz w:val="17"/>
              </w:rPr>
            </w:pPr>
            <w:r>
              <w:rPr>
                <w:rFonts w:ascii="Verdana" w:hAnsi="Verdana"/>
                <w:b/>
                <w:bCs/>
                <w:color w:val="333333"/>
                <w:sz w:val="17"/>
              </w:rPr>
              <w:t>SPA 1101, 1102</w:t>
            </w:r>
          </w:p>
          <w:p w:rsidR="001E1B7F" w:rsidRDefault="001E1B7F" w:rsidP="006E36C2">
            <w:pPr>
              <w:rPr>
                <w:rFonts w:ascii="Verdana" w:hAnsi="Verdana"/>
                <w:b/>
                <w:bCs/>
                <w:color w:val="333333"/>
                <w:sz w:val="17"/>
              </w:rPr>
            </w:pPr>
            <w:r>
              <w:rPr>
                <w:rFonts w:ascii="Verdana" w:hAnsi="Verdana"/>
                <w:b/>
                <w:bCs/>
                <w:color w:val="333333"/>
                <w:sz w:val="17"/>
              </w:rPr>
              <w:t>SPA 2201, 2202</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Demonstrate a knowledge of and appreciation for the cultures of the peoples and countries of the languages studied.</w:t>
            </w:r>
          </w:p>
        </w:tc>
        <w:tc>
          <w:tcPr>
            <w:tcW w:w="1742" w:type="dxa"/>
            <w:vAlign w:val="center"/>
          </w:tcPr>
          <w:p w:rsidR="001E1B7F" w:rsidRDefault="001E1B7F" w:rsidP="006E36C2">
            <w:pPr>
              <w:rPr>
                <w:rFonts w:ascii="Verdana" w:hAnsi="Verdana"/>
                <w:b/>
                <w:bCs/>
                <w:color w:val="333333"/>
                <w:sz w:val="17"/>
              </w:rPr>
            </w:pPr>
            <w:r>
              <w:rPr>
                <w:rFonts w:ascii="Verdana" w:hAnsi="Verdana"/>
                <w:b/>
                <w:bCs/>
                <w:color w:val="333333"/>
                <w:sz w:val="17"/>
              </w:rPr>
              <w:t>FRE 1101, 1102</w:t>
            </w:r>
          </w:p>
          <w:p w:rsidR="001E1B7F" w:rsidRDefault="001E1B7F" w:rsidP="006E36C2">
            <w:pPr>
              <w:rPr>
                <w:rFonts w:ascii="Verdana" w:hAnsi="Verdana"/>
                <w:b/>
                <w:bCs/>
                <w:color w:val="333333"/>
                <w:sz w:val="17"/>
              </w:rPr>
            </w:pPr>
            <w:r>
              <w:rPr>
                <w:rFonts w:ascii="Verdana" w:hAnsi="Verdana"/>
                <w:b/>
                <w:bCs/>
                <w:color w:val="333333"/>
                <w:sz w:val="17"/>
              </w:rPr>
              <w:t>FRE 2201, 2202</w:t>
            </w:r>
          </w:p>
          <w:p w:rsidR="001E1B7F" w:rsidRDefault="001E1B7F" w:rsidP="006E36C2">
            <w:pPr>
              <w:rPr>
                <w:rFonts w:ascii="Verdana" w:hAnsi="Verdana"/>
                <w:b/>
                <w:bCs/>
                <w:color w:val="333333"/>
                <w:sz w:val="17"/>
              </w:rPr>
            </w:pPr>
            <w:r>
              <w:rPr>
                <w:rFonts w:ascii="Verdana" w:hAnsi="Verdana"/>
                <w:b/>
                <w:bCs/>
                <w:color w:val="333333"/>
                <w:sz w:val="17"/>
              </w:rPr>
              <w:t>GER 1101, 1102</w:t>
            </w:r>
          </w:p>
          <w:p w:rsidR="001E1B7F" w:rsidRDefault="001E1B7F" w:rsidP="006E36C2">
            <w:pPr>
              <w:rPr>
                <w:rFonts w:ascii="Verdana" w:hAnsi="Verdana"/>
                <w:b/>
                <w:bCs/>
                <w:color w:val="333333"/>
                <w:sz w:val="17"/>
              </w:rPr>
            </w:pPr>
            <w:r>
              <w:rPr>
                <w:rFonts w:ascii="Verdana" w:hAnsi="Verdana"/>
                <w:b/>
                <w:bCs/>
                <w:color w:val="333333"/>
                <w:sz w:val="17"/>
              </w:rPr>
              <w:t>GER 2201, 2202</w:t>
            </w:r>
          </w:p>
          <w:p w:rsidR="001E1B7F" w:rsidRDefault="001E1B7F" w:rsidP="006E36C2">
            <w:pPr>
              <w:rPr>
                <w:rFonts w:ascii="Verdana" w:hAnsi="Verdana"/>
                <w:b/>
                <w:bCs/>
                <w:color w:val="333333"/>
                <w:sz w:val="17"/>
              </w:rPr>
            </w:pPr>
            <w:r>
              <w:rPr>
                <w:rFonts w:ascii="Verdana" w:hAnsi="Verdana"/>
                <w:b/>
                <w:bCs/>
                <w:color w:val="333333"/>
                <w:sz w:val="17"/>
              </w:rPr>
              <w:t>SPA 1101, 1102</w:t>
            </w:r>
          </w:p>
          <w:p w:rsidR="001E1B7F" w:rsidRDefault="001E1B7F" w:rsidP="006E36C2">
            <w:pPr>
              <w:rPr>
                <w:rFonts w:ascii="Verdana" w:hAnsi="Verdana"/>
                <w:b/>
                <w:bCs/>
                <w:color w:val="333333"/>
                <w:sz w:val="17"/>
              </w:rPr>
            </w:pPr>
            <w:r>
              <w:rPr>
                <w:rFonts w:ascii="Verdana" w:hAnsi="Verdana"/>
                <w:b/>
                <w:bCs/>
                <w:color w:val="333333"/>
                <w:sz w:val="17"/>
              </w:rPr>
              <w:t>SPA 2201, 2202</w:t>
            </w:r>
          </w:p>
          <w:p w:rsidR="001E1B7F" w:rsidRDefault="001E1B7F" w:rsidP="006E36C2">
            <w:pPr>
              <w:rPr>
                <w:rFonts w:ascii="Verdana" w:hAnsi="Verdana"/>
                <w:sz w:val="20"/>
                <w:szCs w:val="20"/>
              </w:rPr>
            </w:pP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 xml:space="preserve">Describe major philosophical and </w:t>
            </w:r>
            <w:r>
              <w:lastRenderedPageBreak/>
              <w:t>religious concepts from different traditions.</w:t>
            </w:r>
          </w:p>
        </w:tc>
        <w:tc>
          <w:tcPr>
            <w:tcW w:w="1742" w:type="dxa"/>
            <w:vAlign w:val="center"/>
          </w:tcPr>
          <w:p w:rsidR="001E1B7F" w:rsidRDefault="001E1B7F" w:rsidP="006E36C2">
            <w:pPr>
              <w:rPr>
                <w:rFonts w:ascii="Verdana" w:hAnsi="Verdana"/>
                <w:sz w:val="20"/>
                <w:szCs w:val="20"/>
              </w:rPr>
            </w:pPr>
            <w:r>
              <w:rPr>
                <w:rFonts w:ascii="Verdana" w:hAnsi="Verdana"/>
                <w:sz w:val="20"/>
                <w:szCs w:val="20"/>
              </w:rPr>
              <w:lastRenderedPageBreak/>
              <w:t xml:space="preserve">PHI 2204, </w:t>
            </w:r>
            <w:r>
              <w:rPr>
                <w:rFonts w:ascii="Verdana" w:hAnsi="Verdana"/>
                <w:sz w:val="20"/>
                <w:szCs w:val="20"/>
              </w:rPr>
              <w:lastRenderedPageBreak/>
              <w:t>2205, 2206, 2207, REL 1111, 1112, 1135, 2204</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lastRenderedPageBreak/>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lastRenderedPageBreak/>
              <w:t>Apply philosophical knowledge to analyze issues and problems in society.</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PHI 2204, 2205, 2206, 2207</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Demonstrate knowledge of political structures, actors and processes in various local, national and international settings.</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PLS 1120, 1232, 2000, 2220</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2012-13</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sidP="006E36C2">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r w:rsidR="001E1B7F" w:rsidRPr="004C52FC" w:rsidTr="009B1A9F">
        <w:tblPrEx>
          <w:shd w:val="clear" w:color="auto" w:fill="auto"/>
          <w:tblLook w:val="04A0" w:firstRow="1" w:lastRow="0" w:firstColumn="1" w:lastColumn="0" w:noHBand="0" w:noVBand="1"/>
        </w:tblPrEx>
        <w:trPr>
          <w:trHeight w:val="72"/>
        </w:trPr>
        <w:tc>
          <w:tcPr>
            <w:tcW w:w="3708" w:type="dxa"/>
            <w:vAlign w:val="center"/>
          </w:tcPr>
          <w:p w:rsidR="001E1B7F" w:rsidRDefault="001E1B7F" w:rsidP="006E36C2">
            <w:r>
              <w:t>Apply knowledge of political structures, actors and processes to the understanding of contemporary political, social and economic issues.</w:t>
            </w:r>
          </w:p>
        </w:tc>
        <w:tc>
          <w:tcPr>
            <w:tcW w:w="1742" w:type="dxa"/>
            <w:vAlign w:val="center"/>
          </w:tcPr>
          <w:p w:rsidR="001E1B7F" w:rsidRDefault="001E1B7F" w:rsidP="006E36C2">
            <w:pPr>
              <w:rPr>
                <w:rFonts w:ascii="Verdana" w:hAnsi="Verdana"/>
                <w:sz w:val="20"/>
                <w:szCs w:val="20"/>
              </w:rPr>
            </w:pPr>
            <w:r>
              <w:rPr>
                <w:rFonts w:ascii="Verdana" w:hAnsi="Verdana"/>
                <w:sz w:val="20"/>
                <w:szCs w:val="20"/>
              </w:rPr>
              <w:t>PLS 1120, 1232, 2000, 2220</w:t>
            </w:r>
          </w:p>
        </w:tc>
        <w:tc>
          <w:tcPr>
            <w:tcW w:w="1430" w:type="dxa"/>
          </w:tcPr>
          <w:p w:rsidR="001E1B7F" w:rsidRPr="004C52FC" w:rsidRDefault="00E13038" w:rsidP="00102977">
            <w:pPr>
              <w:rPr>
                <w:rFonts w:asciiTheme="minorHAnsi" w:hAnsiTheme="minorHAnsi" w:cs="Arial"/>
                <w:color w:val="000000" w:themeColor="text1"/>
              </w:rPr>
            </w:pPr>
            <w:r w:rsidRPr="00F433AF">
              <w:rPr>
                <w:rFonts w:ascii="Arial" w:hAnsi="Arial" w:cs="Arial"/>
                <w:color w:val="000000" w:themeColor="text1"/>
              </w:rPr>
              <w:fldChar w:fldCharType="begin">
                <w:ffData>
                  <w:name w:val="Text1"/>
                  <w:enabled/>
                  <w:calcOnExit w:val="0"/>
                  <w:textInput/>
                </w:ffData>
              </w:fldChar>
            </w:r>
            <w:r w:rsidR="001E1B7F" w:rsidRPr="00F433AF">
              <w:rPr>
                <w:rFonts w:ascii="Arial" w:hAnsi="Arial" w:cs="Arial"/>
                <w:color w:val="000000" w:themeColor="text1"/>
              </w:rPr>
              <w:instrText xml:space="preserve"> FORMTEXT </w:instrText>
            </w:r>
            <w:r w:rsidRPr="00F433AF">
              <w:rPr>
                <w:rFonts w:ascii="Arial" w:hAnsi="Arial" w:cs="Arial"/>
                <w:color w:val="000000" w:themeColor="text1"/>
              </w:rPr>
            </w:r>
            <w:r w:rsidRPr="00F433AF">
              <w:rPr>
                <w:rFonts w:ascii="Arial" w:hAnsi="Arial" w:cs="Arial"/>
                <w:color w:val="000000" w:themeColor="text1"/>
              </w:rPr>
              <w:fldChar w:fldCharType="separate"/>
            </w:r>
            <w:r w:rsidR="00102977">
              <w:t>2013-14</w:t>
            </w:r>
            <w:r w:rsidRPr="00F433AF">
              <w:rPr>
                <w:rFonts w:ascii="Arial" w:hAnsi="Arial" w:cs="Arial"/>
                <w:color w:val="000000" w:themeColor="text1"/>
              </w:rPr>
              <w:fldChar w:fldCharType="end"/>
            </w:r>
          </w:p>
        </w:tc>
        <w:tc>
          <w:tcPr>
            <w:tcW w:w="2250" w:type="dxa"/>
          </w:tcPr>
          <w:p w:rsidR="001E1B7F" w:rsidRDefault="00E13038" w:rsidP="00102977">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02977">
              <w:t>pre and post test</w:t>
            </w:r>
            <w:r w:rsidRPr="00E02D4B">
              <w:rPr>
                <w:rFonts w:ascii="Arial" w:hAnsi="Arial" w:cs="Arial"/>
                <w:color w:val="000000" w:themeColor="text1"/>
              </w:rPr>
              <w:fldChar w:fldCharType="end"/>
            </w:r>
          </w:p>
        </w:tc>
        <w:tc>
          <w:tcPr>
            <w:tcW w:w="4028" w:type="dxa"/>
          </w:tcPr>
          <w:p w:rsidR="001E1B7F" w:rsidRDefault="00E13038">
            <w:r w:rsidRPr="00E02D4B">
              <w:rPr>
                <w:rFonts w:ascii="Arial" w:hAnsi="Arial" w:cs="Arial"/>
                <w:color w:val="000000" w:themeColor="text1"/>
              </w:rPr>
              <w:fldChar w:fldCharType="begin">
                <w:ffData>
                  <w:name w:val="Text1"/>
                  <w:enabled/>
                  <w:calcOnExit w:val="0"/>
                  <w:textInput/>
                </w:ffData>
              </w:fldChar>
            </w:r>
            <w:r w:rsidR="001E1B7F" w:rsidRPr="00E02D4B">
              <w:rPr>
                <w:rFonts w:ascii="Arial" w:hAnsi="Arial" w:cs="Arial"/>
                <w:color w:val="000000" w:themeColor="text1"/>
              </w:rPr>
              <w:instrText xml:space="preserve"> FORMTEXT </w:instrText>
            </w:r>
            <w:r w:rsidRPr="00E02D4B">
              <w:rPr>
                <w:rFonts w:ascii="Arial" w:hAnsi="Arial" w:cs="Arial"/>
                <w:color w:val="000000" w:themeColor="text1"/>
              </w:rPr>
            </w:r>
            <w:r w:rsidRPr="00E02D4B">
              <w:rPr>
                <w:rFonts w:ascii="Arial" w:hAnsi="Arial" w:cs="Arial"/>
                <w:color w:val="000000" w:themeColor="text1"/>
              </w:rPr>
              <w:fldChar w:fldCharType="separate"/>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001E1B7F" w:rsidRPr="00E02D4B">
              <w:rPr>
                <w:rFonts w:ascii="Arial" w:hAnsi="Arial" w:cs="Arial"/>
                <w:color w:val="000000" w:themeColor="text1"/>
              </w:rPr>
              <w:t> </w:t>
            </w:r>
            <w:r w:rsidRPr="00E02D4B">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8C4DC9" w:rsidTr="008C4DC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C4DC9" w:rsidRDefault="008C4DC9">
            <w:pPr>
              <w:tabs>
                <w:tab w:val="left" w:pos="5040"/>
              </w:tabs>
              <w:rPr>
                <w:rFonts w:ascii="Arial" w:hAnsi="Arial" w:cs="Arial"/>
                <w:b/>
                <w:color w:val="000000" w:themeColor="text1"/>
                <w:sz w:val="24"/>
                <w:szCs w:val="24"/>
              </w:rPr>
            </w:pPr>
            <w:r>
              <w:rPr>
                <w:rFonts w:ascii="Arial" w:hAnsi="Arial" w:cs="Arial"/>
                <w:b/>
                <w:color w:val="000000" w:themeColor="text1"/>
              </w:rPr>
              <w:t xml:space="preserve">Are changes planned as a result of the assessment of program outcomes?  If so, what are those changes? </w:t>
            </w:r>
          </w:p>
          <w:p w:rsidR="008C4DC9" w:rsidRDefault="008C4DC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C4DC9" w:rsidRDefault="008C4DC9">
            <w:pPr>
              <w:pStyle w:val="ListParagraph"/>
              <w:tabs>
                <w:tab w:val="left" w:pos="5040"/>
              </w:tabs>
              <w:ind w:left="0"/>
              <w:rPr>
                <w:rFonts w:ascii="Arial" w:hAnsi="Arial" w:cs="Arial"/>
                <w:color w:val="000000" w:themeColor="text1"/>
                <w:sz w:val="24"/>
                <w:szCs w:val="24"/>
              </w:rPr>
            </w:pPr>
          </w:p>
        </w:tc>
      </w:tr>
      <w:tr w:rsidR="008C4DC9" w:rsidTr="008C4DC9">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C4DC9" w:rsidRDefault="008C4DC9">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8C4DC9" w:rsidRDefault="008C4DC9">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8C4DC9" w:rsidRDefault="008C4DC9">
            <w:pPr>
              <w:pStyle w:val="ListParagraph"/>
              <w:tabs>
                <w:tab w:val="left" w:pos="5040"/>
              </w:tabs>
              <w:ind w:left="0"/>
              <w:rPr>
                <w:rFonts w:ascii="Arial" w:hAnsi="Arial" w:cs="Arial"/>
                <w:color w:val="000000" w:themeColor="text1"/>
                <w:sz w:val="24"/>
                <w:szCs w:val="24"/>
              </w:rPr>
            </w:pPr>
          </w:p>
        </w:tc>
      </w:tr>
    </w:tbl>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847243" w:rsidRDefault="003567A2" w:rsidP="00FA24D1">
      <w:pPr>
        <w:pStyle w:val="ListParagraph"/>
        <w:tabs>
          <w:tab w:val="left" w:pos="5040"/>
        </w:tabs>
        <w:rPr>
          <w:rFonts w:ascii="Arial" w:hAnsi="Arial" w:cs="Arial"/>
          <w:b/>
          <w:color w:val="000000" w:themeColor="text1"/>
        </w:rPr>
      </w:pPr>
      <w:r>
        <w:rPr>
          <w:rFonts w:ascii="Arial" w:hAnsi="Arial" w:cs="Arial"/>
          <w:b/>
          <w:color w:val="000000" w:themeColor="text1"/>
        </w:rPr>
        <w:br w:type="page"/>
      </w:r>
      <w:r w:rsidR="00174C4B"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B61D81">
      <w:pPr>
        <w:rPr>
          <w:rFonts w:ascii="Arial" w:hAnsi="Arial" w:cs="Arial"/>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3567A2" w:rsidRPr="003567A2" w:rsidTr="003567A2">
        <w:trPr>
          <w:trHeight w:val="600"/>
        </w:trPr>
        <w:tc>
          <w:tcPr>
            <w:tcW w:w="960" w:type="dxa"/>
            <w:tcBorders>
              <w:top w:val="nil"/>
              <w:left w:val="nil"/>
              <w:bottom w:val="nil"/>
              <w:right w:val="nil"/>
            </w:tcBorders>
            <w:shd w:val="clear" w:color="auto" w:fill="auto"/>
            <w:noWrap/>
            <w:hideMark/>
          </w:tcPr>
          <w:p w:rsidR="003567A2" w:rsidRPr="003567A2" w:rsidRDefault="003567A2" w:rsidP="003567A2">
            <w:pPr>
              <w:rPr>
                <w:rFonts w:ascii="Calibri" w:hAnsi="Calibri"/>
                <w:color w:val="000000"/>
              </w:rPr>
            </w:pPr>
            <w:r w:rsidRPr="003567A2">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rsidR="003567A2" w:rsidRPr="003567A2" w:rsidRDefault="003567A2" w:rsidP="003567A2">
            <w:pPr>
              <w:rPr>
                <w:rFonts w:ascii="Calibri" w:hAnsi="Calibri"/>
                <w:color w:val="000000"/>
              </w:rPr>
            </w:pPr>
            <w:r w:rsidRPr="003567A2">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rsidR="003567A2" w:rsidRPr="003567A2" w:rsidRDefault="003567A2" w:rsidP="003567A2">
            <w:pPr>
              <w:rPr>
                <w:rFonts w:ascii="Calibri" w:hAnsi="Calibri"/>
                <w:color w:val="000000"/>
              </w:rPr>
            </w:pPr>
            <w:r w:rsidRPr="003567A2">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rsidR="003567A2" w:rsidRPr="003567A2" w:rsidRDefault="003567A2" w:rsidP="003567A2">
            <w:pPr>
              <w:rPr>
                <w:rFonts w:ascii="Calibri" w:hAnsi="Calibri"/>
                <w:color w:val="000000"/>
              </w:rPr>
            </w:pPr>
            <w:r w:rsidRPr="003567A2">
              <w:rPr>
                <w:rFonts w:ascii="Calibri" w:hAnsi="Calibri"/>
                <w:color w:val="000000"/>
                <w:sz w:val="22"/>
                <w:szCs w:val="22"/>
              </w:rPr>
              <w:t>Program</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07-08</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08-09</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09-10</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10-11</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11-12</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12-13</w:t>
            </w:r>
          </w:p>
        </w:tc>
        <w:tc>
          <w:tcPr>
            <w:tcW w:w="760" w:type="dxa"/>
            <w:tcBorders>
              <w:top w:val="nil"/>
              <w:left w:val="nil"/>
              <w:bottom w:val="nil"/>
              <w:right w:val="nil"/>
            </w:tcBorders>
            <w:shd w:val="clear" w:color="auto" w:fill="auto"/>
            <w:hideMark/>
          </w:tcPr>
          <w:p w:rsidR="003567A2" w:rsidRPr="003567A2" w:rsidRDefault="003567A2" w:rsidP="003567A2">
            <w:pPr>
              <w:jc w:val="center"/>
              <w:rPr>
                <w:rFonts w:ascii="Calibri" w:hAnsi="Calibri"/>
                <w:color w:val="000000"/>
              </w:rPr>
            </w:pPr>
            <w:r w:rsidRPr="003567A2">
              <w:rPr>
                <w:rFonts w:ascii="Calibri" w:hAnsi="Calibri"/>
                <w:color w:val="000000"/>
                <w:sz w:val="22"/>
                <w:szCs w:val="22"/>
              </w:rPr>
              <w:t>FY 13-14</w:t>
            </w:r>
          </w:p>
        </w:tc>
      </w:tr>
      <w:tr w:rsidR="003567A2" w:rsidRPr="003567A2" w:rsidTr="003567A2">
        <w:trPr>
          <w:trHeight w:val="300"/>
        </w:trPr>
        <w:tc>
          <w:tcPr>
            <w:tcW w:w="96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Modern Languages</w:t>
            </w:r>
          </w:p>
        </w:tc>
        <w:tc>
          <w:tcPr>
            <w:tcW w:w="23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FORE.AA</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r>
      <w:tr w:rsidR="003567A2" w:rsidRPr="003567A2" w:rsidTr="003567A2">
        <w:trPr>
          <w:trHeight w:val="300"/>
        </w:trPr>
        <w:tc>
          <w:tcPr>
            <w:tcW w:w="96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Modern Languages</w:t>
            </w:r>
          </w:p>
        </w:tc>
        <w:tc>
          <w:tcPr>
            <w:tcW w:w="23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FORE.S.AA</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6</w:t>
            </w:r>
          </w:p>
        </w:tc>
      </w:tr>
      <w:tr w:rsidR="003567A2" w:rsidRPr="003567A2" w:rsidTr="003567A2">
        <w:trPr>
          <w:trHeight w:val="300"/>
        </w:trPr>
        <w:tc>
          <w:tcPr>
            <w:tcW w:w="96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Political Science</w:t>
            </w:r>
          </w:p>
        </w:tc>
        <w:tc>
          <w:tcPr>
            <w:tcW w:w="23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PLSE.AA</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7</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7</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4</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2</w:t>
            </w:r>
          </w:p>
        </w:tc>
      </w:tr>
      <w:tr w:rsidR="003567A2" w:rsidRPr="003567A2" w:rsidTr="003567A2">
        <w:trPr>
          <w:trHeight w:val="300"/>
        </w:trPr>
        <w:tc>
          <w:tcPr>
            <w:tcW w:w="96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Political Science</w:t>
            </w:r>
          </w:p>
        </w:tc>
        <w:tc>
          <w:tcPr>
            <w:tcW w:w="23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PLSE.S.AA</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4</w:t>
            </w:r>
          </w:p>
        </w:tc>
      </w:tr>
      <w:tr w:rsidR="003567A2" w:rsidRPr="003567A2" w:rsidTr="003567A2">
        <w:trPr>
          <w:trHeight w:val="300"/>
        </w:trPr>
        <w:tc>
          <w:tcPr>
            <w:tcW w:w="96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History/Humanities/Philosophy</w:t>
            </w:r>
          </w:p>
        </w:tc>
        <w:tc>
          <w:tcPr>
            <w:tcW w:w="23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HISE.AA</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5</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6</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9</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14</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10</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2</w:t>
            </w:r>
          </w:p>
        </w:tc>
      </w:tr>
      <w:tr w:rsidR="003567A2" w:rsidRPr="003567A2" w:rsidTr="003567A2">
        <w:trPr>
          <w:trHeight w:val="300"/>
        </w:trPr>
        <w:tc>
          <w:tcPr>
            <w:tcW w:w="96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History/Humanities/Philosophy</w:t>
            </w:r>
          </w:p>
        </w:tc>
        <w:tc>
          <w:tcPr>
            <w:tcW w:w="23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HISE.S.AA</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7</w:t>
            </w:r>
          </w:p>
        </w:tc>
      </w:tr>
      <w:tr w:rsidR="003567A2" w:rsidRPr="003567A2" w:rsidTr="003567A2">
        <w:trPr>
          <w:trHeight w:val="300"/>
        </w:trPr>
        <w:tc>
          <w:tcPr>
            <w:tcW w:w="96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History/Humanities/Philosophy</w:t>
            </w:r>
          </w:p>
        </w:tc>
        <w:tc>
          <w:tcPr>
            <w:tcW w:w="2320" w:type="dxa"/>
            <w:tcBorders>
              <w:top w:val="nil"/>
              <w:left w:val="nil"/>
              <w:bottom w:val="nil"/>
              <w:right w:val="nil"/>
            </w:tcBorders>
            <w:shd w:val="clear" w:color="000000" w:fill="D9D9D9"/>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HUM.S.STC</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3</w:t>
            </w:r>
          </w:p>
        </w:tc>
      </w:tr>
      <w:tr w:rsidR="003567A2" w:rsidRPr="003567A2" w:rsidTr="003567A2">
        <w:trPr>
          <w:trHeight w:val="300"/>
        </w:trPr>
        <w:tc>
          <w:tcPr>
            <w:tcW w:w="96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History/Humanities/Philosophy</w:t>
            </w:r>
          </w:p>
        </w:tc>
        <w:tc>
          <w:tcPr>
            <w:tcW w:w="2320" w:type="dxa"/>
            <w:tcBorders>
              <w:top w:val="nil"/>
              <w:left w:val="nil"/>
              <w:bottom w:val="nil"/>
              <w:right w:val="nil"/>
            </w:tcBorders>
            <w:shd w:val="clear" w:color="auto" w:fill="auto"/>
            <w:noWrap/>
            <w:vAlign w:val="bottom"/>
            <w:hideMark/>
          </w:tcPr>
          <w:p w:rsidR="003567A2" w:rsidRPr="003567A2" w:rsidRDefault="003567A2" w:rsidP="003567A2">
            <w:pPr>
              <w:rPr>
                <w:rFonts w:ascii="Calibri" w:hAnsi="Calibri"/>
                <w:color w:val="000000"/>
              </w:rPr>
            </w:pPr>
            <w:r w:rsidRPr="003567A2">
              <w:rPr>
                <w:rFonts w:ascii="Calibri" w:hAnsi="Calibri"/>
                <w:color w:val="000000"/>
                <w:sz w:val="22"/>
                <w:szCs w:val="22"/>
              </w:rPr>
              <w:t>PHIE.AA</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w:t>
            </w:r>
          </w:p>
        </w:tc>
        <w:tc>
          <w:tcPr>
            <w:tcW w:w="760" w:type="dxa"/>
            <w:tcBorders>
              <w:top w:val="nil"/>
              <w:left w:val="nil"/>
              <w:bottom w:val="nil"/>
              <w:right w:val="nil"/>
            </w:tcBorders>
            <w:shd w:val="clear" w:color="auto" w:fill="auto"/>
            <w:noWrap/>
            <w:vAlign w:val="bottom"/>
            <w:hideMark/>
          </w:tcPr>
          <w:p w:rsidR="003567A2" w:rsidRPr="003567A2" w:rsidRDefault="003567A2" w:rsidP="003567A2">
            <w:pPr>
              <w:jc w:val="right"/>
              <w:rPr>
                <w:rFonts w:ascii="Calibri" w:hAnsi="Calibri"/>
                <w:color w:val="000000"/>
              </w:rPr>
            </w:pPr>
            <w:r w:rsidRPr="003567A2">
              <w:rPr>
                <w:rFonts w:ascii="Calibri" w:hAnsi="Calibri"/>
                <w:color w:val="000000"/>
                <w:sz w:val="22"/>
                <w:szCs w:val="22"/>
              </w:rPr>
              <w:t>1</w:t>
            </w:r>
          </w:p>
        </w:tc>
      </w:tr>
    </w:tbl>
    <w:p w:rsidR="003567A2" w:rsidRDefault="003567A2"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564588" w:rsidRPr="00564588" w:rsidTr="00564588">
        <w:trPr>
          <w:trHeight w:val="300"/>
        </w:trPr>
        <w:tc>
          <w:tcPr>
            <w:tcW w:w="1420" w:type="dxa"/>
            <w:tcBorders>
              <w:top w:val="nil"/>
              <w:left w:val="nil"/>
              <w:bottom w:val="nil"/>
              <w:right w:val="nil"/>
            </w:tcBorders>
            <w:shd w:val="clear" w:color="auto" w:fill="auto"/>
            <w:hideMark/>
          </w:tcPr>
          <w:p w:rsidR="00564588" w:rsidRPr="00564588" w:rsidRDefault="00564588" w:rsidP="00564588">
            <w:pPr>
              <w:rPr>
                <w:rFonts w:ascii="Calibri" w:hAnsi="Calibri"/>
                <w:b/>
                <w:bCs/>
                <w:color w:val="000000"/>
              </w:rPr>
            </w:pPr>
            <w:r w:rsidRPr="00564588">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rsidR="00564588" w:rsidRPr="00564588" w:rsidRDefault="00564588" w:rsidP="00564588">
            <w:pPr>
              <w:rPr>
                <w:rFonts w:ascii="Calibri" w:hAnsi="Calibri"/>
                <w:b/>
                <w:bCs/>
                <w:color w:val="000000"/>
              </w:rPr>
            </w:pPr>
            <w:r w:rsidRPr="00564588">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rsidR="00564588" w:rsidRPr="00564588" w:rsidRDefault="00564588" w:rsidP="00564588">
            <w:pPr>
              <w:rPr>
                <w:rFonts w:ascii="Calibri" w:hAnsi="Calibri"/>
                <w:b/>
                <w:bCs/>
                <w:color w:val="000000"/>
              </w:rPr>
            </w:pPr>
            <w:r w:rsidRPr="00564588">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rsidR="00564588" w:rsidRPr="00564588" w:rsidRDefault="00564588" w:rsidP="00564588">
            <w:pPr>
              <w:rPr>
                <w:rFonts w:ascii="Calibri" w:hAnsi="Calibri"/>
                <w:b/>
                <w:bCs/>
                <w:color w:val="000000"/>
              </w:rPr>
            </w:pP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rsidR="00564588" w:rsidRPr="00564588" w:rsidRDefault="00564588" w:rsidP="00564588">
            <w:pPr>
              <w:jc w:val="center"/>
              <w:rPr>
                <w:rFonts w:ascii="Calibri" w:hAnsi="Calibri"/>
                <w:b/>
                <w:bCs/>
                <w:color w:val="000000"/>
              </w:rPr>
            </w:pPr>
            <w:r w:rsidRPr="00564588">
              <w:rPr>
                <w:rFonts w:ascii="Calibri" w:hAnsi="Calibri"/>
                <w:b/>
                <w:bCs/>
                <w:color w:val="000000"/>
                <w:sz w:val="22"/>
                <w:szCs w:val="22"/>
              </w:rPr>
              <w:t>FY 13-14</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CHN-100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58.6%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CHN-105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CHN-1100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42.9%</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CHN-297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65.2%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37.5%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63.8%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92.9%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FRE-103</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92.1%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89.3%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FRE-1100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58.3%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FRE-1101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61.2%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FRE-1102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83.3%</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lastRenderedPageBreak/>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FRE-201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FRE-202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FRE-203</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FRE-2201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40.0%</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FRE-2202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FRE-9102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FRE-9103</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GER-100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54.8%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46.4%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65.3%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GER-101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56.8%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63.9%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GER-102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GER-103</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94.1%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GER-1101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51.1%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GER-1102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GER-201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GER-202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GER-203</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GER-2201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GER-2202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JPN-100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JPN-105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61.5%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JPN-1100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36.6%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52.4%</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JPN-1105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RUS-100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55.6%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RUS-1100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61.5%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SPA-100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57.1%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58.7%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65.1%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62.5%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61.1%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58.6%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55.4%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SPA-103</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SPA-1100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69.0%</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SPA-1101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45.3%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55.6%</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SPA-1102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76.3%</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lastRenderedPageBreak/>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SPA-1161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81.5%</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SPA-161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91.3%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93.1%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SPA-203</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94.1%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SPA-2201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75.9%</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SPA-2202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95.5%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SPA-2297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SPA-297</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SPA-9102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0340</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Modern Languages</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SPA-9103</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62.5%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PLS-101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PLS-102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PLS-103</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PLS-104</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PLS-1120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75.3%</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PLS-1232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81.6%</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PLS-200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PLS-205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PLS-2200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76.1%</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PLS-2220</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86.3%</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PLS-2860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0384</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Political Science</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PLS-297</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HIS-103</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HIS-105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HIS-1101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61.5%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63.4%</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HIS-1102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70.8%</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HIS-1105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59.1%</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lastRenderedPageBreak/>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HIS-1111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75.8%</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HIS-1112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78.7%</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86.9%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HIS-113</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HIS-214</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HIS-215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HIS-216</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90.5%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94.4%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HIS-217</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HIS-218</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89.3%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HIS-219</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HIS-2215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62.8%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68.5%</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HIS-2216</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94.7%</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HIS-2217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86.7%</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HIS-2218</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84.4%</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HIS-2219</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73.9%</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HIS-2297</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HIS-297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HUM-1125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63.2%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66.2%</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HUM-1130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70.1%</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HUM-1131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79.2%</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HUM-1132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HUM-1135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60.8%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72.2%</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HUM-1140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HUM-1141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76.5%</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HUM-1142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54.5%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HUM-1195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78.6%</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HUM-125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HUM-130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HUM-131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72.2%</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lastRenderedPageBreak/>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HUM-132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54.5%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HUM-135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62.1%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HUM-140</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87.0%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86.2%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HUM-141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92.3%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HUM-142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56.3%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HUM-194</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HUM-195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94.4%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HUM-204</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HUM-236</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HUM-255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62.7%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63.9%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HUM-297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84.4%</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62.5%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PHI-204</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PHI-205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63.9%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PHI-206</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78.9%</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68.1%</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PHI-207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65.1%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66.1%</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84.6%</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PHI-2204</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65.5%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68.4%</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PHI-2205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69.5%</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PHI-2206</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67.3%</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PHI-2207</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58.3%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65.4%</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PHI-297</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59.3%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REL-111</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73.0%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70.8%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74.2%</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81.3%</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REL-1111</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69.4%</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71.5%</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REL-1112</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68.8%</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REL-112</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72.5%</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77.6%</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REL-1135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75.0%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85.7%</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REL-135</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90.0%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88.0%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81.0%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REL-204</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82.8%</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79.5%</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67.9%</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64.7%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74.7%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REL-2204</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67.8%</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71.4%</w:t>
            </w:r>
          </w:p>
        </w:tc>
      </w:tr>
      <w:tr w:rsidR="00564588" w:rsidRPr="00564588" w:rsidTr="00564588">
        <w:trPr>
          <w:trHeight w:val="300"/>
        </w:trPr>
        <w:tc>
          <w:tcPr>
            <w:tcW w:w="14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REL-2255</w:t>
            </w:r>
          </w:p>
        </w:tc>
        <w:tc>
          <w:tcPr>
            <w:tcW w:w="460" w:type="dxa"/>
            <w:tcBorders>
              <w:top w:val="nil"/>
              <w:left w:val="nil"/>
              <w:bottom w:val="nil"/>
              <w:right w:val="nil"/>
            </w:tcBorders>
            <w:shd w:val="clear" w:color="auto" w:fill="auto"/>
            <w:noWrap/>
            <w:vAlign w:val="bottom"/>
            <w:hideMark/>
          </w:tcPr>
          <w:p w:rsidR="00564588" w:rsidRPr="00564588" w:rsidRDefault="00564588" w:rsidP="00564588">
            <w:pPr>
              <w:rPr>
                <w:rFonts w:ascii="Calibri" w:hAnsi="Calibri"/>
                <w:color w:val="000000"/>
              </w:rPr>
            </w:pP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78.4%</w:t>
            </w:r>
          </w:p>
        </w:tc>
      </w:tr>
      <w:tr w:rsidR="00564588" w:rsidRPr="00564588" w:rsidTr="00564588">
        <w:trPr>
          <w:trHeight w:val="300"/>
        </w:trPr>
        <w:tc>
          <w:tcPr>
            <w:tcW w:w="14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0385</w:t>
            </w:r>
          </w:p>
        </w:tc>
        <w:tc>
          <w:tcPr>
            <w:tcW w:w="322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History/Humanities/Philosophy</w:t>
            </w:r>
          </w:p>
        </w:tc>
        <w:tc>
          <w:tcPr>
            <w:tcW w:w="17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REL-297</w:t>
            </w:r>
          </w:p>
        </w:tc>
        <w:tc>
          <w:tcPr>
            <w:tcW w:w="460" w:type="dxa"/>
            <w:tcBorders>
              <w:top w:val="nil"/>
              <w:left w:val="nil"/>
              <w:bottom w:val="nil"/>
              <w:right w:val="nil"/>
            </w:tcBorders>
            <w:shd w:val="clear" w:color="000000" w:fill="D9D9D9"/>
            <w:noWrap/>
            <w:vAlign w:val="bottom"/>
            <w:hideMark/>
          </w:tcPr>
          <w:p w:rsidR="00564588" w:rsidRPr="00564588" w:rsidRDefault="00564588" w:rsidP="00564588">
            <w:pPr>
              <w:rPr>
                <w:rFonts w:ascii="Calibri" w:hAnsi="Calibri"/>
                <w:color w:val="000000"/>
              </w:rPr>
            </w:pPr>
            <w:r w:rsidRPr="00564588">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rsidR="00564588" w:rsidRPr="00564588" w:rsidRDefault="00564588" w:rsidP="00564588">
            <w:pPr>
              <w:jc w:val="right"/>
              <w:rPr>
                <w:rFonts w:ascii="Calibri" w:hAnsi="Calibri"/>
                <w:color w:val="000000"/>
              </w:rPr>
            </w:pPr>
            <w:r w:rsidRPr="00564588">
              <w:rPr>
                <w:rFonts w:ascii="Calibri" w:hAnsi="Calibri"/>
                <w:color w:val="000000"/>
                <w:sz w:val="22"/>
                <w:szCs w:val="22"/>
              </w:rPr>
              <w:t>.</w:t>
            </w:r>
          </w:p>
        </w:tc>
      </w:tr>
    </w:tbl>
    <w:p w:rsidR="00564588" w:rsidRDefault="00564588" w:rsidP="00225B53">
      <w:pPr>
        <w:spacing w:after="200" w:line="276" w:lineRule="auto"/>
        <w:rPr>
          <w:rFonts w:ascii="Arial" w:hAnsi="Arial" w:cs="Arial"/>
          <w:b/>
          <w:color w:val="000000" w:themeColor="text1"/>
        </w:rPr>
      </w:pPr>
    </w:p>
    <w:sectPr w:rsidR="00564588" w:rsidSect="003567A2">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316" w:rsidRDefault="00CF3316" w:rsidP="0094204C">
      <w:r>
        <w:separator/>
      </w:r>
    </w:p>
  </w:endnote>
  <w:endnote w:type="continuationSeparator" w:id="0">
    <w:p w:rsidR="00CF3316" w:rsidRDefault="00CF331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EndPr/>
    <w:sdtContent>
      <w:p w:rsidR="00AC0D26" w:rsidRDefault="00AC0D26">
        <w:pPr>
          <w:pStyle w:val="Footer"/>
          <w:jc w:val="right"/>
        </w:pPr>
        <w:r>
          <w:fldChar w:fldCharType="begin"/>
        </w:r>
        <w:r>
          <w:instrText xml:space="preserve"> PAGE   \* MERGEFORMAT </w:instrText>
        </w:r>
        <w:r>
          <w:fldChar w:fldCharType="separate"/>
        </w:r>
        <w:r w:rsidR="00774287">
          <w:rPr>
            <w:noProof/>
          </w:rPr>
          <w:t>9</w:t>
        </w:r>
        <w:r>
          <w:rPr>
            <w:noProof/>
          </w:rPr>
          <w:fldChar w:fldCharType="end"/>
        </w:r>
      </w:p>
    </w:sdtContent>
  </w:sdt>
  <w:p w:rsidR="00AC0D26" w:rsidRDefault="00AC0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316" w:rsidRDefault="00CF3316" w:rsidP="0094204C">
      <w:r>
        <w:separator/>
      </w:r>
    </w:p>
  </w:footnote>
  <w:footnote w:type="continuationSeparator" w:id="0">
    <w:p w:rsidR="00CF3316" w:rsidRDefault="00CF3316"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singleLevel"/>
    <w:tmpl w:val="00000013"/>
    <w:name w:val="WW8Num19"/>
    <w:lvl w:ilvl="0">
      <w:start w:val="1"/>
      <w:numFmt w:val="bullet"/>
      <w:lvlText w:val=""/>
      <w:lvlJc w:val="left"/>
      <w:pPr>
        <w:tabs>
          <w:tab w:val="num" w:pos="0"/>
        </w:tabs>
        <w:ind w:left="1224" w:hanging="360"/>
      </w:pPr>
      <w:rPr>
        <w:rFonts w:ascii="Symbol" w:hAnsi="Symbol" w:cs="Symbol" w:hint="default"/>
        <w:sz w:val="24"/>
        <w:szCs w:val="24"/>
      </w:rPr>
    </w:lvl>
  </w:abstractNum>
  <w:abstractNum w:abstractNumId="1">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6534BE9"/>
    <w:multiLevelType w:val="multilevel"/>
    <w:tmpl w:val="F6A6C9D2"/>
    <w:styleLink w:val="List0"/>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10400D"/>
    <w:multiLevelType w:val="hybridMultilevel"/>
    <w:tmpl w:val="E0C6C48A"/>
    <w:lvl w:ilvl="0" w:tplc="A7EA3B62">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5">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3"/>
  </w:num>
  <w:num w:numId="5">
    <w:abstractNumId w:val="4"/>
  </w:num>
  <w:num w:numId="6">
    <w:abstractNumId w:val="10"/>
  </w:num>
  <w:num w:numId="7">
    <w:abstractNumId w:val="16"/>
  </w:num>
  <w:num w:numId="8">
    <w:abstractNumId w:val="14"/>
  </w:num>
  <w:num w:numId="9">
    <w:abstractNumId w:val="3"/>
  </w:num>
  <w:num w:numId="10">
    <w:abstractNumId w:val="17"/>
  </w:num>
  <w:num w:numId="11">
    <w:abstractNumId w:val="1"/>
  </w:num>
  <w:num w:numId="12">
    <w:abstractNumId w:val="15"/>
  </w:num>
  <w:num w:numId="13">
    <w:abstractNumId w:val="12"/>
  </w:num>
  <w:num w:numId="14">
    <w:abstractNumId w:val="5"/>
  </w:num>
  <w:num w:numId="15">
    <w:abstractNumId w:val="8"/>
  </w:num>
  <w:num w:numId="16">
    <w:abstractNumId w:val="6"/>
  </w:num>
  <w:num w:numId="17">
    <w:abstractNumId w:val="0"/>
  </w:num>
  <w:num w:numId="18">
    <w:abstractNumId w:val="2"/>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129"/>
    <w:rsid w:val="000279EB"/>
    <w:rsid w:val="00031876"/>
    <w:rsid w:val="000337E6"/>
    <w:rsid w:val="00034CE6"/>
    <w:rsid w:val="00036DF9"/>
    <w:rsid w:val="00054BFD"/>
    <w:rsid w:val="00056964"/>
    <w:rsid w:val="000616F3"/>
    <w:rsid w:val="00063778"/>
    <w:rsid w:val="00065129"/>
    <w:rsid w:val="000738FE"/>
    <w:rsid w:val="00074BD5"/>
    <w:rsid w:val="00080933"/>
    <w:rsid w:val="00097843"/>
    <w:rsid w:val="000A089D"/>
    <w:rsid w:val="000A2A44"/>
    <w:rsid w:val="000A4EE0"/>
    <w:rsid w:val="000B0D23"/>
    <w:rsid w:val="000B261C"/>
    <w:rsid w:val="000C4577"/>
    <w:rsid w:val="000D1111"/>
    <w:rsid w:val="000D3A39"/>
    <w:rsid w:val="000E4EFE"/>
    <w:rsid w:val="000F0AF3"/>
    <w:rsid w:val="000F154F"/>
    <w:rsid w:val="000F1823"/>
    <w:rsid w:val="000F21F2"/>
    <w:rsid w:val="000F2F76"/>
    <w:rsid w:val="000F4249"/>
    <w:rsid w:val="00100B61"/>
    <w:rsid w:val="0010227C"/>
    <w:rsid w:val="001026AA"/>
    <w:rsid w:val="00102977"/>
    <w:rsid w:val="00106BF6"/>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5AD6"/>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1B7F"/>
    <w:rsid w:val="001E7137"/>
    <w:rsid w:val="001F4B9E"/>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77F1A"/>
    <w:rsid w:val="00280C60"/>
    <w:rsid w:val="00281C63"/>
    <w:rsid w:val="0028603C"/>
    <w:rsid w:val="002922CE"/>
    <w:rsid w:val="00293D8D"/>
    <w:rsid w:val="002A1D8C"/>
    <w:rsid w:val="002C1797"/>
    <w:rsid w:val="002C56AC"/>
    <w:rsid w:val="002D1DFE"/>
    <w:rsid w:val="002D2748"/>
    <w:rsid w:val="002D3CAD"/>
    <w:rsid w:val="002D428E"/>
    <w:rsid w:val="002E175B"/>
    <w:rsid w:val="002E28B0"/>
    <w:rsid w:val="002E548B"/>
    <w:rsid w:val="002E6B01"/>
    <w:rsid w:val="002F63A2"/>
    <w:rsid w:val="00303041"/>
    <w:rsid w:val="00303718"/>
    <w:rsid w:val="003041DD"/>
    <w:rsid w:val="00305AE1"/>
    <w:rsid w:val="0030733F"/>
    <w:rsid w:val="00307A43"/>
    <w:rsid w:val="00315CE8"/>
    <w:rsid w:val="00320CDE"/>
    <w:rsid w:val="00320DF3"/>
    <w:rsid w:val="003233E7"/>
    <w:rsid w:val="003254BC"/>
    <w:rsid w:val="00330692"/>
    <w:rsid w:val="00337A3A"/>
    <w:rsid w:val="003454F6"/>
    <w:rsid w:val="00350D53"/>
    <w:rsid w:val="003567A2"/>
    <w:rsid w:val="003641BA"/>
    <w:rsid w:val="00372B02"/>
    <w:rsid w:val="0037786D"/>
    <w:rsid w:val="00377D40"/>
    <w:rsid w:val="003A298D"/>
    <w:rsid w:val="003B2034"/>
    <w:rsid w:val="003B5176"/>
    <w:rsid w:val="003B5F45"/>
    <w:rsid w:val="003B6EA6"/>
    <w:rsid w:val="003B7BFE"/>
    <w:rsid w:val="003C1C8E"/>
    <w:rsid w:val="003D2587"/>
    <w:rsid w:val="003D4ADD"/>
    <w:rsid w:val="003D6946"/>
    <w:rsid w:val="003D6D6E"/>
    <w:rsid w:val="003E791C"/>
    <w:rsid w:val="00404810"/>
    <w:rsid w:val="00410EBC"/>
    <w:rsid w:val="00414645"/>
    <w:rsid w:val="004238AE"/>
    <w:rsid w:val="00424E5D"/>
    <w:rsid w:val="00425F46"/>
    <w:rsid w:val="00434F56"/>
    <w:rsid w:val="004359FC"/>
    <w:rsid w:val="004467C4"/>
    <w:rsid w:val="00455833"/>
    <w:rsid w:val="004604FB"/>
    <w:rsid w:val="00461386"/>
    <w:rsid w:val="00462D00"/>
    <w:rsid w:val="004712EB"/>
    <w:rsid w:val="00472CFB"/>
    <w:rsid w:val="00476425"/>
    <w:rsid w:val="0048088F"/>
    <w:rsid w:val="00480BB2"/>
    <w:rsid w:val="004818E1"/>
    <w:rsid w:val="00481A7E"/>
    <w:rsid w:val="0048427F"/>
    <w:rsid w:val="00495C9D"/>
    <w:rsid w:val="004A27DC"/>
    <w:rsid w:val="004A50F7"/>
    <w:rsid w:val="004B1AED"/>
    <w:rsid w:val="004B7492"/>
    <w:rsid w:val="004C2B30"/>
    <w:rsid w:val="004C52FC"/>
    <w:rsid w:val="004C7DB2"/>
    <w:rsid w:val="004D0032"/>
    <w:rsid w:val="004D3BE1"/>
    <w:rsid w:val="004D3C8C"/>
    <w:rsid w:val="004E0B1A"/>
    <w:rsid w:val="004E47AA"/>
    <w:rsid w:val="004E4BD6"/>
    <w:rsid w:val="004F41D5"/>
    <w:rsid w:val="00510731"/>
    <w:rsid w:val="0051294F"/>
    <w:rsid w:val="00515C48"/>
    <w:rsid w:val="00516463"/>
    <w:rsid w:val="00520FBE"/>
    <w:rsid w:val="0052152C"/>
    <w:rsid w:val="0054350A"/>
    <w:rsid w:val="005530D4"/>
    <w:rsid w:val="005531E8"/>
    <w:rsid w:val="00564588"/>
    <w:rsid w:val="005674F9"/>
    <w:rsid w:val="00573ECD"/>
    <w:rsid w:val="00585766"/>
    <w:rsid w:val="005863ED"/>
    <w:rsid w:val="005864A4"/>
    <w:rsid w:val="005918B2"/>
    <w:rsid w:val="0059647D"/>
    <w:rsid w:val="00597F85"/>
    <w:rsid w:val="005D19D9"/>
    <w:rsid w:val="005F5F7E"/>
    <w:rsid w:val="005F6B5B"/>
    <w:rsid w:val="005F7377"/>
    <w:rsid w:val="00613507"/>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667B8"/>
    <w:rsid w:val="00666CB1"/>
    <w:rsid w:val="00676B80"/>
    <w:rsid w:val="00677703"/>
    <w:rsid w:val="006835C1"/>
    <w:rsid w:val="00690A3D"/>
    <w:rsid w:val="006A2AA3"/>
    <w:rsid w:val="006B5D02"/>
    <w:rsid w:val="006B6194"/>
    <w:rsid w:val="006C142B"/>
    <w:rsid w:val="006C28B1"/>
    <w:rsid w:val="006C4C0B"/>
    <w:rsid w:val="006C4F5E"/>
    <w:rsid w:val="006D67EB"/>
    <w:rsid w:val="006E3686"/>
    <w:rsid w:val="006E36C2"/>
    <w:rsid w:val="006F0183"/>
    <w:rsid w:val="00716436"/>
    <w:rsid w:val="00716A26"/>
    <w:rsid w:val="007370A2"/>
    <w:rsid w:val="00740D35"/>
    <w:rsid w:val="0074591F"/>
    <w:rsid w:val="00746675"/>
    <w:rsid w:val="00751FC5"/>
    <w:rsid w:val="00774287"/>
    <w:rsid w:val="00781DA4"/>
    <w:rsid w:val="007825CC"/>
    <w:rsid w:val="007856A2"/>
    <w:rsid w:val="0078669D"/>
    <w:rsid w:val="00786F00"/>
    <w:rsid w:val="00791FF2"/>
    <w:rsid w:val="0079281D"/>
    <w:rsid w:val="00794EA2"/>
    <w:rsid w:val="007A43CE"/>
    <w:rsid w:val="007C1FEF"/>
    <w:rsid w:val="007C46D3"/>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75A7C"/>
    <w:rsid w:val="00877383"/>
    <w:rsid w:val="00880686"/>
    <w:rsid w:val="008836F4"/>
    <w:rsid w:val="008860C1"/>
    <w:rsid w:val="008909D4"/>
    <w:rsid w:val="008942FA"/>
    <w:rsid w:val="00897A68"/>
    <w:rsid w:val="008A1796"/>
    <w:rsid w:val="008B52A0"/>
    <w:rsid w:val="008C4DC9"/>
    <w:rsid w:val="008D4D55"/>
    <w:rsid w:val="008E063A"/>
    <w:rsid w:val="008E390B"/>
    <w:rsid w:val="008F3D47"/>
    <w:rsid w:val="008F41A6"/>
    <w:rsid w:val="008F4896"/>
    <w:rsid w:val="009108ED"/>
    <w:rsid w:val="00915CDA"/>
    <w:rsid w:val="00925394"/>
    <w:rsid w:val="0092540D"/>
    <w:rsid w:val="009268A3"/>
    <w:rsid w:val="0094204C"/>
    <w:rsid w:val="00952FA6"/>
    <w:rsid w:val="009578EA"/>
    <w:rsid w:val="00963DD8"/>
    <w:rsid w:val="00981D62"/>
    <w:rsid w:val="009A1CF3"/>
    <w:rsid w:val="009A2F4E"/>
    <w:rsid w:val="009A616E"/>
    <w:rsid w:val="009A69F0"/>
    <w:rsid w:val="009B1A9F"/>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50E17"/>
    <w:rsid w:val="00A51345"/>
    <w:rsid w:val="00A54831"/>
    <w:rsid w:val="00A6078F"/>
    <w:rsid w:val="00A62968"/>
    <w:rsid w:val="00A63ACE"/>
    <w:rsid w:val="00A70B89"/>
    <w:rsid w:val="00A8476F"/>
    <w:rsid w:val="00AA636C"/>
    <w:rsid w:val="00AC0386"/>
    <w:rsid w:val="00AC0D26"/>
    <w:rsid w:val="00AC62F8"/>
    <w:rsid w:val="00AD4FA7"/>
    <w:rsid w:val="00AE4AD2"/>
    <w:rsid w:val="00AE5F43"/>
    <w:rsid w:val="00AF1271"/>
    <w:rsid w:val="00AF6A23"/>
    <w:rsid w:val="00B11F28"/>
    <w:rsid w:val="00B27095"/>
    <w:rsid w:val="00B31728"/>
    <w:rsid w:val="00B34F9E"/>
    <w:rsid w:val="00B42C55"/>
    <w:rsid w:val="00B447CF"/>
    <w:rsid w:val="00B44B23"/>
    <w:rsid w:val="00B4625A"/>
    <w:rsid w:val="00B608D5"/>
    <w:rsid w:val="00B61D81"/>
    <w:rsid w:val="00B646D3"/>
    <w:rsid w:val="00B700A5"/>
    <w:rsid w:val="00B71307"/>
    <w:rsid w:val="00B75DD0"/>
    <w:rsid w:val="00B764F8"/>
    <w:rsid w:val="00B81607"/>
    <w:rsid w:val="00B8227E"/>
    <w:rsid w:val="00B90F20"/>
    <w:rsid w:val="00B91F1E"/>
    <w:rsid w:val="00BA3246"/>
    <w:rsid w:val="00BA411F"/>
    <w:rsid w:val="00BA527A"/>
    <w:rsid w:val="00BB0BF1"/>
    <w:rsid w:val="00BB272C"/>
    <w:rsid w:val="00BB28CF"/>
    <w:rsid w:val="00BB2E09"/>
    <w:rsid w:val="00BB4ABC"/>
    <w:rsid w:val="00BB4C9F"/>
    <w:rsid w:val="00BB5574"/>
    <w:rsid w:val="00BC12BF"/>
    <w:rsid w:val="00BC5FF1"/>
    <w:rsid w:val="00BC6C11"/>
    <w:rsid w:val="00BD2C4F"/>
    <w:rsid w:val="00BD3EF3"/>
    <w:rsid w:val="00BE51FF"/>
    <w:rsid w:val="00BF3561"/>
    <w:rsid w:val="00BF556C"/>
    <w:rsid w:val="00C009CE"/>
    <w:rsid w:val="00C05015"/>
    <w:rsid w:val="00C05EFD"/>
    <w:rsid w:val="00C22083"/>
    <w:rsid w:val="00C32DEA"/>
    <w:rsid w:val="00C45053"/>
    <w:rsid w:val="00C50A91"/>
    <w:rsid w:val="00C52D74"/>
    <w:rsid w:val="00C5365F"/>
    <w:rsid w:val="00C56C48"/>
    <w:rsid w:val="00C616FD"/>
    <w:rsid w:val="00C63B58"/>
    <w:rsid w:val="00C7001F"/>
    <w:rsid w:val="00C70693"/>
    <w:rsid w:val="00C71F16"/>
    <w:rsid w:val="00C77723"/>
    <w:rsid w:val="00C800A9"/>
    <w:rsid w:val="00C80222"/>
    <w:rsid w:val="00C86826"/>
    <w:rsid w:val="00C86D2C"/>
    <w:rsid w:val="00C90C76"/>
    <w:rsid w:val="00CA10D7"/>
    <w:rsid w:val="00CB09E0"/>
    <w:rsid w:val="00CC0679"/>
    <w:rsid w:val="00CC66AD"/>
    <w:rsid w:val="00CC69E8"/>
    <w:rsid w:val="00CC6AF3"/>
    <w:rsid w:val="00CD2352"/>
    <w:rsid w:val="00CD2613"/>
    <w:rsid w:val="00CE06A2"/>
    <w:rsid w:val="00CE118B"/>
    <w:rsid w:val="00CE2ED7"/>
    <w:rsid w:val="00CF0112"/>
    <w:rsid w:val="00CF3316"/>
    <w:rsid w:val="00CF34BC"/>
    <w:rsid w:val="00D07030"/>
    <w:rsid w:val="00D23E74"/>
    <w:rsid w:val="00D31DDA"/>
    <w:rsid w:val="00D438B4"/>
    <w:rsid w:val="00D44D7D"/>
    <w:rsid w:val="00D52978"/>
    <w:rsid w:val="00D575EE"/>
    <w:rsid w:val="00D57E53"/>
    <w:rsid w:val="00D60F74"/>
    <w:rsid w:val="00D62EB7"/>
    <w:rsid w:val="00D632DC"/>
    <w:rsid w:val="00D645F1"/>
    <w:rsid w:val="00D708C3"/>
    <w:rsid w:val="00D72CCC"/>
    <w:rsid w:val="00D73E22"/>
    <w:rsid w:val="00D75FE9"/>
    <w:rsid w:val="00D9642E"/>
    <w:rsid w:val="00DA5E37"/>
    <w:rsid w:val="00DA7FA2"/>
    <w:rsid w:val="00DB041B"/>
    <w:rsid w:val="00DB17B2"/>
    <w:rsid w:val="00DB60B7"/>
    <w:rsid w:val="00DC0672"/>
    <w:rsid w:val="00DC4939"/>
    <w:rsid w:val="00DC5CEE"/>
    <w:rsid w:val="00DD42DB"/>
    <w:rsid w:val="00DF5973"/>
    <w:rsid w:val="00DF738A"/>
    <w:rsid w:val="00DF7501"/>
    <w:rsid w:val="00E10A2A"/>
    <w:rsid w:val="00E12A67"/>
    <w:rsid w:val="00E12E4F"/>
    <w:rsid w:val="00E13038"/>
    <w:rsid w:val="00E13C55"/>
    <w:rsid w:val="00E14C90"/>
    <w:rsid w:val="00E16205"/>
    <w:rsid w:val="00E254D9"/>
    <w:rsid w:val="00E25ACC"/>
    <w:rsid w:val="00E27BD2"/>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760C"/>
    <w:rsid w:val="00EF15CD"/>
    <w:rsid w:val="00EF6E21"/>
    <w:rsid w:val="00F0239E"/>
    <w:rsid w:val="00F04829"/>
    <w:rsid w:val="00F07EFD"/>
    <w:rsid w:val="00F1164D"/>
    <w:rsid w:val="00F1200D"/>
    <w:rsid w:val="00F154DF"/>
    <w:rsid w:val="00F17C08"/>
    <w:rsid w:val="00F27D5C"/>
    <w:rsid w:val="00F340B8"/>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7DDB"/>
    <w:rsid w:val="00FB0E89"/>
    <w:rsid w:val="00FB231A"/>
    <w:rsid w:val="00FB4AA9"/>
    <w:rsid w:val="00FC1435"/>
    <w:rsid w:val="00FC45CA"/>
    <w:rsid w:val="00FC49AB"/>
    <w:rsid w:val="00FC4B91"/>
    <w:rsid w:val="00FC7F0C"/>
    <w:rsid w:val="00FD4866"/>
    <w:rsid w:val="00FD51F2"/>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95862-6C31-419C-83F9-3E1D63DA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Body">
    <w:name w:val="Body"/>
    <w:rsid w:val="00C70693"/>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List0">
    <w:name w:val="List 0"/>
    <w:basedOn w:val="NoList"/>
    <w:rsid w:val="00C70693"/>
    <w:pPr>
      <w:numPr>
        <w:numId w:val="18"/>
      </w:numPr>
    </w:pPr>
  </w:style>
  <w:style w:type="paragraph" w:customStyle="1" w:styleId="xl65">
    <w:name w:val="xl65"/>
    <w:basedOn w:val="Normal"/>
    <w:rsid w:val="00564588"/>
    <w:pPr>
      <w:spacing w:before="100" w:beforeAutospacing="1" w:after="100" w:afterAutospacing="1"/>
      <w:jc w:val="right"/>
    </w:pPr>
  </w:style>
  <w:style w:type="paragraph" w:customStyle="1" w:styleId="xl66">
    <w:name w:val="xl66"/>
    <w:basedOn w:val="Normal"/>
    <w:rsid w:val="00564588"/>
    <w:pPr>
      <w:spacing w:before="100" w:beforeAutospacing="1" w:after="100" w:afterAutospacing="1"/>
      <w:textAlignment w:val="top"/>
    </w:pPr>
  </w:style>
  <w:style w:type="paragraph" w:customStyle="1" w:styleId="xl68">
    <w:name w:val="xl68"/>
    <w:basedOn w:val="Normal"/>
    <w:rsid w:val="00564588"/>
    <w:pPr>
      <w:shd w:val="clear" w:color="000000" w:fill="D9D9D9"/>
      <w:spacing w:before="100" w:beforeAutospacing="1" w:after="100" w:afterAutospacing="1"/>
    </w:pPr>
  </w:style>
  <w:style w:type="paragraph" w:customStyle="1" w:styleId="xl69">
    <w:name w:val="xl69"/>
    <w:basedOn w:val="Normal"/>
    <w:rsid w:val="00564588"/>
    <w:pPr>
      <w:shd w:val="clear" w:color="000000" w:fill="D9D9D9"/>
      <w:spacing w:before="100" w:beforeAutospacing="1" w:after="100" w:afterAutospacing="1"/>
    </w:pPr>
  </w:style>
  <w:style w:type="paragraph" w:customStyle="1" w:styleId="xl70">
    <w:name w:val="xl70"/>
    <w:basedOn w:val="Normal"/>
    <w:rsid w:val="00564588"/>
    <w:pPr>
      <w:shd w:val="clear" w:color="000000" w:fill="D9D9D9"/>
      <w:spacing w:before="100" w:beforeAutospacing="1" w:after="100" w:afterAutospacing="1"/>
      <w:jc w:val="right"/>
    </w:pPr>
  </w:style>
  <w:style w:type="paragraph" w:customStyle="1" w:styleId="xl71">
    <w:name w:val="xl71"/>
    <w:basedOn w:val="Normal"/>
    <w:rsid w:val="00564588"/>
    <w:pPr>
      <w:spacing w:before="100" w:beforeAutospacing="1" w:after="100" w:afterAutospacing="1"/>
      <w:textAlignment w:val="top"/>
    </w:pPr>
    <w:rPr>
      <w:b/>
      <w:bCs/>
    </w:rPr>
  </w:style>
  <w:style w:type="paragraph" w:customStyle="1" w:styleId="xl72">
    <w:name w:val="xl72"/>
    <w:basedOn w:val="Normal"/>
    <w:rsid w:val="00564588"/>
    <w:pPr>
      <w:spacing w:before="100" w:beforeAutospacing="1" w:after="100" w:afterAutospacing="1"/>
      <w:textAlignment w:val="top"/>
    </w:pPr>
    <w:rPr>
      <w:b/>
      <w:bCs/>
    </w:rPr>
  </w:style>
  <w:style w:type="paragraph" w:customStyle="1" w:styleId="xl73">
    <w:name w:val="xl73"/>
    <w:basedOn w:val="Normal"/>
    <w:rsid w:val="00564588"/>
    <w:pPr>
      <w:spacing w:before="100" w:beforeAutospacing="1" w:after="100" w:afterAutospacing="1"/>
      <w:jc w:val="center"/>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5156706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1236517">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64193980">
      <w:bodyDiv w:val="1"/>
      <w:marLeft w:val="0"/>
      <w:marRight w:val="0"/>
      <w:marTop w:val="0"/>
      <w:marBottom w:val="0"/>
      <w:divBdr>
        <w:top w:val="none" w:sz="0" w:space="0" w:color="auto"/>
        <w:left w:val="none" w:sz="0" w:space="0" w:color="auto"/>
        <w:bottom w:val="none" w:sz="0" w:space="0" w:color="auto"/>
        <w:right w:val="none" w:sz="0" w:space="0" w:color="auto"/>
      </w:divBdr>
    </w:div>
    <w:div w:id="1278567569">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65732604">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70671838">
      <w:bodyDiv w:val="1"/>
      <w:marLeft w:val="0"/>
      <w:marRight w:val="0"/>
      <w:marTop w:val="0"/>
      <w:marBottom w:val="0"/>
      <w:divBdr>
        <w:top w:val="none" w:sz="0" w:space="0" w:color="auto"/>
        <w:left w:val="none" w:sz="0" w:space="0" w:color="auto"/>
        <w:bottom w:val="none" w:sz="0" w:space="0" w:color="auto"/>
        <w:right w:val="none" w:sz="0" w:space="0" w:color="auto"/>
      </w:divBdr>
    </w:div>
    <w:div w:id="1814174070">
      <w:bodyDiv w:val="1"/>
      <w:marLeft w:val="0"/>
      <w:marRight w:val="0"/>
      <w:marTop w:val="0"/>
      <w:marBottom w:val="0"/>
      <w:divBdr>
        <w:top w:val="none" w:sz="0" w:space="0" w:color="auto"/>
        <w:left w:val="none" w:sz="0" w:space="0" w:color="auto"/>
        <w:bottom w:val="none" w:sz="0" w:space="0" w:color="auto"/>
        <w:right w:val="none" w:sz="0" w:space="0" w:color="auto"/>
      </w:divBdr>
    </w:div>
    <w:div w:id="182573137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0340 - Modern Languages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0</c:v>
                </c:pt>
                <c:pt idx="1">
                  <c:v>2</c:v>
                </c:pt>
                <c:pt idx="2">
                  <c:v>3</c:v>
                </c:pt>
                <c:pt idx="3">
                  <c:v>1</c:v>
                </c:pt>
                <c:pt idx="4" formatCode="General">
                  <c:v>3</c:v>
                </c:pt>
                <c:pt idx="5" formatCode="General">
                  <c:v>6</c:v>
                </c:pt>
                <c:pt idx="6" formatCode="General">
                  <c:v>6</c:v>
                </c:pt>
              </c:numCache>
            </c:numRef>
          </c:val>
        </c:ser>
        <c:ser>
          <c:idx val="1"/>
          <c:order val="1"/>
          <c:tx>
            <c:strRef>
              <c:f>'[Charts.xlsx]CHART FOR COMPLETIONS'!$M$7</c:f>
              <c:strCache>
                <c:ptCount val="1"/>
                <c:pt idx="0">
                  <c:v>0610 - Allied Health Instruction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377577120"/>
        <c:axId val="377575160"/>
      </c:barChart>
      <c:catAx>
        <c:axId val="377577120"/>
        <c:scaling>
          <c:orientation val="minMax"/>
        </c:scaling>
        <c:delete val="0"/>
        <c:axPos val="b"/>
        <c:numFmt formatCode="General" sourceLinked="0"/>
        <c:majorTickMark val="out"/>
        <c:minorTickMark val="none"/>
        <c:tickLblPos val="nextTo"/>
        <c:crossAx val="377575160"/>
        <c:crosses val="autoZero"/>
        <c:auto val="1"/>
        <c:lblAlgn val="ctr"/>
        <c:lblOffset val="100"/>
        <c:noMultiLvlLbl val="0"/>
      </c:catAx>
      <c:valAx>
        <c:axId val="37757516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77577120"/>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'[Charts.xlsx]CHART FOR COMPLETIONS'!$M$6</c:f>
              <c:strCache>
                <c:ptCount val="1"/>
                <c:pt idx="0">
                  <c:v>0384 - Political Science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7</c:v>
                </c:pt>
                <c:pt idx="1">
                  <c:v>7</c:v>
                </c:pt>
                <c:pt idx="2">
                  <c:v>4</c:v>
                </c:pt>
                <c:pt idx="3">
                  <c:v>5</c:v>
                </c:pt>
                <c:pt idx="4" formatCode="General">
                  <c:v>5</c:v>
                </c:pt>
                <c:pt idx="5" formatCode="General">
                  <c:v>5</c:v>
                </c:pt>
                <c:pt idx="6" formatCode="General">
                  <c:v>6</c:v>
                </c:pt>
              </c:numCache>
            </c:numRef>
          </c:val>
        </c:ser>
        <c:ser>
          <c:idx val="1"/>
          <c:order val="1"/>
          <c:tx>
            <c:strRef>
              <c:f>'[Charts.xlsx]CHART FOR COMPLETIONS'!$M$7</c:f>
              <c:strCache>
                <c:ptCount val="1"/>
                <c:pt idx="0">
                  <c:v>0385 - History/Humanities/Philosophy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Cache>
                <c:formatCode>#,##0</c:formatCode>
                <c:ptCount val="7"/>
                <c:pt idx="0">
                  <c:v>9</c:v>
                </c:pt>
                <c:pt idx="1">
                  <c:v>7</c:v>
                </c:pt>
                <c:pt idx="2">
                  <c:v>6</c:v>
                </c:pt>
                <c:pt idx="3">
                  <c:v>10</c:v>
                </c:pt>
                <c:pt idx="4" formatCode="General">
                  <c:v>16</c:v>
                </c:pt>
                <c:pt idx="5" formatCode="General">
                  <c:v>13</c:v>
                </c:pt>
                <c:pt idx="6" formatCode="General">
                  <c:v>13</c:v>
                </c:pt>
              </c:numCache>
            </c:numRef>
          </c:val>
        </c:ser>
        <c:dLbls>
          <c:showLegendKey val="0"/>
          <c:showVal val="0"/>
          <c:showCatName val="0"/>
          <c:showSerName val="0"/>
          <c:showPercent val="0"/>
          <c:showBubbleSize val="0"/>
        </c:dLbls>
        <c:gapWidth val="150"/>
        <c:axId val="381616616"/>
        <c:axId val="381617400"/>
      </c:barChart>
      <c:catAx>
        <c:axId val="381616616"/>
        <c:scaling>
          <c:orientation val="minMax"/>
        </c:scaling>
        <c:delete val="0"/>
        <c:axPos val="b"/>
        <c:numFmt formatCode="General" sourceLinked="0"/>
        <c:majorTickMark val="out"/>
        <c:minorTickMark val="none"/>
        <c:tickLblPos val="nextTo"/>
        <c:crossAx val="381617400"/>
        <c:crosses val="autoZero"/>
        <c:auto val="1"/>
        <c:lblAlgn val="ctr"/>
        <c:lblOffset val="100"/>
        <c:noMultiLvlLbl val="0"/>
      </c:catAx>
      <c:valAx>
        <c:axId val="38161740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381616616"/>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EE74E-84FF-48A4-BCFD-97261E482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21</Pages>
  <Words>4530</Words>
  <Characters>25821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Kamil, Bill</cp:lastModifiedBy>
  <cp:revision>33</cp:revision>
  <cp:lastPrinted>2015-02-26T19:18:00Z</cp:lastPrinted>
  <dcterms:created xsi:type="dcterms:W3CDTF">2012-06-21T19:59:00Z</dcterms:created>
  <dcterms:modified xsi:type="dcterms:W3CDTF">2015-03-09T13:41:00Z</dcterms:modified>
</cp:coreProperties>
</file>