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9E7376">
        <w:rPr>
          <w:rFonts w:ascii="Arial" w:hAnsi="Arial" w:cs="Arial"/>
          <w:color w:val="000000" w:themeColor="text1"/>
          <w:u w:val="single"/>
        </w:rPr>
        <w:t>0330 - English</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9E7376">
        <w:rPr>
          <w:rFonts w:ascii="Arial" w:hAnsi="Arial" w:cs="Arial"/>
          <w:color w:val="000000" w:themeColor="text1"/>
        </w:rPr>
        <w:t>11</w:t>
      </w:r>
      <w:r>
        <w:rPr>
          <w:rFonts w:ascii="Arial" w:hAnsi="Arial" w:cs="Arial"/>
          <w:color w:val="000000" w:themeColor="text1"/>
        </w:rPr>
        <w:t>-</w:t>
      </w:r>
      <w:r w:rsidR="0052737B">
        <w:rPr>
          <w:rFonts w:ascii="Arial" w:hAnsi="Arial" w:cs="Arial"/>
          <w:color w:val="000000" w:themeColor="text1"/>
        </w:rPr>
        <w:t>20</w:t>
      </w:r>
      <w:r w:rsidR="009E7376">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9E7376">
        <w:rPr>
          <w:rFonts w:ascii="Arial" w:hAnsi="Arial" w:cs="Arial"/>
          <w:color w:val="000000" w:themeColor="text1"/>
        </w:rPr>
        <w:t>6</w:t>
      </w:r>
      <w:r>
        <w:rPr>
          <w:rFonts w:ascii="Arial" w:hAnsi="Arial" w:cs="Arial"/>
          <w:color w:val="000000" w:themeColor="text1"/>
        </w:rPr>
        <w:t>-201</w:t>
      </w:r>
      <w:r w:rsidR="009E7376">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9D7CD2" w:rsidP="00585766">
      <w:pPr>
        <w:rPr>
          <w:rFonts w:ascii="Arial" w:hAnsi="Arial" w:cs="Arial"/>
          <w:noProof/>
          <w:color w:val="000000" w:themeColor="text1"/>
        </w:rPr>
      </w:pPr>
      <w:r w:rsidRPr="009D7CD2">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4C52FC" w:rsidRDefault="00853E52">
      <w:pPr>
        <w:spacing w:after="200" w:line="276" w:lineRule="auto"/>
        <w:rPr>
          <w:rFonts w:ascii="Arial" w:hAnsi="Arial" w:cs="Arial"/>
          <w:b/>
          <w:color w:val="000000" w:themeColor="text1"/>
        </w:rPr>
      </w:pPr>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DD32F8">
        <w:t>While we have had a small increase in the number of completions of degrees in our program, it is not a significant increase.</w:t>
      </w:r>
      <w:r w:rsidR="00D02E80">
        <w:t xml:space="preserve"> We currently support the A.A. with an emphasis in English or an emphasis in Creative Writing. We </w:t>
      </w:r>
      <w:r w:rsidR="00DD32F8">
        <w:t>do not</w:t>
      </w:r>
      <w:r w:rsidR="00D2451C">
        <w:t xml:space="preserve"> have a writing </w:t>
      </w:r>
      <w:r w:rsidR="00D02E80">
        <w:t>emphasis that would appeal to those students seeking a technical writing background or an expository writing background. Therefore, students interested in an</w:t>
      </w:r>
      <w:r w:rsidR="00D2451C">
        <w:t xml:space="preserve"> English major</w:t>
      </w:r>
      <w:r w:rsidR="00D02E80">
        <w:t xml:space="preserve"> do not </w:t>
      </w:r>
      <w:r w:rsidR="00D14DF5">
        <w:t xml:space="preserve"> To address this deficit, the department will </w:t>
      </w:r>
      <w:r w:rsidR="005A3E80">
        <w:t xml:space="preserve">investigate </w:t>
      </w:r>
      <w:r w:rsidR="00D14DF5">
        <w:t>propos</w:t>
      </w:r>
      <w:r w:rsidR="005A3E80">
        <w:t>ing</w:t>
      </w:r>
      <w:r w:rsidR="00D14DF5">
        <w:t xml:space="preserve"> </w:t>
      </w:r>
      <w:r w:rsidR="005A3E80">
        <w:t>new program emphases in writing and rhetoric and in technical writing.</w:t>
      </w:r>
      <w:r w:rsidR="004D7149">
        <w:t xml:space="preserve"> </w:t>
      </w:r>
      <w:r w:rsidR="004D7149">
        <w:lastRenderedPageBreak/>
        <w:t>These two areas of emphasis will better prepare students for writing in their subsequent academic programs and in the workplace.</w:t>
      </w:r>
      <w:r w:rsidRPr="00597325">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EA4027" w:rsidP="00585766">
      <w:pPr>
        <w:rPr>
          <w:rFonts w:ascii="Arial" w:hAnsi="Arial" w:cs="Arial"/>
          <w:color w:val="000000" w:themeColor="text1"/>
        </w:rPr>
      </w:pPr>
      <w:r w:rsidRPr="00EA4027">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52737B" w:rsidRDefault="001D3E1D" w:rsidP="0052737B">
      <w:pPr>
        <w:rPr>
          <w:rFonts w:ascii="Arial" w:hAnsi="Arial" w:cs="Arial"/>
          <w:color w:val="000000" w:themeColor="text1"/>
        </w:rPr>
      </w:pPr>
    </w:p>
    <w:p w:rsidR="004D7149" w:rsidRDefault="00853E52" w:rsidP="0052737B">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4D7149">
        <w:t xml:space="preserve">At 72.1 percent, the department success rate is higher than both the LCS division and the collegewide success rates. Our English composition courses have among the highest enrollments in the collge, with a rise of 43.8 percent in five years. Essentially, student demand for our courses continues to grow and is parallel to the college's enrollment. </w:t>
      </w:r>
    </w:p>
    <w:p w:rsidR="004D7149" w:rsidRDefault="004D7149" w:rsidP="0052737B"/>
    <w:p w:rsidR="001D3E1D" w:rsidRPr="0052737B" w:rsidRDefault="004D7149" w:rsidP="0052737B">
      <w:pPr>
        <w:rPr>
          <w:rFonts w:ascii="Arial" w:hAnsi="Arial" w:cs="Arial"/>
          <w:color w:val="000000" w:themeColor="text1"/>
        </w:rPr>
      </w:pPr>
      <w:r>
        <w:t>As stated elsewhere in this report, success rates in the composition course sequence are continually undergoing analysis and strategies for improving those rates are continually being developed.</w:t>
      </w:r>
      <w:r w:rsidR="00853E52" w:rsidRPr="00597325">
        <w:rPr>
          <w:rFonts w:ascii="Arial" w:hAnsi="Arial" w:cs="Arial"/>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52737B" w:rsidRDefault="00853E52" w:rsidP="00377D40">
      <w:pPr>
        <w:spacing w:after="200" w:line="276" w:lineRule="auto"/>
        <w:rPr>
          <w:rFonts w:ascii="Arial" w:hAnsi="Arial" w:cs="Arial"/>
          <w:color w:val="000000" w:themeColor="text1"/>
        </w:rPr>
        <w:sectPr w:rsidR="0052737B" w:rsidSect="00060BCB">
          <w:footerReference w:type="default" r:id="rId10"/>
          <w:pgSz w:w="12240" w:h="15840"/>
          <w:pgMar w:top="1152" w:right="1440" w:bottom="1152" w:left="1440" w:header="720" w:footer="288" w:gutter="0"/>
          <w:cols w:space="720"/>
          <w:docGrid w:linePitch="360"/>
        </w:sectPr>
      </w:pPr>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52737B" w:rsidRPr="00597325">
        <w:rPr>
          <w:rFonts w:ascii="Arial" w:hAnsi="Arial" w:cs="Arial"/>
          <w:color w:val="000000" w:themeColor="text1"/>
        </w:rPr>
        <w:t> </w:t>
      </w:r>
      <w:r w:rsidR="0052737B" w:rsidRPr="00597325">
        <w:rPr>
          <w:rFonts w:ascii="Arial" w:hAnsi="Arial" w:cs="Arial"/>
          <w:color w:val="000000" w:themeColor="text1"/>
        </w:rPr>
        <w:t> </w:t>
      </w:r>
      <w:r w:rsidR="0052737B" w:rsidRPr="00597325">
        <w:rPr>
          <w:rFonts w:ascii="Arial" w:hAnsi="Arial" w:cs="Arial"/>
          <w:color w:val="000000" w:themeColor="text1"/>
        </w:rPr>
        <w:t> </w:t>
      </w:r>
      <w:r w:rsidR="0052737B" w:rsidRPr="00597325">
        <w:rPr>
          <w:rFonts w:ascii="Arial" w:hAnsi="Arial" w:cs="Arial"/>
          <w:color w:val="000000" w:themeColor="text1"/>
        </w:rPr>
        <w:t> </w:t>
      </w:r>
      <w:r w:rsidR="0052737B" w:rsidRPr="00597325">
        <w:rPr>
          <w:rFonts w:ascii="Arial" w:hAnsi="Arial" w:cs="Arial"/>
          <w:color w:val="000000" w:themeColor="text1"/>
        </w:rPr>
        <w:t> </w:t>
      </w:r>
      <w:r w:rsidRPr="00597325">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52737B">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52737B" w:rsidTr="0052737B">
        <w:trPr>
          <w:trHeight w:val="1399"/>
        </w:trPr>
        <w:tc>
          <w:tcPr>
            <w:tcW w:w="3690" w:type="dxa"/>
          </w:tcPr>
          <w:p w:rsidR="0052737B" w:rsidRPr="0037786D" w:rsidRDefault="0052737B" w:rsidP="00D07030">
            <w:pPr>
              <w:spacing w:before="120"/>
              <w:rPr>
                <w:rFonts w:ascii="Arial" w:hAnsi="Arial" w:cs="Arial"/>
                <w:color w:val="000000" w:themeColor="text1"/>
              </w:rPr>
            </w:pPr>
            <w:r>
              <w:rPr>
                <w:rFonts w:ascii="Arial" w:hAnsi="Arial" w:cs="Arial"/>
                <w:color w:val="000000" w:themeColor="text1"/>
              </w:rPr>
              <w:t xml:space="preserve">The department’s goals and rationale for expanding include continuing to offer sections of composition at all locations and at all times (WPAFB, Courseview, Englewood, and Huber Heights Learning Centers, Centerville High School, etc.).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840" w:type="dxa"/>
          </w:tcPr>
          <w:p w:rsidR="0052737B" w:rsidRPr="00597325" w:rsidRDefault="00853E52" w:rsidP="009A7946">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9A7946">
              <w:t xml:space="preserve">We continue to provide opportunities for students to take ENG 1101 and 1201 at the areas listed on the left. We are also offering dual enrollment at the following high schools: Franklin, Waynesville, Edgewood, Lakota East, and Lakota West. We also offer courses at Allen County Prison, Pickaway County Correctional Institute, and Dayton Correctional Institute. </w:t>
            </w:r>
            <w:r w:rsidRPr="00597325">
              <w:rPr>
                <w:rFonts w:ascii="Arial" w:hAnsi="Arial" w:cs="Arial"/>
                <w:color w:val="000000" w:themeColor="text1"/>
              </w:rPr>
              <w:fldChar w:fldCharType="end"/>
            </w:r>
          </w:p>
        </w:tc>
      </w:tr>
      <w:tr w:rsidR="0052737B" w:rsidTr="0052737B">
        <w:trPr>
          <w:trHeight w:val="1399"/>
        </w:trPr>
        <w:tc>
          <w:tcPr>
            <w:tcW w:w="3690" w:type="dxa"/>
          </w:tcPr>
          <w:p w:rsidR="0052737B" w:rsidRPr="0037786D" w:rsidRDefault="0052737B" w:rsidP="00C32312">
            <w:pPr>
              <w:pStyle w:val="ListParagraph"/>
              <w:ind w:left="0"/>
              <w:rPr>
                <w:rFonts w:ascii="Arial" w:hAnsi="Arial" w:cs="Arial"/>
                <w:color w:val="000000" w:themeColor="text1"/>
              </w:rPr>
            </w:pPr>
            <w:r>
              <w:rPr>
                <w:rFonts w:ascii="Arial" w:hAnsi="Arial" w:cs="Arial"/>
                <w:color w:val="000000" w:themeColor="text1"/>
              </w:rPr>
              <w:t xml:space="preserve">We plan to explore new courses after we convert to semesters, including a class on writing/publishing in the electronic media.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840" w:type="dxa"/>
          </w:tcPr>
          <w:p w:rsidR="0052737B" w:rsidRPr="00597325" w:rsidRDefault="00853E52" w:rsidP="009A7946">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9A7946">
              <w:t>We are still considering exploring new courses at this time.</w:t>
            </w:r>
            <w:r w:rsidRPr="00597325">
              <w:rPr>
                <w:rFonts w:ascii="Arial" w:hAnsi="Arial" w:cs="Arial"/>
                <w:color w:val="000000" w:themeColor="text1"/>
              </w:rPr>
              <w:fldChar w:fldCharType="end"/>
            </w:r>
          </w:p>
        </w:tc>
      </w:tr>
      <w:tr w:rsidR="0052737B" w:rsidTr="0052737B">
        <w:trPr>
          <w:trHeight w:val="1101"/>
        </w:trPr>
        <w:tc>
          <w:tcPr>
            <w:tcW w:w="3690" w:type="dxa"/>
          </w:tcPr>
          <w:p w:rsidR="0052737B" w:rsidRPr="0037786D" w:rsidRDefault="0052737B" w:rsidP="0094204C">
            <w:pPr>
              <w:pStyle w:val="ListParagraph"/>
              <w:ind w:left="0"/>
              <w:rPr>
                <w:rFonts w:ascii="Arial" w:hAnsi="Arial" w:cs="Arial"/>
                <w:color w:val="000000" w:themeColor="text1"/>
              </w:rPr>
            </w:pPr>
            <w:r>
              <w:rPr>
                <w:rFonts w:ascii="Arial" w:hAnsi="Arial" w:cs="Arial"/>
                <w:color w:val="000000" w:themeColor="text1"/>
              </w:rPr>
              <w:t>We plan to continue to modernize our curriculum to serve students as they transfer and graduate in greater numbers.</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840" w:type="dxa"/>
          </w:tcPr>
          <w:p w:rsidR="0052737B" w:rsidRPr="00597325" w:rsidRDefault="00853E52" w:rsidP="009A7946">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9A7946">
              <w:t>We are establishing a departmental committee to focus on pedagogical methods for teaching writing to better reach our at-risk students. This information will be presented to the faculty next semester at department meetings.</w:t>
            </w:r>
            <w:r w:rsidRPr="00597325">
              <w:rPr>
                <w:rFonts w:ascii="Arial" w:hAnsi="Arial" w:cs="Arial"/>
                <w:color w:val="000000" w:themeColor="text1"/>
              </w:rPr>
              <w:fldChar w:fldCharType="end"/>
            </w:r>
          </w:p>
        </w:tc>
      </w:tr>
      <w:tr w:rsidR="0052737B" w:rsidTr="0052737B">
        <w:trPr>
          <w:trHeight w:val="1101"/>
        </w:trPr>
        <w:tc>
          <w:tcPr>
            <w:tcW w:w="3690" w:type="dxa"/>
          </w:tcPr>
          <w:p w:rsidR="0052737B" w:rsidRPr="0037786D" w:rsidRDefault="0052737B" w:rsidP="0094204C">
            <w:pPr>
              <w:pStyle w:val="ListParagraph"/>
              <w:ind w:left="0"/>
              <w:rPr>
                <w:rFonts w:ascii="Arial" w:hAnsi="Arial" w:cs="Arial"/>
                <w:color w:val="000000" w:themeColor="text1"/>
              </w:rPr>
            </w:pPr>
            <w:r>
              <w:rPr>
                <w:rFonts w:ascii="Arial" w:hAnsi="Arial" w:cs="Arial"/>
                <w:color w:val="000000" w:themeColor="text1"/>
              </w:rPr>
              <w:t xml:space="preserve">The department is working through the AQIP initiative to build stronger connections with ACA and area high schools.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840" w:type="dxa"/>
          </w:tcPr>
          <w:p w:rsidR="0052737B" w:rsidRPr="00597325" w:rsidRDefault="00853E52" w:rsidP="001B3EF9">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9A7946">
              <w:t>Our faculty are working with the Tech Prep program to establish links with area high schools through the High Schools to Higher Education Grant. In addition, we have a faculty representative on  the Miami Valley Career Technology Center Academic Advisory Board.</w:t>
            </w:r>
            <w:r w:rsidRPr="00597325">
              <w:rPr>
                <w:rFonts w:ascii="Arial" w:hAnsi="Arial" w:cs="Arial"/>
                <w:color w:val="000000" w:themeColor="text1"/>
              </w:rPr>
              <w:fldChar w:fldCharType="end"/>
            </w:r>
          </w:p>
        </w:tc>
      </w:tr>
      <w:tr w:rsidR="0052737B" w:rsidTr="0052737B">
        <w:trPr>
          <w:trHeight w:val="1101"/>
        </w:trPr>
        <w:tc>
          <w:tcPr>
            <w:tcW w:w="3690" w:type="dxa"/>
          </w:tcPr>
          <w:p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lastRenderedPageBreak/>
              <w:t>In the next five years, we plan to establish a stronger assessment program for students and faculty by exploring e-Portfolios and routine assessment norming for faculty.</w:t>
            </w:r>
          </w:p>
        </w:tc>
        <w:tc>
          <w:tcPr>
            <w:tcW w:w="2700" w:type="dxa"/>
          </w:tcPr>
          <w:p w:rsidR="0052737B" w:rsidRDefault="0052737B" w:rsidP="009D7CD2">
            <w:pPr>
              <w:pStyle w:val="ListParagraph"/>
              <w:ind w:left="0"/>
              <w:rPr>
                <w:rFonts w:ascii="Arial" w:hAnsi="Arial" w:cs="Arial"/>
                <w:color w:val="000000" w:themeColor="text1"/>
              </w:rPr>
            </w:pPr>
          </w:p>
          <w:p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9D7CD2">
            <w:pPr>
              <w:pStyle w:val="ListParagraph"/>
              <w:ind w:left="0"/>
              <w:rPr>
                <w:rFonts w:ascii="Arial" w:hAnsi="Arial" w:cs="Arial"/>
                <w:color w:val="000000" w:themeColor="text1"/>
              </w:rPr>
            </w:pPr>
          </w:p>
          <w:p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9D7CD2">
            <w:pPr>
              <w:pStyle w:val="ListParagraph"/>
              <w:ind w:left="0"/>
              <w:rPr>
                <w:rFonts w:ascii="Arial" w:hAnsi="Arial" w:cs="Arial"/>
                <w:color w:val="000000" w:themeColor="text1"/>
              </w:rPr>
            </w:pPr>
          </w:p>
          <w:p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840" w:type="dxa"/>
          </w:tcPr>
          <w:p w:rsidR="0052737B" w:rsidRPr="00597325" w:rsidRDefault="00853E52" w:rsidP="00EA68B7">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60657C">
              <w:t xml:space="preserve">A Student Learning Outcomes Assessment Pilot was run during the Spring 2012 quarter. </w:t>
            </w:r>
            <w:r w:rsidR="00193168">
              <w:t xml:space="preserve">During the next cycle, the team will work with IT to create an electronic environment for the evaluation process, change the Likert Scale to 104 instead of 1-3, </w:t>
            </w:r>
            <w:r w:rsidR="00EA68B7">
              <w:t xml:space="preserve">and </w:t>
            </w:r>
            <w:r w:rsidR="00193168">
              <w:t>evaluate a larger set of samples (the team had 94 samples)</w:t>
            </w:r>
            <w:r w:rsidR="00EA68B7">
              <w:t>. The assessment team reports to the department at large one time an academic year.</w:t>
            </w:r>
            <w:r w:rsidR="00193168">
              <w:t xml:space="preserve"> </w:t>
            </w:r>
            <w:r w:rsidRPr="00597325">
              <w:rPr>
                <w:rFonts w:ascii="Arial" w:hAnsi="Arial" w:cs="Arial"/>
                <w:color w:val="000000" w:themeColor="text1"/>
              </w:rPr>
              <w:fldChar w:fldCharType="end"/>
            </w:r>
          </w:p>
        </w:tc>
      </w:tr>
      <w:tr w:rsidR="0052737B" w:rsidTr="0052737B">
        <w:trPr>
          <w:trHeight w:val="1101"/>
        </w:trPr>
        <w:tc>
          <w:tcPr>
            <w:tcW w:w="3690" w:type="dxa"/>
          </w:tcPr>
          <w:p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We plan to take action on the “opportunities” list presented in Section IV A of the FY 2011-12 Program Review.</w:t>
            </w:r>
          </w:p>
        </w:tc>
        <w:tc>
          <w:tcPr>
            <w:tcW w:w="2700" w:type="dxa"/>
          </w:tcPr>
          <w:p w:rsidR="0052737B" w:rsidRDefault="0052737B" w:rsidP="009D7CD2">
            <w:pPr>
              <w:pStyle w:val="ListParagraph"/>
              <w:ind w:left="0"/>
              <w:rPr>
                <w:rFonts w:ascii="Arial" w:hAnsi="Arial" w:cs="Arial"/>
                <w:color w:val="000000" w:themeColor="text1"/>
              </w:rPr>
            </w:pPr>
          </w:p>
          <w:p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9D7CD2">
            <w:pPr>
              <w:pStyle w:val="ListParagraph"/>
              <w:ind w:left="0"/>
              <w:rPr>
                <w:rFonts w:ascii="Arial" w:hAnsi="Arial" w:cs="Arial"/>
                <w:color w:val="000000" w:themeColor="text1"/>
              </w:rPr>
            </w:pPr>
          </w:p>
          <w:p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9D7CD2">
            <w:pPr>
              <w:pStyle w:val="ListParagraph"/>
              <w:ind w:left="0"/>
              <w:rPr>
                <w:rFonts w:ascii="Arial" w:hAnsi="Arial" w:cs="Arial"/>
                <w:color w:val="000000" w:themeColor="text1"/>
              </w:rPr>
            </w:pPr>
          </w:p>
          <w:p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840" w:type="dxa"/>
          </w:tcPr>
          <w:p w:rsidR="0052737B" w:rsidRPr="00597325" w:rsidRDefault="00853E52" w:rsidP="00E352AB">
            <w:r w:rsidRPr="00597325">
              <w:rPr>
                <w:rFonts w:ascii="Arial" w:hAnsi="Arial" w:cs="Arial"/>
                <w:color w:val="000000" w:themeColor="text1"/>
              </w:rPr>
              <w:fldChar w:fldCharType="begin">
                <w:ffData>
                  <w:name w:val="Text1"/>
                  <w:enabled/>
                  <w:calcOnExit w:val="0"/>
                  <w:textInput/>
                </w:ffData>
              </w:fldChar>
            </w:r>
            <w:r w:rsidR="0052737B" w:rsidRPr="00597325">
              <w:rPr>
                <w:rFonts w:ascii="Arial" w:hAnsi="Arial" w:cs="Arial"/>
                <w:color w:val="000000" w:themeColor="text1"/>
              </w:rPr>
              <w:instrText xml:space="preserve"> FORMTEXT </w:instrText>
            </w:r>
            <w:r w:rsidRPr="00597325">
              <w:rPr>
                <w:rFonts w:ascii="Arial" w:hAnsi="Arial" w:cs="Arial"/>
                <w:color w:val="000000" w:themeColor="text1"/>
              </w:rPr>
            </w:r>
            <w:r w:rsidRPr="00597325">
              <w:rPr>
                <w:rFonts w:ascii="Arial" w:hAnsi="Arial" w:cs="Arial"/>
                <w:color w:val="000000" w:themeColor="text1"/>
              </w:rPr>
              <w:fldChar w:fldCharType="separate"/>
            </w:r>
            <w:r w:rsidR="00E352AB">
              <w:t>See below</w:t>
            </w:r>
            <w:r w:rsidRPr="00597325">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52737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52737B" w:rsidRPr="0037786D" w:rsidTr="0052737B">
        <w:tc>
          <w:tcPr>
            <w:tcW w:w="3708" w:type="dxa"/>
          </w:tcPr>
          <w:p w:rsidR="0052737B" w:rsidRPr="00654C15" w:rsidRDefault="0052737B" w:rsidP="009544B8">
            <w:pPr>
              <w:spacing w:after="200" w:line="276" w:lineRule="auto"/>
              <w:rPr>
                <w:rFonts w:ascii="Arial" w:hAnsi="Arial" w:cs="Arial"/>
                <w:color w:val="000000" w:themeColor="text1"/>
                <w:sz w:val="24"/>
                <w:szCs w:val="24"/>
              </w:rPr>
            </w:pPr>
            <w:r w:rsidRPr="009544B8">
              <w:rPr>
                <w:rFonts w:ascii="Arial" w:hAnsi="Arial" w:cs="Arial"/>
                <w:color w:val="000000"/>
              </w:rPr>
              <w:t>From the self-study, it was not apparently that there was a lot of feedback being collected from other academic departments regarding how well the English Department is meeting their needs.  The department is encouraged to dialogue to a greater extent with other departments at the college for the purpose of seeking feedback.</w:t>
            </w:r>
            <w:r w:rsidRPr="00654C15">
              <w:rPr>
                <w:rFonts w:ascii="Arial" w:hAnsi="Arial" w:cs="Arial"/>
                <w:color w:val="000000" w:themeColor="text1"/>
                <w:sz w:val="24"/>
                <w:szCs w:val="24"/>
              </w:rPr>
              <w:t xml:space="preserve">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480" w:type="dxa"/>
          </w:tcPr>
          <w:p w:rsidR="00E352AB" w:rsidRPr="00E352AB" w:rsidRDefault="00853E52" w:rsidP="00E352AB">
            <w:r w:rsidRPr="00C54B0F">
              <w:rPr>
                <w:rFonts w:ascii="Arial" w:hAnsi="Arial" w:cs="Arial"/>
                <w:color w:val="000000" w:themeColor="text1"/>
              </w:rPr>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352AB">
              <w:t xml:space="preserve">In January, we </w:t>
            </w:r>
            <w:r w:rsidR="00AA3F85">
              <w:t>are</w:t>
            </w:r>
            <w:r w:rsidR="00E352AB">
              <w:t xml:space="preserve"> develop</w:t>
            </w:r>
            <w:r w:rsidR="00AA3F85">
              <w:t>ing</w:t>
            </w:r>
            <w:r w:rsidR="00E352AB">
              <w:t xml:space="preserve"> an advisory committee for the English Department comprised of internal and external stakeholders.</w:t>
            </w:r>
          </w:p>
          <w:p w:rsidR="0052737B" w:rsidRPr="00C54B0F" w:rsidRDefault="00853E52" w:rsidP="0041795A">
            <w:r w:rsidRPr="00C54B0F">
              <w:rPr>
                <w:rFonts w:ascii="Arial" w:hAnsi="Arial" w:cs="Arial"/>
                <w:color w:val="000000" w:themeColor="text1"/>
              </w:rPr>
              <w:fldChar w:fldCharType="end"/>
            </w:r>
          </w:p>
        </w:tc>
      </w:tr>
      <w:tr w:rsidR="0052737B" w:rsidRPr="0037786D" w:rsidTr="0052737B">
        <w:tc>
          <w:tcPr>
            <w:tcW w:w="3708" w:type="dxa"/>
          </w:tcPr>
          <w:p w:rsidR="0052737B" w:rsidRPr="00654C15" w:rsidRDefault="0052737B" w:rsidP="009544B8">
            <w:pPr>
              <w:spacing w:after="200" w:line="276" w:lineRule="auto"/>
              <w:rPr>
                <w:rFonts w:ascii="Arial" w:hAnsi="Arial" w:cs="Arial"/>
                <w:color w:val="000000" w:themeColor="text1"/>
                <w:sz w:val="24"/>
                <w:szCs w:val="24"/>
              </w:rPr>
            </w:pPr>
            <w:r w:rsidRPr="009544B8">
              <w:rPr>
                <w:rFonts w:ascii="Arial" w:hAnsi="Arial" w:cs="Arial"/>
                <w:color w:val="000000"/>
              </w:rPr>
              <w:t>The department should seriously consider reviewing the Program Outcomes, incorporating a greater focus on outcomes specific to English and the skills and outcomes associated with English courses.</w:t>
            </w:r>
            <w:r w:rsidRPr="00654C15">
              <w:rPr>
                <w:rFonts w:ascii="Arial" w:hAnsi="Arial" w:cs="Arial"/>
                <w:color w:val="000000" w:themeColor="text1"/>
                <w:sz w:val="24"/>
                <w:szCs w:val="24"/>
              </w:rPr>
              <w:t xml:space="preserve">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tc>
        <w:tc>
          <w:tcPr>
            <w:tcW w:w="6480" w:type="dxa"/>
          </w:tcPr>
          <w:p w:rsidR="0052737B" w:rsidRPr="00C54B0F" w:rsidRDefault="00853E52" w:rsidP="00E352AB">
            <w:r w:rsidRPr="00C54B0F">
              <w:rPr>
                <w:rFonts w:ascii="Arial" w:hAnsi="Arial" w:cs="Arial"/>
                <w:color w:val="000000" w:themeColor="text1"/>
              </w:rPr>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352AB">
              <w:t>We have considered this recommendation seriously, and we have decided that it is not applicable at this time. Our outcomes, specifically for the composition sequence, are driven by the State of Ohio. At this time, the outcomes both reflect and enact the philosophy of the state and our department as a whole.</w:t>
            </w:r>
            <w:r w:rsidRPr="00C54B0F">
              <w:rPr>
                <w:rFonts w:ascii="Arial" w:hAnsi="Arial" w:cs="Arial"/>
                <w:color w:val="000000" w:themeColor="text1"/>
              </w:rPr>
              <w:fldChar w:fldCharType="end"/>
            </w:r>
          </w:p>
        </w:tc>
      </w:tr>
      <w:tr w:rsidR="0052737B" w:rsidRPr="0037786D" w:rsidTr="0052737B">
        <w:tc>
          <w:tcPr>
            <w:tcW w:w="3708" w:type="dxa"/>
          </w:tcPr>
          <w:p w:rsidR="0052737B" w:rsidRPr="00654C15" w:rsidRDefault="0052737B" w:rsidP="009544B8">
            <w:pPr>
              <w:spacing w:after="200" w:line="276" w:lineRule="auto"/>
              <w:rPr>
                <w:rFonts w:ascii="Arial" w:hAnsi="Arial" w:cs="Arial"/>
                <w:color w:val="000000" w:themeColor="text1"/>
                <w:sz w:val="24"/>
                <w:szCs w:val="24"/>
              </w:rPr>
            </w:pPr>
            <w:r w:rsidRPr="009544B8">
              <w:rPr>
                <w:rFonts w:ascii="Arial" w:hAnsi="Arial" w:cs="Arial"/>
                <w:color w:val="000000"/>
              </w:rPr>
              <w:t xml:space="preserve">It appears that there may be room to create more of a climate of expectation with adjuncts in terms of professional development.  Adjuncts should be made explicitly aware of the expectations involving workshops, attendance at in-service meetings, etc.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480" w:type="dxa"/>
          </w:tcPr>
          <w:p w:rsidR="0052737B" w:rsidRPr="00C54B0F" w:rsidRDefault="00853E52" w:rsidP="002F309A">
            <w:r w:rsidRPr="00C54B0F">
              <w:rPr>
                <w:rFonts w:ascii="Arial" w:hAnsi="Arial" w:cs="Arial"/>
                <w:color w:val="000000" w:themeColor="text1"/>
              </w:rPr>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2F309A">
              <w:t>An Adjunct Liason Committee has been formed comprised of two full time and two adjunct faculty. This committee is charged with strengthening communication between the department and its adjunct faculty.</w:t>
            </w:r>
            <w:r w:rsidRPr="00C54B0F">
              <w:rPr>
                <w:rFonts w:ascii="Arial" w:hAnsi="Arial" w:cs="Arial"/>
                <w:color w:val="000000" w:themeColor="text1"/>
              </w:rPr>
              <w:fldChar w:fldCharType="end"/>
            </w:r>
          </w:p>
        </w:tc>
      </w:tr>
      <w:tr w:rsidR="0052737B" w:rsidRPr="0037786D" w:rsidTr="0052737B">
        <w:tc>
          <w:tcPr>
            <w:tcW w:w="3708" w:type="dxa"/>
          </w:tcPr>
          <w:p w:rsidR="0052737B" w:rsidRPr="00654C15" w:rsidRDefault="0052737B" w:rsidP="009544B8">
            <w:pPr>
              <w:spacing w:after="200" w:line="276" w:lineRule="auto"/>
              <w:rPr>
                <w:rFonts w:ascii="Arial" w:hAnsi="Arial" w:cs="Arial"/>
                <w:color w:val="000000" w:themeColor="text1"/>
                <w:sz w:val="24"/>
                <w:szCs w:val="24"/>
              </w:rPr>
            </w:pPr>
            <w:r w:rsidRPr="009544B8">
              <w:rPr>
                <w:rFonts w:ascii="Arial" w:hAnsi="Arial" w:cs="Arial"/>
                <w:color w:val="000000"/>
              </w:rPr>
              <w:t xml:space="preserve">Dual enrollment is being strongly </w:t>
            </w:r>
            <w:r w:rsidRPr="009544B8">
              <w:rPr>
                <w:rFonts w:ascii="Arial" w:hAnsi="Arial" w:cs="Arial"/>
                <w:color w:val="000000"/>
              </w:rPr>
              <w:lastRenderedPageBreak/>
              <w:t>encouraged by the state.  Some of the challenges regarding dual enrollment arrangements were discussed in the review meeting, and the department should proactively discuss strategies for dealing with these challenges and overseeing the offering of dual enrollment sections with area high schools.</w:t>
            </w:r>
            <w:r w:rsidRPr="00654C15">
              <w:rPr>
                <w:rFonts w:ascii="Arial" w:hAnsi="Arial" w:cs="Arial"/>
                <w:color w:val="000000" w:themeColor="text1"/>
                <w:sz w:val="24"/>
                <w:szCs w:val="24"/>
              </w:rPr>
              <w:t xml:space="preserve"> </w:t>
            </w:r>
          </w:p>
        </w:tc>
        <w:tc>
          <w:tcPr>
            <w:tcW w:w="2700" w:type="dxa"/>
          </w:tcPr>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637591">
            <w:pPr>
              <w:pStyle w:val="ListParagraph"/>
              <w:ind w:left="0"/>
              <w:rPr>
                <w:rFonts w:ascii="Arial" w:hAnsi="Arial" w:cs="Arial"/>
                <w:color w:val="000000" w:themeColor="text1"/>
              </w:rPr>
            </w:pPr>
          </w:p>
          <w:p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480" w:type="dxa"/>
          </w:tcPr>
          <w:p w:rsidR="0052737B" w:rsidRPr="00C54B0F" w:rsidRDefault="00853E52" w:rsidP="00E63B19">
            <w:r w:rsidRPr="00C54B0F">
              <w:rPr>
                <w:rFonts w:ascii="Arial" w:hAnsi="Arial" w:cs="Arial"/>
                <w:color w:val="000000" w:themeColor="text1"/>
              </w:rPr>
              <w:lastRenderedPageBreak/>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63B19">
              <w:t xml:space="preserve">We are taking this recommendation under advisement, and we are </w:t>
            </w:r>
            <w:r w:rsidR="00E63B19">
              <w:lastRenderedPageBreak/>
              <w:t>coordinating with our dual-enrolled programs now. We will continue to do so as the opportunity to participate in dual enrollment agreements arises.</w:t>
            </w:r>
            <w:r w:rsidRPr="00C54B0F">
              <w:rPr>
                <w:rFonts w:ascii="Arial" w:hAnsi="Arial" w:cs="Arial"/>
                <w:color w:val="000000" w:themeColor="text1"/>
              </w:rPr>
              <w:fldChar w:fldCharType="end"/>
            </w:r>
          </w:p>
        </w:tc>
      </w:tr>
      <w:tr w:rsidR="0052737B" w:rsidRPr="0037786D" w:rsidTr="0052737B">
        <w:tc>
          <w:tcPr>
            <w:tcW w:w="3708" w:type="dxa"/>
          </w:tcPr>
          <w:p w:rsidR="0052737B" w:rsidRPr="00654C15" w:rsidRDefault="0052737B" w:rsidP="009544B8">
            <w:pPr>
              <w:spacing w:after="200" w:line="276" w:lineRule="auto"/>
              <w:rPr>
                <w:rFonts w:ascii="Arial" w:hAnsi="Arial" w:cs="Arial"/>
                <w:color w:val="000000" w:themeColor="text1"/>
                <w:sz w:val="24"/>
                <w:szCs w:val="24"/>
              </w:rPr>
            </w:pPr>
            <w:r w:rsidRPr="009544B8">
              <w:rPr>
                <w:rFonts w:ascii="Arial" w:hAnsi="Arial" w:cs="Arial"/>
                <w:color w:val="000000"/>
              </w:rPr>
              <w:lastRenderedPageBreak/>
              <w:t xml:space="preserve">The Writing Center appears to be a valuable resource for students, but the benefit to students has not been documented to the extent that it could be.  The department is encouraged to find ways to strengthen assessment of the Writing Center, demonstrating how students benefit from using the resources there.  This may entail capturing more data than is currently captured from users of the Writing Center.  Research, Analytics, and Reporting (RAR) may be a resource the department could use in its efforts to better </w:t>
            </w:r>
            <w:proofErr w:type="gramStart"/>
            <w:r w:rsidRPr="009544B8">
              <w:rPr>
                <w:rFonts w:ascii="Arial" w:hAnsi="Arial" w:cs="Arial"/>
                <w:color w:val="000000"/>
              </w:rPr>
              <w:t>assess</w:t>
            </w:r>
            <w:proofErr w:type="gramEnd"/>
            <w:r w:rsidRPr="009544B8">
              <w:rPr>
                <w:rFonts w:ascii="Arial" w:hAnsi="Arial" w:cs="Arial"/>
                <w:color w:val="000000"/>
              </w:rPr>
              <w:t xml:space="preserve"> the impact of the Writing Center.</w:t>
            </w:r>
            <w:r w:rsidRPr="00654C15">
              <w:rPr>
                <w:rFonts w:ascii="Arial" w:hAnsi="Arial" w:cs="Arial"/>
                <w:color w:val="000000" w:themeColor="text1"/>
                <w:sz w:val="24"/>
                <w:szCs w:val="24"/>
              </w:rPr>
              <w:t xml:space="preserve"> </w:t>
            </w:r>
          </w:p>
        </w:tc>
        <w:tc>
          <w:tcPr>
            <w:tcW w:w="2700" w:type="dxa"/>
          </w:tcPr>
          <w:p w:rsidR="0052737B" w:rsidRDefault="0052737B" w:rsidP="00D07030">
            <w:pPr>
              <w:pStyle w:val="ListParagraph"/>
              <w:ind w:left="0"/>
              <w:rPr>
                <w:rFonts w:ascii="Arial" w:hAnsi="Arial" w:cs="Arial"/>
                <w:color w:val="000000" w:themeColor="text1"/>
              </w:rPr>
            </w:pPr>
          </w:p>
          <w:p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D07030">
            <w:pPr>
              <w:pStyle w:val="ListParagraph"/>
              <w:ind w:left="0"/>
              <w:rPr>
                <w:rFonts w:ascii="Arial" w:hAnsi="Arial" w:cs="Arial"/>
                <w:color w:val="000000" w:themeColor="text1"/>
              </w:rPr>
            </w:pPr>
          </w:p>
          <w:p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D07030">
            <w:pPr>
              <w:pStyle w:val="ListParagraph"/>
              <w:ind w:left="0"/>
              <w:rPr>
                <w:rFonts w:ascii="Arial" w:hAnsi="Arial" w:cs="Arial"/>
                <w:color w:val="000000" w:themeColor="text1"/>
              </w:rPr>
            </w:pPr>
          </w:p>
          <w:p w:rsidR="0052737B" w:rsidRPr="0037786D"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480" w:type="dxa"/>
          </w:tcPr>
          <w:p w:rsidR="0052737B" w:rsidRPr="00C54B0F" w:rsidRDefault="00853E52" w:rsidP="00E63B19">
            <w:r w:rsidRPr="00C54B0F">
              <w:rPr>
                <w:rFonts w:ascii="Arial" w:hAnsi="Arial" w:cs="Arial"/>
                <w:color w:val="000000" w:themeColor="text1"/>
              </w:rPr>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63B19">
              <w:t>The Writing Center, with the consultation of RAR, has launched an assessment program currently in its planning stages. More information about this program will be gathered and the continual assessment of student progress as a result of their work in the Writing Center will occur.</w:t>
            </w:r>
            <w:r w:rsidRPr="00C54B0F">
              <w:rPr>
                <w:rFonts w:ascii="Arial" w:hAnsi="Arial" w:cs="Arial"/>
                <w:color w:val="000000" w:themeColor="text1"/>
              </w:rPr>
              <w:fldChar w:fldCharType="end"/>
            </w:r>
          </w:p>
        </w:tc>
      </w:tr>
      <w:tr w:rsidR="0052737B" w:rsidRPr="0037786D" w:rsidTr="0052737B">
        <w:tc>
          <w:tcPr>
            <w:tcW w:w="3708" w:type="dxa"/>
          </w:tcPr>
          <w:p w:rsidR="0052737B" w:rsidRPr="00654C15" w:rsidRDefault="0052737B" w:rsidP="009544B8">
            <w:pPr>
              <w:spacing w:after="200" w:line="276" w:lineRule="auto"/>
              <w:rPr>
                <w:rFonts w:ascii="Arial" w:hAnsi="Arial" w:cs="Arial"/>
                <w:color w:val="000000" w:themeColor="text1"/>
                <w:sz w:val="24"/>
                <w:szCs w:val="24"/>
              </w:rPr>
            </w:pPr>
            <w:r w:rsidRPr="009544B8">
              <w:rPr>
                <w:rFonts w:ascii="Arial" w:hAnsi="Arial" w:cs="Arial"/>
                <w:color w:val="000000"/>
              </w:rPr>
              <w:t xml:space="preserve">Work has been ongoing in the department to find more ways to </w:t>
            </w:r>
            <w:r w:rsidRPr="009544B8">
              <w:rPr>
                <w:rFonts w:ascii="Arial" w:hAnsi="Arial" w:cs="Arial"/>
                <w:color w:val="000000"/>
              </w:rPr>
              <w:lastRenderedPageBreak/>
              <w:t xml:space="preserve">help students succeed – it is strongly recommended that the department continue and enhance these efforts.   The department is encouraged to explore the implementation of an attendance policy to determine whether that might increase student success, and is generally encouraged to generate additional innovative strategies designed to impact success.  There </w:t>
            </w:r>
            <w:proofErr w:type="gramStart"/>
            <w:r w:rsidRPr="009544B8">
              <w:rPr>
                <w:rFonts w:ascii="Arial" w:hAnsi="Arial" w:cs="Arial"/>
                <w:color w:val="000000"/>
              </w:rPr>
              <w:t>are some faculty</w:t>
            </w:r>
            <w:proofErr w:type="gramEnd"/>
            <w:r w:rsidRPr="009544B8">
              <w:rPr>
                <w:rFonts w:ascii="Arial" w:hAnsi="Arial" w:cs="Arial"/>
                <w:color w:val="000000"/>
              </w:rPr>
              <w:t xml:space="preserve"> in the department who have consistently higher success rates than the average - it is recommended that strategies used by these instructors be identified and scaled up for use in other sections of English to increase student success.</w:t>
            </w:r>
            <w:r w:rsidRPr="00654C15">
              <w:rPr>
                <w:rFonts w:ascii="Arial" w:hAnsi="Arial" w:cs="Arial"/>
                <w:color w:val="000000" w:themeColor="text1"/>
                <w:sz w:val="24"/>
                <w:szCs w:val="24"/>
              </w:rPr>
              <w:t xml:space="preserve"> </w:t>
            </w:r>
          </w:p>
        </w:tc>
        <w:tc>
          <w:tcPr>
            <w:tcW w:w="2700" w:type="dxa"/>
          </w:tcPr>
          <w:p w:rsidR="0052737B" w:rsidRDefault="0052737B" w:rsidP="00D07030">
            <w:pPr>
              <w:pStyle w:val="ListParagraph"/>
              <w:ind w:left="0"/>
              <w:rPr>
                <w:rFonts w:ascii="Arial" w:hAnsi="Arial" w:cs="Arial"/>
                <w:color w:val="000000" w:themeColor="text1"/>
              </w:rPr>
            </w:pPr>
          </w:p>
          <w:p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52737B" w:rsidRDefault="0052737B" w:rsidP="00D07030">
            <w:pPr>
              <w:pStyle w:val="ListParagraph"/>
              <w:ind w:left="0"/>
              <w:rPr>
                <w:rFonts w:ascii="Arial" w:hAnsi="Arial" w:cs="Arial"/>
                <w:color w:val="000000" w:themeColor="text1"/>
              </w:rPr>
            </w:pPr>
          </w:p>
          <w:p w:rsidR="0052737B" w:rsidRDefault="0052737B"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52737B" w:rsidRDefault="0052737B" w:rsidP="00D07030">
            <w:pPr>
              <w:pStyle w:val="ListParagraph"/>
              <w:ind w:left="0"/>
              <w:rPr>
                <w:rFonts w:ascii="Arial" w:hAnsi="Arial" w:cs="Arial"/>
                <w:color w:val="000000" w:themeColor="text1"/>
              </w:rPr>
            </w:pPr>
          </w:p>
          <w:p w:rsidR="0052737B" w:rsidRPr="0037786D"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480" w:type="dxa"/>
          </w:tcPr>
          <w:p w:rsidR="00AA3F85" w:rsidRDefault="00853E52" w:rsidP="00BC38F1">
            <w:r w:rsidRPr="00C54B0F">
              <w:rPr>
                <w:rFonts w:ascii="Arial" w:hAnsi="Arial" w:cs="Arial"/>
                <w:color w:val="000000" w:themeColor="text1"/>
              </w:rPr>
              <w:lastRenderedPageBreak/>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63B19">
              <w:t xml:space="preserve">Beginning in January, faculty will be tasked with identifying their success rate and identifying areas for improvement that could impact the success of their students in ENG 1101 and 1201. Those faculty </w:t>
            </w:r>
            <w:r w:rsidR="00E63B19">
              <w:lastRenderedPageBreak/>
              <w:t>with high success rates will be tasked with sharing their strategies. A committee will be formed at this time to develop and implement policies for the English Department regarding attendance, late assignment penalties, the teaching of essays, etc.</w:t>
            </w:r>
            <w:r w:rsidR="00BC38F1">
              <w:t>We will continue to monitor the success rates of students and make sure their needs are being addressed.</w:t>
            </w:r>
          </w:p>
          <w:p w:rsidR="00AA3F85" w:rsidRDefault="00AA3F85" w:rsidP="00BC38F1"/>
          <w:p w:rsidR="0052737B" w:rsidRPr="00C54B0F" w:rsidRDefault="00AA3F85" w:rsidP="00AA3F85">
            <w:r>
              <w:t>During the fall semester of 2012, we are determining a target completion rate for ENG 1101 and 1201 based on the LCS and collegewide completion rates. We are confident that setting a target will motivate more faculty to increase retention and success in their courses.</w:t>
            </w:r>
            <w:r w:rsidR="00853E52" w:rsidRPr="00C54B0F">
              <w:rPr>
                <w:rFonts w:ascii="Arial" w:hAnsi="Arial" w:cs="Arial"/>
                <w:color w:val="000000" w:themeColor="text1"/>
              </w:rPr>
              <w:fldChar w:fldCharType="end"/>
            </w:r>
          </w:p>
        </w:tc>
      </w:tr>
      <w:tr w:rsidR="00A51345" w:rsidRPr="0037786D" w:rsidTr="0052737B">
        <w:tc>
          <w:tcPr>
            <w:tcW w:w="3708" w:type="dxa"/>
          </w:tcPr>
          <w:p w:rsidR="00A51345" w:rsidRPr="00654C15" w:rsidRDefault="009544B8" w:rsidP="009544B8">
            <w:pPr>
              <w:spacing w:after="200" w:line="276" w:lineRule="auto"/>
              <w:rPr>
                <w:rFonts w:ascii="Arial" w:hAnsi="Arial" w:cs="Arial"/>
                <w:color w:val="000000" w:themeColor="text1"/>
                <w:sz w:val="24"/>
                <w:szCs w:val="24"/>
              </w:rPr>
            </w:pPr>
            <w:r w:rsidRPr="009544B8">
              <w:rPr>
                <w:rFonts w:ascii="Arial" w:hAnsi="Arial" w:cs="Arial"/>
                <w:color w:val="000000"/>
              </w:rPr>
              <w:lastRenderedPageBreak/>
              <w:t xml:space="preserve">While some data is being collected and the Assessment Team has done some initial work Spring 2012, it is recommended that the department increase its work on assessment of student learning.  Further development of the assessment approached piloted in Spring 2012 is encouraged, and the department should work to expand any successful efforts to as </w:t>
            </w:r>
            <w:r w:rsidRPr="009544B8">
              <w:rPr>
                <w:rFonts w:ascii="Arial" w:hAnsi="Arial" w:cs="Arial"/>
                <w:color w:val="000000"/>
              </w:rPr>
              <w:lastRenderedPageBreak/>
              <w:t>many sections as possible.  The department is strongly encouraged to develop an assessment plan that clearly lays out what they are going to measure, how they are going to do it, who is going to do it, and how they will process, analyze, report, and use the data that is collected.</w:t>
            </w:r>
          </w:p>
        </w:tc>
        <w:tc>
          <w:tcPr>
            <w:tcW w:w="2700" w:type="dxa"/>
          </w:tcPr>
          <w:p w:rsidR="00A51345" w:rsidRDefault="00A51345" w:rsidP="009D7CD2">
            <w:pPr>
              <w:pStyle w:val="ListParagraph"/>
              <w:ind w:left="0"/>
              <w:rPr>
                <w:rFonts w:ascii="Arial" w:hAnsi="Arial" w:cs="Arial"/>
                <w:color w:val="000000" w:themeColor="text1"/>
              </w:rPr>
            </w:pPr>
          </w:p>
          <w:p w:rsidR="00A51345"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ed/>
                  </w:checkBox>
                </w:ffData>
              </w:fldChar>
            </w:r>
            <w:r>
              <w:instrText xml:space="preserve"> FORMCHECKBOX </w:instrText>
            </w:r>
            <w:r w:rsidR="00853E52">
              <w:fldChar w:fldCharType="separate"/>
            </w:r>
            <w:r w:rsidR="00853E52">
              <w:fldChar w:fldCharType="end"/>
            </w:r>
          </w:p>
          <w:p w:rsidR="00A51345" w:rsidRDefault="00A51345" w:rsidP="009D7CD2">
            <w:pPr>
              <w:pStyle w:val="ListParagraph"/>
              <w:ind w:left="0"/>
              <w:rPr>
                <w:rFonts w:ascii="Arial" w:hAnsi="Arial" w:cs="Arial"/>
                <w:color w:val="000000" w:themeColor="text1"/>
              </w:rPr>
            </w:pPr>
          </w:p>
          <w:p w:rsidR="00A51345"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p w:rsidR="00A51345" w:rsidRDefault="00A51345" w:rsidP="009D7CD2">
            <w:pPr>
              <w:pStyle w:val="ListParagraph"/>
              <w:ind w:left="0"/>
              <w:rPr>
                <w:rFonts w:ascii="Arial" w:hAnsi="Arial" w:cs="Arial"/>
                <w:color w:val="000000" w:themeColor="text1"/>
              </w:rPr>
            </w:pPr>
          </w:p>
          <w:p w:rsidR="00A51345" w:rsidRPr="0037786D"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separate"/>
            </w:r>
            <w:r w:rsidR="00853E52">
              <w:fldChar w:fldCharType="end"/>
            </w:r>
          </w:p>
        </w:tc>
        <w:tc>
          <w:tcPr>
            <w:tcW w:w="6480" w:type="dxa"/>
          </w:tcPr>
          <w:p w:rsidR="00A51345" w:rsidRDefault="00A51345" w:rsidP="009D7CD2">
            <w:pPr>
              <w:pStyle w:val="ListParagraph"/>
              <w:ind w:left="0"/>
              <w:rPr>
                <w:rFonts w:ascii="Arial" w:hAnsi="Arial" w:cs="Arial"/>
                <w:color w:val="000000" w:themeColor="text1"/>
              </w:rPr>
            </w:pPr>
          </w:p>
          <w:p w:rsidR="00BC38F1" w:rsidRDefault="00853E52" w:rsidP="00BC38F1">
            <w:pPr>
              <w:tabs>
                <w:tab w:val="left" w:pos="1485"/>
              </w:tabs>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BC38F1">
              <w:t>The assessment team is underway again during this fall semester. It will be a continual process with an expansion of the efforts of the team from the last academic year.</w:t>
            </w:r>
          </w:p>
          <w:p w:rsidR="00BC38F1" w:rsidRDefault="00BC38F1" w:rsidP="00BC38F1">
            <w:pPr>
              <w:tabs>
                <w:tab w:val="left" w:pos="1485"/>
              </w:tabs>
            </w:pPr>
          </w:p>
          <w:p w:rsidR="00A51345" w:rsidRPr="00A51345" w:rsidRDefault="00BC38F1" w:rsidP="00BC38F1">
            <w:pPr>
              <w:tabs>
                <w:tab w:val="left" w:pos="1485"/>
              </w:tabs>
            </w:pPr>
            <w:r>
              <w:t>An assessment plan has been developed as a result of the student learning outcomes assessment pilot and will be adopted during the next round of assessments.</w:t>
            </w:r>
            <w:r w:rsidR="00853E52" w:rsidRPr="008F49BD">
              <w:rPr>
                <w:rFonts w:ascii="Arial" w:hAnsi="Arial" w:cs="Arial"/>
                <w:color w:val="000000" w:themeColor="text1"/>
              </w:rPr>
              <w:fldChar w:fldCharType="end"/>
            </w:r>
            <w:r w:rsidR="00A51345">
              <w:tab/>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060BCB">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52737B">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2737B" w:rsidRPr="004C52FC" w:rsidTr="0052737B">
        <w:trPr>
          <w:trHeight w:val="274"/>
        </w:trPr>
        <w:tc>
          <w:tcPr>
            <w:tcW w:w="3708" w:type="dxa"/>
            <w:gridSpan w:val="2"/>
            <w:tcBorders>
              <w:right w:val="single" w:sz="4" w:space="0" w:color="auto"/>
            </w:tcBorders>
            <w:shd w:val="clear" w:color="auto" w:fill="FFFFFF"/>
            <w:vAlign w:val="center"/>
          </w:tcPr>
          <w:p w:rsidR="0052737B" w:rsidRPr="004C52FC" w:rsidRDefault="0052737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52737B" w:rsidRPr="004C52FC" w:rsidRDefault="0052737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52737B" w:rsidRPr="004C52FC" w:rsidRDefault="0052737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52737B" w:rsidRPr="004C52FC" w:rsidRDefault="0052737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52737B" w:rsidRPr="004C52FC" w:rsidRDefault="00853E52" w:rsidP="004D7149">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4D7149">
              <w:t>grading of presentations</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rPr>
          <w:trHeight w:val="274"/>
        </w:trPr>
        <w:tc>
          <w:tcPr>
            <w:tcW w:w="3708" w:type="dxa"/>
            <w:gridSpan w:val="2"/>
            <w:tcBorders>
              <w:right w:val="single" w:sz="4" w:space="0" w:color="auto"/>
            </w:tcBorders>
            <w:shd w:val="clear" w:color="auto" w:fill="FFFFFF"/>
            <w:vAlign w:val="center"/>
          </w:tcPr>
          <w:p w:rsidR="0052737B" w:rsidRPr="004C52FC" w:rsidRDefault="0052737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52737B" w:rsidRPr="004C52FC" w:rsidRDefault="0052737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52737B" w:rsidRPr="004C52FC" w:rsidRDefault="0052737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52737B" w:rsidRPr="004C52FC" w:rsidRDefault="0052737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52737B" w:rsidRPr="004C52FC" w:rsidRDefault="00853E52" w:rsidP="004D7149">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4D7149">
              <w:t>writing, exams</w:t>
            </w:r>
            <w:r w:rsidRPr="008F49BD">
              <w:rPr>
                <w:rFonts w:ascii="Arial" w:hAnsi="Arial" w:cs="Arial"/>
                <w:color w:val="000000" w:themeColor="text1"/>
              </w:rPr>
              <w:fldChar w:fldCharType="end"/>
            </w:r>
          </w:p>
        </w:tc>
        <w:tc>
          <w:tcPr>
            <w:tcW w:w="4028" w:type="dxa"/>
            <w:tcBorders>
              <w:bottom w:val="single" w:sz="4" w:space="0" w:color="000000" w:themeColor="text1"/>
            </w:tcBorders>
          </w:tcPr>
          <w:p w:rsidR="0052737B" w:rsidRPr="004C52FC" w:rsidRDefault="00853E52" w:rsidP="009C459F">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397D7C">
              <w:t xml:space="preserve">The essence of </w:t>
            </w:r>
            <w:r w:rsidR="00341DEB">
              <w:t xml:space="preserve">this writing is reflected </w:t>
            </w:r>
            <w:proofErr w:type="gramStart"/>
            <w:r w:rsidR="00341DEB">
              <w:t>in  our</w:t>
            </w:r>
            <w:proofErr w:type="gramEnd"/>
            <w:r w:rsidR="00341DEB">
              <w:t xml:space="preserve"> success rates</w:t>
            </w:r>
            <w:r w:rsidR="009C459F">
              <w:t xml:space="preserve"> which are 72% and 69% respectively for Eng 111 and 112.</w:t>
            </w:r>
            <w:r w:rsidR="00341DEB">
              <w:t xml:space="preserve">. </w:t>
            </w:r>
            <w:r w:rsidRPr="008F49BD">
              <w:rPr>
                <w:rFonts w:ascii="Arial" w:hAnsi="Arial" w:cs="Arial"/>
                <w:color w:val="000000" w:themeColor="text1"/>
              </w:rPr>
              <w:fldChar w:fldCharType="end"/>
            </w:r>
          </w:p>
        </w:tc>
      </w:tr>
      <w:tr w:rsidR="00B34F9E" w:rsidRPr="004C52FC" w:rsidTr="0052737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737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737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737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737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52737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9D7CD2">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9D7CD2">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9D7CD2">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9D7CD2">
            <w:pPr>
              <w:jc w:val="center"/>
              <w:rPr>
                <w:rFonts w:asciiTheme="minorHAnsi" w:hAnsiTheme="minorHAnsi" w:cs="Arial"/>
                <w:color w:val="000000" w:themeColor="text1"/>
                <w:sz w:val="20"/>
                <w:szCs w:val="24"/>
              </w:rPr>
            </w:pPr>
          </w:p>
        </w:tc>
        <w:tc>
          <w:tcPr>
            <w:tcW w:w="4028" w:type="dxa"/>
          </w:tcPr>
          <w:p w:rsidR="00B34F9E" w:rsidRPr="004C52FC" w:rsidRDefault="00B34F9E"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2737B" w:rsidRPr="004C52FC" w:rsidTr="0052737B">
        <w:trPr>
          <w:trHeight w:val="274"/>
        </w:trPr>
        <w:tc>
          <w:tcPr>
            <w:tcW w:w="3708" w:type="dxa"/>
            <w:gridSpan w:val="2"/>
            <w:shd w:val="clear" w:color="auto" w:fill="FFFFFF"/>
            <w:vAlign w:val="center"/>
          </w:tcPr>
          <w:p w:rsidR="0052737B" w:rsidRPr="00814EB1" w:rsidRDefault="0052737B" w:rsidP="009070FB">
            <w:pPr>
              <w:rPr>
                <w:rFonts w:ascii="Verdana" w:hAnsi="Verdana"/>
                <w:sz w:val="20"/>
                <w:szCs w:val="20"/>
              </w:rPr>
            </w:pPr>
            <w:r>
              <w:t>Demonstrate ability to think logically and solve problems using analysis, synthesis and evaluation.</w:t>
            </w:r>
          </w:p>
        </w:tc>
        <w:tc>
          <w:tcPr>
            <w:tcW w:w="1742" w:type="dxa"/>
            <w:vAlign w:val="center"/>
          </w:tcPr>
          <w:p w:rsidR="0052737B" w:rsidRPr="00AD236A" w:rsidRDefault="0052737B" w:rsidP="009070FB">
            <w:pPr>
              <w:rPr>
                <w:rFonts w:ascii="Verdana" w:hAnsi="Verdana"/>
                <w:sz w:val="20"/>
                <w:szCs w:val="20"/>
              </w:rPr>
            </w:pPr>
            <w:r w:rsidRPr="003C60B9">
              <w:rPr>
                <w:rFonts w:ascii="Verdana" w:hAnsi="Verdana"/>
                <w:sz w:val="20"/>
                <w:szCs w:val="20"/>
              </w:rPr>
              <w:t xml:space="preserve">MAT </w:t>
            </w:r>
            <w:r>
              <w:rPr>
                <w:rFonts w:ascii="Verdana" w:hAnsi="Verdana"/>
                <w:sz w:val="20"/>
                <w:szCs w:val="20"/>
              </w:rPr>
              <w:t>1440, 1470</w:t>
            </w:r>
          </w:p>
        </w:tc>
        <w:tc>
          <w:tcPr>
            <w:tcW w:w="1430" w:type="dxa"/>
            <w:shd w:val="clear" w:color="auto" w:fill="auto"/>
          </w:tcPr>
          <w:p w:rsidR="0052737B" w:rsidRPr="004C52FC" w:rsidRDefault="00853E52" w:rsidP="009C459F">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9C459F">
              <w:rPr>
                <w:rFonts w:ascii="Arial" w:hAnsi="Arial" w:cs="Arial"/>
                <w:color w:val="000000" w:themeColor="text1"/>
              </w:rPr>
              <w:t> </w:t>
            </w:r>
            <w:r w:rsidR="009C459F">
              <w:rPr>
                <w:rFonts w:ascii="Arial" w:hAnsi="Arial" w:cs="Arial"/>
                <w:color w:val="000000" w:themeColor="text1"/>
              </w:rPr>
              <w:t> </w:t>
            </w:r>
            <w:r w:rsidR="009C459F">
              <w:rPr>
                <w:rFonts w:ascii="Arial" w:hAnsi="Arial" w:cs="Arial"/>
                <w:color w:val="000000" w:themeColor="text1"/>
              </w:rPr>
              <w:t> </w:t>
            </w:r>
            <w:r w:rsidR="009C459F">
              <w:rPr>
                <w:rFonts w:ascii="Arial" w:hAnsi="Arial" w:cs="Arial"/>
                <w:color w:val="000000" w:themeColor="text1"/>
              </w:rPr>
              <w:t> </w:t>
            </w:r>
            <w:r w:rsidR="009C459F">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9C459F">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9C459F">
              <w:t>See chart below</w:t>
            </w:r>
            <w:r w:rsidRPr="008F49BD">
              <w:rPr>
                <w:rFonts w:ascii="Arial" w:hAnsi="Arial" w:cs="Arial"/>
                <w:color w:val="000000" w:themeColor="text1"/>
              </w:rPr>
              <w:fldChar w:fldCharType="end"/>
            </w:r>
          </w:p>
        </w:tc>
      </w:tr>
      <w:tr w:rsidR="0052737B" w:rsidRPr="004C52FC" w:rsidTr="0052737B">
        <w:trPr>
          <w:trHeight w:val="72"/>
        </w:trPr>
        <w:tc>
          <w:tcPr>
            <w:tcW w:w="3708" w:type="dxa"/>
            <w:gridSpan w:val="2"/>
            <w:shd w:val="clear" w:color="auto" w:fill="FFFFFF"/>
            <w:vAlign w:val="center"/>
          </w:tcPr>
          <w:p w:rsidR="0052737B" w:rsidRPr="00814EB1" w:rsidRDefault="0052737B" w:rsidP="009070FB">
            <w:pPr>
              <w:rPr>
                <w:rFonts w:ascii="Verdana" w:hAnsi="Verdana"/>
                <w:sz w:val="20"/>
                <w:szCs w:val="20"/>
              </w:rPr>
            </w:pPr>
            <w:r>
              <w:t>Recognize and articulate an understanding of the increasing interdependence of world cultures and their consequences.</w:t>
            </w:r>
          </w:p>
        </w:tc>
        <w:tc>
          <w:tcPr>
            <w:tcW w:w="1742" w:type="dxa"/>
            <w:vAlign w:val="center"/>
          </w:tcPr>
          <w:p w:rsidR="0052737B" w:rsidRPr="00AD236A" w:rsidRDefault="0052737B" w:rsidP="009070FB">
            <w:pPr>
              <w:rPr>
                <w:rFonts w:ascii="Verdana" w:hAnsi="Verdana"/>
                <w:sz w:val="20"/>
                <w:szCs w:val="20"/>
              </w:rPr>
            </w:pPr>
            <w:r>
              <w:rPr>
                <w:rFonts w:ascii="Verdana" w:hAnsi="Verdana"/>
                <w:sz w:val="20"/>
                <w:szCs w:val="20"/>
              </w:rPr>
              <w:t>LIT 2234</w:t>
            </w:r>
          </w:p>
        </w:tc>
        <w:tc>
          <w:tcPr>
            <w:tcW w:w="1430" w:type="dxa"/>
            <w:shd w:val="clear" w:color="auto" w:fill="auto"/>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rPr>
          <w:trHeight w:val="72"/>
        </w:trPr>
        <w:tc>
          <w:tcPr>
            <w:tcW w:w="3708" w:type="dxa"/>
            <w:gridSpan w:val="2"/>
            <w:shd w:val="clear" w:color="auto" w:fill="FFFFFF"/>
            <w:vAlign w:val="center"/>
          </w:tcPr>
          <w:p w:rsidR="0052737B" w:rsidRDefault="0052737B" w:rsidP="009070FB">
            <w:r>
              <w:t>Achieve group goals in a variety of social contexts.</w:t>
            </w:r>
          </w:p>
        </w:tc>
        <w:tc>
          <w:tcPr>
            <w:tcW w:w="1742" w:type="dxa"/>
            <w:vAlign w:val="center"/>
          </w:tcPr>
          <w:p w:rsidR="0052737B" w:rsidRDefault="0052737B" w:rsidP="009070FB">
            <w:pPr>
              <w:rPr>
                <w:rFonts w:ascii="Verdana" w:hAnsi="Verdana"/>
                <w:sz w:val="20"/>
                <w:szCs w:val="20"/>
              </w:rPr>
            </w:pPr>
            <w:r>
              <w:rPr>
                <w:rFonts w:ascii="Verdana" w:hAnsi="Verdana"/>
                <w:sz w:val="20"/>
                <w:szCs w:val="20"/>
              </w:rPr>
              <w:t>SCC 1101</w:t>
            </w:r>
          </w:p>
        </w:tc>
        <w:tc>
          <w:tcPr>
            <w:tcW w:w="1430" w:type="dxa"/>
            <w:shd w:val="clear" w:color="auto" w:fill="auto"/>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blPrEx>
          <w:shd w:val="clear" w:color="auto" w:fill="auto"/>
          <w:tblLook w:val="04A0"/>
        </w:tblPrEx>
        <w:trPr>
          <w:trHeight w:val="72"/>
        </w:trPr>
        <w:tc>
          <w:tcPr>
            <w:tcW w:w="3708" w:type="dxa"/>
            <w:gridSpan w:val="2"/>
            <w:vAlign w:val="center"/>
          </w:tcPr>
          <w:p w:rsidR="0052737B" w:rsidRPr="00796513" w:rsidRDefault="0052737B" w:rsidP="009070FB">
            <w:r>
              <w:t>D</w:t>
            </w:r>
            <w:r w:rsidRPr="00796513">
              <w:t>emonstrate responsibility and accountability in accomplishing goals.</w:t>
            </w:r>
          </w:p>
        </w:tc>
        <w:tc>
          <w:tcPr>
            <w:tcW w:w="1742" w:type="dxa"/>
            <w:vAlign w:val="center"/>
          </w:tcPr>
          <w:p w:rsidR="0052737B" w:rsidRPr="00796513" w:rsidRDefault="0052737B" w:rsidP="009070FB">
            <w:pPr>
              <w:rPr>
                <w:rFonts w:ascii="Verdana" w:hAnsi="Verdana"/>
                <w:sz w:val="20"/>
                <w:szCs w:val="20"/>
              </w:rPr>
            </w:pPr>
            <w:r w:rsidRPr="00796513">
              <w:rPr>
                <w:rFonts w:ascii="Verdana" w:hAnsi="Verdana"/>
                <w:sz w:val="20"/>
                <w:szCs w:val="20"/>
              </w:rPr>
              <w:t>SCC 1101</w:t>
            </w:r>
          </w:p>
        </w:tc>
        <w:tc>
          <w:tcPr>
            <w:tcW w:w="1430" w:type="dxa"/>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blPrEx>
          <w:shd w:val="clear" w:color="auto" w:fill="auto"/>
          <w:tblLook w:val="04A0"/>
        </w:tblPrEx>
        <w:trPr>
          <w:trHeight w:val="72"/>
        </w:trPr>
        <w:tc>
          <w:tcPr>
            <w:tcW w:w="3708" w:type="dxa"/>
            <w:gridSpan w:val="2"/>
            <w:vAlign w:val="center"/>
          </w:tcPr>
          <w:p w:rsidR="0052737B" w:rsidRPr="00111959" w:rsidRDefault="0052737B" w:rsidP="009070FB">
            <w:r>
              <w:t xml:space="preserve">Communicate effectively in a variety </w:t>
            </w:r>
            <w:r>
              <w:lastRenderedPageBreak/>
              <w:t>of ways with varied audiences through writing skills, oral communication skills, listening skills, reading skills, computer literacy and information literacy.</w:t>
            </w:r>
          </w:p>
        </w:tc>
        <w:tc>
          <w:tcPr>
            <w:tcW w:w="1742" w:type="dxa"/>
            <w:vAlign w:val="center"/>
          </w:tcPr>
          <w:p w:rsidR="0052737B" w:rsidRPr="00AD236A" w:rsidRDefault="0052737B" w:rsidP="009070FB">
            <w:pPr>
              <w:rPr>
                <w:rFonts w:ascii="Verdana" w:hAnsi="Verdana"/>
                <w:sz w:val="20"/>
                <w:szCs w:val="20"/>
              </w:rPr>
            </w:pPr>
            <w:r>
              <w:rPr>
                <w:rFonts w:ascii="Verdana" w:hAnsi="Verdana"/>
                <w:sz w:val="20"/>
                <w:szCs w:val="20"/>
              </w:rPr>
              <w:lastRenderedPageBreak/>
              <w:t xml:space="preserve">ENG 1101, </w:t>
            </w:r>
            <w:r>
              <w:rPr>
                <w:rFonts w:ascii="Verdana" w:hAnsi="Verdana"/>
                <w:sz w:val="20"/>
                <w:szCs w:val="20"/>
              </w:rPr>
              <w:lastRenderedPageBreak/>
              <w:t>1201</w:t>
            </w:r>
            <w:r w:rsidRPr="00796513">
              <w:rPr>
                <w:rFonts w:ascii="Verdana" w:hAnsi="Verdana"/>
                <w:sz w:val="20"/>
                <w:szCs w:val="20"/>
              </w:rPr>
              <w:t>, BIS 1120,</w:t>
            </w:r>
            <w:r>
              <w:rPr>
                <w:rFonts w:ascii="Verdana" w:hAnsi="Verdana"/>
                <w:sz w:val="20"/>
                <w:szCs w:val="20"/>
              </w:rPr>
              <w:t xml:space="preserve"> COM 2206, COM 22</w:t>
            </w:r>
            <w:r w:rsidRPr="00111959">
              <w:rPr>
                <w:rFonts w:ascii="Verdana" w:hAnsi="Verdana"/>
                <w:sz w:val="20"/>
                <w:szCs w:val="20"/>
              </w:rPr>
              <w:t>11</w:t>
            </w:r>
          </w:p>
        </w:tc>
        <w:tc>
          <w:tcPr>
            <w:tcW w:w="1430" w:type="dxa"/>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lastRenderedPageBreak/>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blPrEx>
          <w:shd w:val="clear" w:color="auto" w:fill="auto"/>
          <w:tblLook w:val="04A0"/>
        </w:tblPrEx>
        <w:trPr>
          <w:trHeight w:val="72"/>
        </w:trPr>
        <w:tc>
          <w:tcPr>
            <w:tcW w:w="3708" w:type="dxa"/>
            <w:gridSpan w:val="2"/>
            <w:vAlign w:val="center"/>
          </w:tcPr>
          <w:p w:rsidR="0052737B" w:rsidRPr="00796513" w:rsidRDefault="0052737B" w:rsidP="009070FB">
            <w:r>
              <w:lastRenderedPageBreak/>
              <w:t>I</w:t>
            </w:r>
            <w:r w:rsidRPr="00796513">
              <w:t xml:space="preserve">dentify and discuss major authors and works in American and British </w:t>
            </w:r>
            <w:r>
              <w:t>l</w:t>
            </w:r>
            <w:r w:rsidRPr="00796513">
              <w:t>iterature.</w:t>
            </w:r>
          </w:p>
        </w:tc>
        <w:tc>
          <w:tcPr>
            <w:tcW w:w="1742" w:type="dxa"/>
            <w:vAlign w:val="center"/>
          </w:tcPr>
          <w:p w:rsidR="0052737B" w:rsidRPr="00796513" w:rsidRDefault="0052737B" w:rsidP="009070FB">
            <w:pPr>
              <w:rPr>
                <w:rFonts w:ascii="Verdana" w:hAnsi="Verdana"/>
                <w:sz w:val="20"/>
                <w:szCs w:val="20"/>
              </w:rPr>
            </w:pPr>
            <w:r w:rsidRPr="00796513">
              <w:rPr>
                <w:rFonts w:ascii="Verdana" w:hAnsi="Verdana"/>
                <w:sz w:val="20"/>
                <w:szCs w:val="20"/>
              </w:rPr>
              <w:t>LIT 2</w:t>
            </w:r>
            <w:r>
              <w:rPr>
                <w:rFonts w:ascii="Verdana" w:hAnsi="Verdana"/>
                <w:sz w:val="20"/>
                <w:szCs w:val="20"/>
              </w:rPr>
              <w:t>211, 2212</w:t>
            </w:r>
            <w:r w:rsidRPr="00796513">
              <w:rPr>
                <w:rFonts w:ascii="Verdana" w:hAnsi="Verdana"/>
                <w:sz w:val="20"/>
                <w:szCs w:val="20"/>
              </w:rPr>
              <w:t xml:space="preserve">, 2201, 2202, 2270, </w:t>
            </w:r>
          </w:p>
        </w:tc>
        <w:tc>
          <w:tcPr>
            <w:tcW w:w="1430" w:type="dxa"/>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blPrEx>
          <w:shd w:val="clear" w:color="auto" w:fill="auto"/>
          <w:tblLook w:val="04A0"/>
        </w:tblPrEx>
        <w:trPr>
          <w:trHeight w:val="72"/>
        </w:trPr>
        <w:tc>
          <w:tcPr>
            <w:tcW w:w="3708" w:type="dxa"/>
            <w:gridSpan w:val="2"/>
            <w:vAlign w:val="center"/>
          </w:tcPr>
          <w:p w:rsidR="0052737B" w:rsidRPr="00796513" w:rsidRDefault="0052737B" w:rsidP="009070FB">
            <w:r>
              <w:t>A</w:t>
            </w:r>
            <w:r w:rsidRPr="00796513">
              <w:t>nalyze literary works of American, British and world cultures in terms of major literary themes and devices.</w:t>
            </w:r>
          </w:p>
        </w:tc>
        <w:tc>
          <w:tcPr>
            <w:tcW w:w="1742" w:type="dxa"/>
            <w:vAlign w:val="center"/>
          </w:tcPr>
          <w:p w:rsidR="0052737B" w:rsidRPr="00796513" w:rsidRDefault="0052737B" w:rsidP="009070FB">
            <w:pPr>
              <w:rPr>
                <w:rFonts w:ascii="Verdana" w:hAnsi="Verdana"/>
                <w:sz w:val="20"/>
                <w:szCs w:val="20"/>
              </w:rPr>
            </w:pPr>
            <w:r>
              <w:rPr>
                <w:rFonts w:ascii="Verdana" w:hAnsi="Verdana"/>
                <w:sz w:val="20"/>
                <w:szCs w:val="20"/>
              </w:rPr>
              <w:t>LIT 2211, 22</w:t>
            </w:r>
            <w:r w:rsidRPr="00796513">
              <w:rPr>
                <w:rFonts w:ascii="Verdana" w:hAnsi="Verdana"/>
                <w:sz w:val="20"/>
                <w:szCs w:val="20"/>
              </w:rPr>
              <w:t>1</w:t>
            </w:r>
            <w:r>
              <w:rPr>
                <w:rFonts w:ascii="Verdana" w:hAnsi="Verdana"/>
                <w:sz w:val="20"/>
                <w:szCs w:val="20"/>
              </w:rPr>
              <w:t>2</w:t>
            </w:r>
            <w:r w:rsidRPr="00796513">
              <w:rPr>
                <w:rFonts w:ascii="Verdana" w:hAnsi="Verdana"/>
                <w:sz w:val="20"/>
                <w:szCs w:val="20"/>
              </w:rPr>
              <w:t>, 2201, 2202, 2270, 2230, 2234</w:t>
            </w:r>
          </w:p>
        </w:tc>
        <w:tc>
          <w:tcPr>
            <w:tcW w:w="1430" w:type="dxa"/>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52737B" w:rsidRPr="004C52FC" w:rsidTr="0052737B">
        <w:tblPrEx>
          <w:shd w:val="clear" w:color="auto" w:fill="auto"/>
          <w:tblLook w:val="04A0"/>
        </w:tblPrEx>
        <w:trPr>
          <w:trHeight w:val="72"/>
        </w:trPr>
        <w:tc>
          <w:tcPr>
            <w:tcW w:w="3708" w:type="dxa"/>
            <w:gridSpan w:val="2"/>
            <w:vAlign w:val="center"/>
          </w:tcPr>
          <w:p w:rsidR="0052737B" w:rsidRPr="001B7A33" w:rsidRDefault="0052737B" w:rsidP="009070FB">
            <w:r w:rsidRPr="001B7A33">
              <w:t>De</w:t>
            </w:r>
            <w:r>
              <w:t>monstrate</w:t>
            </w:r>
            <w:r w:rsidRPr="001B7A33">
              <w:t xml:space="preserve"> skills in multiple creative writing genres</w:t>
            </w:r>
            <w:r>
              <w:t>.</w:t>
            </w:r>
            <w:r w:rsidRPr="001B7A33">
              <w:t xml:space="preserve"> i</w:t>
            </w:r>
            <w:r>
              <w:t>.</w:t>
            </w:r>
            <w:r w:rsidRPr="001B7A33">
              <w:t>e</w:t>
            </w:r>
            <w:r>
              <w:t>.</w:t>
            </w:r>
            <w:r w:rsidRPr="001B7A33">
              <w:t>: poetry, script writing, fiction writing.</w:t>
            </w:r>
          </w:p>
        </w:tc>
        <w:tc>
          <w:tcPr>
            <w:tcW w:w="1742" w:type="dxa"/>
            <w:vAlign w:val="center"/>
          </w:tcPr>
          <w:p w:rsidR="0052737B" w:rsidRPr="001B7A33" w:rsidRDefault="0052737B" w:rsidP="009070FB">
            <w:pPr>
              <w:rPr>
                <w:rFonts w:ascii="Verdana" w:hAnsi="Verdana"/>
                <w:sz w:val="20"/>
                <w:szCs w:val="20"/>
              </w:rPr>
            </w:pPr>
            <w:r w:rsidRPr="001B7A33">
              <w:rPr>
                <w:rFonts w:ascii="Verdana" w:hAnsi="Verdana"/>
                <w:sz w:val="20"/>
                <w:szCs w:val="20"/>
              </w:rPr>
              <w:t>ENG 2255, 2256, 2259</w:t>
            </w:r>
          </w:p>
        </w:tc>
        <w:tc>
          <w:tcPr>
            <w:tcW w:w="1430" w:type="dxa"/>
          </w:tcPr>
          <w:p w:rsidR="0052737B" w:rsidRPr="004C52FC" w:rsidRDefault="00853E52"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52737B" w:rsidRPr="004C52FC" w:rsidRDefault="00853E52"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r w:rsidR="009070FB" w:rsidRPr="004C52FC" w:rsidTr="0052737B">
        <w:tblPrEx>
          <w:shd w:val="clear" w:color="auto" w:fill="auto"/>
          <w:tblLook w:val="04A0"/>
        </w:tblPrEx>
        <w:trPr>
          <w:trHeight w:val="72"/>
        </w:trPr>
        <w:tc>
          <w:tcPr>
            <w:tcW w:w="3708" w:type="dxa"/>
            <w:gridSpan w:val="2"/>
            <w:vAlign w:val="center"/>
          </w:tcPr>
          <w:p w:rsidR="009070FB" w:rsidRPr="001B7A33" w:rsidRDefault="009070FB" w:rsidP="009070FB">
            <w:r>
              <w:t>Create</w:t>
            </w:r>
            <w:r w:rsidRPr="001B7A33">
              <w:t xml:space="preserve"> works that are polished enough to submit for consideration of publication.</w:t>
            </w:r>
          </w:p>
        </w:tc>
        <w:tc>
          <w:tcPr>
            <w:tcW w:w="1742" w:type="dxa"/>
            <w:vAlign w:val="center"/>
          </w:tcPr>
          <w:p w:rsidR="009070FB" w:rsidRPr="001B7A33" w:rsidRDefault="009070FB" w:rsidP="009070FB">
            <w:pPr>
              <w:rPr>
                <w:rFonts w:ascii="Verdana" w:hAnsi="Verdana"/>
                <w:sz w:val="20"/>
                <w:szCs w:val="20"/>
              </w:rPr>
            </w:pPr>
            <w:r w:rsidRPr="001B7A33">
              <w:rPr>
                <w:rFonts w:ascii="Verdana" w:hAnsi="Verdana"/>
                <w:sz w:val="20"/>
                <w:szCs w:val="20"/>
              </w:rPr>
              <w:t>ENG 2255, 2256, 2259</w:t>
            </w:r>
          </w:p>
        </w:tc>
        <w:tc>
          <w:tcPr>
            <w:tcW w:w="1430" w:type="dxa"/>
          </w:tcPr>
          <w:p w:rsidR="009070FB" w:rsidRPr="004C52FC" w:rsidRDefault="00853E52" w:rsidP="0052737B">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rsidR="009070FB" w:rsidRPr="004C52FC" w:rsidRDefault="00853E52" w:rsidP="001D736E">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rsidR="009070FB" w:rsidRPr="004C52FC" w:rsidRDefault="00853E52" w:rsidP="001D736E">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0052737B" w:rsidRPr="008F49BD">
              <w:rPr>
                <w:rFonts w:ascii="Arial" w:hAnsi="Arial" w:cs="Arial"/>
                <w:color w:val="000000" w:themeColor="text1"/>
              </w:rPr>
              <w:t> </w:t>
            </w:r>
            <w:r w:rsidRPr="008F49BD">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060BCB">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853E52" w:rsidP="003E791C">
      <w:pPr>
        <w:pStyle w:val="ListParagraph"/>
        <w:tabs>
          <w:tab w:val="left" w:pos="5040"/>
        </w:tabs>
        <w:ind w:left="0"/>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850EB3">
        <w:t xml:space="preserve">The planned changes are based </w:t>
      </w:r>
      <w:proofErr w:type="gramStart"/>
      <w:r w:rsidR="00850EB3">
        <w:t xml:space="preserve">on  </w:t>
      </w:r>
      <w:proofErr w:type="spellStart"/>
      <w:r w:rsidR="00850EB3">
        <w:t>reccommnedations</w:t>
      </w:r>
      <w:proofErr w:type="spellEnd"/>
      <w:proofErr w:type="gramEnd"/>
      <w:r w:rsidR="00850EB3">
        <w:t xml:space="preserve"> from our 2012  Department Review. The </w:t>
      </w:r>
      <w:proofErr w:type="spellStart"/>
      <w:r w:rsidR="00850EB3">
        <w:t>reccommendation</w:t>
      </w:r>
      <w:proofErr w:type="spellEnd"/>
      <w:r w:rsidR="00850EB3">
        <w:t xml:space="preserve"> was to incre</w:t>
      </w:r>
      <w:r w:rsidR="0002470B">
        <w:t>ase</w:t>
      </w:r>
      <w:r w:rsidR="00850EB3">
        <w:t xml:space="preserve"> our efforts </w:t>
      </w:r>
      <w:proofErr w:type="gramStart"/>
      <w:r w:rsidR="00850EB3">
        <w:t>in  overall</w:t>
      </w:r>
      <w:proofErr w:type="gramEnd"/>
      <w:r w:rsidR="00850EB3">
        <w:t xml:space="preserve">  assessment of our English Composition classes.  This will be to the extent that we will explore e-portfolio and routine </w:t>
      </w:r>
      <w:proofErr w:type="spellStart"/>
      <w:r w:rsidR="00850EB3">
        <w:t>norming</w:t>
      </w:r>
      <w:proofErr w:type="spellEnd"/>
      <w:r w:rsidR="00850EB3">
        <w:t xml:space="preserve"> for students and faculty</w:t>
      </w:r>
      <w:r w:rsidR="003E7A1C">
        <w:t xml:space="preserve">, and </w:t>
      </w:r>
      <w:proofErr w:type="spellStart"/>
      <w:r w:rsidR="003E7A1C">
        <w:t>inservices</w:t>
      </w:r>
      <w:proofErr w:type="spellEnd"/>
      <w:r w:rsidR="003E7A1C">
        <w:t xml:space="preserve"> </w:t>
      </w:r>
      <w:proofErr w:type="spellStart"/>
      <w:r w:rsidR="003E7A1C">
        <w:t>targetting</w:t>
      </w:r>
      <w:proofErr w:type="spellEnd"/>
      <w:r w:rsidR="003E7A1C">
        <w:t xml:space="preserve"> increasing </w:t>
      </w:r>
      <w:proofErr w:type="gramStart"/>
      <w:r w:rsidR="003E7A1C">
        <w:t>student  passing</w:t>
      </w:r>
      <w:proofErr w:type="gramEnd"/>
      <w:r w:rsidR="003E7A1C">
        <w:t xml:space="preserve"> rates in English 1101 </w:t>
      </w:r>
      <w:r w:rsidRPr="008F49BD">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2D428E" w:rsidRDefault="00853E52">
      <w:pPr>
        <w:pStyle w:val="ListParagraph"/>
        <w:tabs>
          <w:tab w:val="left" w:pos="5040"/>
        </w:tabs>
        <w:ind w:left="0"/>
        <w:rPr>
          <w:rFonts w:ascii="Arial" w:hAnsi="Arial" w:cs="Arial"/>
          <w:b/>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3E7A1C">
        <w:t>Students who pass Eng 1101</w:t>
      </w:r>
      <w:r w:rsidRPr="008F49BD">
        <w:rPr>
          <w:rFonts w:ascii="Arial" w:hAnsi="Arial" w:cs="Arial"/>
          <w:color w:val="000000" w:themeColor="text1"/>
        </w:rPr>
        <w:fldChar w:fldCharType="end"/>
      </w:r>
    </w:p>
    <w:p w:rsidR="0052737B" w:rsidRDefault="0052737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853E52">
      <w:pPr>
        <w:pStyle w:val="ListParagraph"/>
        <w:tabs>
          <w:tab w:val="left" w:pos="5040"/>
        </w:tabs>
        <w:ind w:left="0"/>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397D7C">
        <w:t xml:space="preserve">Exploration </w:t>
      </w:r>
      <w:proofErr w:type="gramStart"/>
      <w:r w:rsidR="00397D7C">
        <w:t>of  E</w:t>
      </w:r>
      <w:proofErr w:type="gramEnd"/>
      <w:r w:rsidR="00397D7C">
        <w:t>-</w:t>
      </w:r>
      <w:proofErr w:type="spellStart"/>
      <w:r w:rsidR="00397D7C">
        <w:t>porfolio</w:t>
      </w:r>
      <w:proofErr w:type="spellEnd"/>
      <w:r w:rsidR="00397D7C">
        <w:t xml:space="preserve">, creation of  online resource repository for all instructors, </w:t>
      </w:r>
      <w:r w:rsidRPr="008F49BD">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52737B" w:rsidRDefault="00853E52" w:rsidP="0052737B">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397D7C">
        <w:t xml:space="preserve">By </w:t>
      </w:r>
      <w:proofErr w:type="gramStart"/>
      <w:r w:rsidR="00397D7C">
        <w:t>the  actual</w:t>
      </w:r>
      <w:proofErr w:type="gramEnd"/>
      <w:r w:rsidR="00397D7C">
        <w:t xml:space="preserve"> number of instructors using these resources that are developed.</w:t>
      </w:r>
      <w:r w:rsidRPr="008F49BD">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52737B" w:rsidRDefault="00853E52" w:rsidP="0052737B">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proofErr w:type="gramStart"/>
      <w:r w:rsidR="00397D7C">
        <w:t>See  2012</w:t>
      </w:r>
      <w:proofErr w:type="gramEnd"/>
      <w:r w:rsidR="00397D7C">
        <w:t xml:space="preserve"> Department Review.</w:t>
      </w:r>
      <w:r w:rsidRPr="008F49BD">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A201E2" w:rsidRDefault="00853E52">
      <w:pPr>
        <w:spacing w:after="200" w:line="276" w:lineRule="auto"/>
        <w:rPr>
          <w:rFonts w:ascii="Arial" w:hAnsi="Arial" w:cs="Arial"/>
          <w:color w:val="000000" w:themeColor="text1"/>
        </w:rPr>
        <w:sectPr w:rsidR="00A201E2" w:rsidSect="00060BCB">
          <w:pgSz w:w="12240" w:h="15840"/>
          <w:pgMar w:top="1152" w:right="1440" w:bottom="1152" w:left="1440" w:header="720" w:footer="288" w:gutter="0"/>
          <w:cols w:space="720"/>
          <w:docGrid w:linePitch="360"/>
        </w:sectPr>
      </w:pPr>
      <w:r w:rsidRPr="008F49BD">
        <w:rPr>
          <w:rFonts w:ascii="Arial" w:hAnsi="Arial" w:cs="Arial"/>
          <w:color w:val="000000" w:themeColor="text1"/>
        </w:rPr>
        <w:fldChar w:fldCharType="begin">
          <w:ffData>
            <w:name w:val="Text1"/>
            <w:enabled/>
            <w:calcOnExit w:val="0"/>
            <w:textInput/>
          </w:ffData>
        </w:fldChar>
      </w:r>
      <w:r w:rsidR="0052737B"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397D7C">
        <w:t>NO</w:t>
      </w:r>
      <w:r w:rsidRPr="008F49BD">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9070FB">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9D7CD2">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9D7CD2">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9D7CD2">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9D7CD2">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9D7CD2">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9D7CD2">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9D7CD2">
            <w:pPr>
              <w:jc w:val="right"/>
              <w:rPr>
                <w:rFonts w:ascii="Calibri" w:hAnsi="Calibri"/>
                <w:color w:val="000000"/>
              </w:rPr>
            </w:pPr>
            <w:r w:rsidRPr="003117D4">
              <w:rPr>
                <w:rFonts w:ascii="Calibri" w:hAnsi="Calibri"/>
                <w:color w:val="000000"/>
                <w:sz w:val="22"/>
                <w:szCs w:val="22"/>
              </w:rPr>
              <w:t>FY 10-11</w:t>
            </w:r>
          </w:p>
        </w:tc>
      </w:tr>
      <w:tr w:rsidR="009070FB" w:rsidRPr="008F41A6" w:rsidTr="00060BCB">
        <w:trPr>
          <w:trHeight w:val="300"/>
        </w:trPr>
        <w:tc>
          <w:tcPr>
            <w:tcW w:w="1307" w:type="dxa"/>
            <w:tcBorders>
              <w:top w:val="single" w:sz="4" w:space="0" w:color="auto"/>
              <w:left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0330</w:t>
            </w:r>
          </w:p>
        </w:tc>
        <w:tc>
          <w:tcPr>
            <w:tcW w:w="3220" w:type="dxa"/>
            <w:tcBorders>
              <w:top w:val="single" w:sz="4" w:space="0" w:color="auto"/>
              <w:left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2320" w:type="dxa"/>
            <w:tcBorders>
              <w:top w:val="single" w:sz="4" w:space="0" w:color="auto"/>
              <w:left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CRWE.AA</w:t>
            </w:r>
          </w:p>
        </w:tc>
        <w:tc>
          <w:tcPr>
            <w:tcW w:w="860" w:type="dxa"/>
            <w:tcBorders>
              <w:top w:val="single" w:sz="4" w:space="0" w:color="auto"/>
              <w:left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3</w:t>
            </w:r>
          </w:p>
        </w:tc>
        <w:tc>
          <w:tcPr>
            <w:tcW w:w="860" w:type="dxa"/>
            <w:tcBorders>
              <w:top w:val="single" w:sz="4" w:space="0" w:color="auto"/>
              <w:left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2</w:t>
            </w:r>
          </w:p>
        </w:tc>
      </w:tr>
      <w:tr w:rsidR="009070FB" w:rsidRPr="008F41A6" w:rsidTr="00060BCB">
        <w:trPr>
          <w:trHeight w:val="300"/>
        </w:trPr>
        <w:tc>
          <w:tcPr>
            <w:tcW w:w="1307" w:type="dxa"/>
            <w:tcBorders>
              <w:top w:val="nil"/>
              <w:left w:val="nil"/>
              <w:bottom w:val="nil"/>
              <w:right w:val="nil"/>
            </w:tcBorders>
            <w:shd w:val="clear" w:color="auto" w:fill="D9D9D9" w:themeFill="background1" w:themeFillShade="D9"/>
            <w:noWrap/>
            <w:vAlign w:val="bottom"/>
            <w:hideMark/>
          </w:tcPr>
          <w:p w:rsidR="009070FB" w:rsidRDefault="009070FB">
            <w:pPr>
              <w:rPr>
                <w:rFonts w:ascii="Calibri" w:hAnsi="Calibri"/>
                <w:color w:val="000000"/>
              </w:rPr>
            </w:pPr>
            <w:r>
              <w:rPr>
                <w:rFonts w:ascii="Calibri" w:hAnsi="Calibri"/>
                <w:color w:val="000000"/>
                <w:sz w:val="22"/>
                <w:szCs w:val="22"/>
              </w:rPr>
              <w:t>0330</w:t>
            </w:r>
          </w:p>
        </w:tc>
        <w:tc>
          <w:tcPr>
            <w:tcW w:w="3220" w:type="dxa"/>
            <w:tcBorders>
              <w:top w:val="nil"/>
              <w:left w:val="nil"/>
              <w:bottom w:val="nil"/>
              <w:right w:val="nil"/>
            </w:tcBorders>
            <w:shd w:val="clear" w:color="auto" w:fill="D9D9D9" w:themeFill="background1" w:themeFillShade="D9"/>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2320" w:type="dxa"/>
            <w:tcBorders>
              <w:top w:val="nil"/>
              <w:left w:val="nil"/>
              <w:bottom w:val="nil"/>
              <w:right w:val="nil"/>
            </w:tcBorders>
            <w:shd w:val="clear" w:color="auto" w:fill="D9D9D9" w:themeFill="background1" w:themeFillShade="D9"/>
            <w:noWrap/>
            <w:vAlign w:val="bottom"/>
            <w:hideMark/>
          </w:tcPr>
          <w:p w:rsidR="009070FB" w:rsidRDefault="009070FB">
            <w:pPr>
              <w:rPr>
                <w:rFonts w:ascii="Calibri" w:hAnsi="Calibri"/>
                <w:color w:val="000000"/>
              </w:rPr>
            </w:pPr>
            <w:r>
              <w:rPr>
                <w:rFonts w:ascii="Calibri" w:hAnsi="Calibri"/>
                <w:color w:val="000000"/>
                <w:sz w:val="22"/>
                <w:szCs w:val="22"/>
              </w:rPr>
              <w:t>ENGE.AA</w:t>
            </w:r>
          </w:p>
        </w:tc>
        <w:tc>
          <w:tcPr>
            <w:tcW w:w="860" w:type="dxa"/>
            <w:tcBorders>
              <w:top w:val="nil"/>
              <w:left w:val="nil"/>
              <w:bottom w:val="nil"/>
              <w:right w:val="nil"/>
            </w:tcBorders>
            <w:shd w:val="clear" w:color="auto" w:fill="D9D9D9" w:themeFill="background1" w:themeFillShade="D9"/>
            <w:noWrap/>
            <w:vAlign w:val="bottom"/>
            <w:hideMark/>
          </w:tcPr>
          <w:p w:rsidR="009070FB" w:rsidRDefault="009070FB">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9070FB" w:rsidRDefault="009070FB">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9070FB" w:rsidRDefault="009070FB">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9070FB" w:rsidRDefault="009070FB">
            <w:pPr>
              <w:jc w:val="right"/>
              <w:rPr>
                <w:rFonts w:ascii="Calibri" w:hAnsi="Calibri"/>
                <w:color w:val="000000"/>
              </w:rPr>
            </w:pPr>
            <w:r>
              <w:rPr>
                <w:rFonts w:ascii="Calibri" w:hAnsi="Calibri"/>
                <w:color w:val="000000"/>
                <w:sz w:val="22"/>
                <w:szCs w:val="22"/>
              </w:rPr>
              <w:t>5</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9070FB"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single" w:sz="4" w:space="0" w:color="auto"/>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single" w:sz="4" w:space="0" w:color="auto"/>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ENG-111</w:t>
            </w:r>
          </w:p>
        </w:tc>
        <w:tc>
          <w:tcPr>
            <w:tcW w:w="875" w:type="dxa"/>
            <w:tcBorders>
              <w:top w:val="single" w:sz="4" w:space="0" w:color="auto"/>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71.6%</w:t>
            </w:r>
          </w:p>
        </w:tc>
        <w:tc>
          <w:tcPr>
            <w:tcW w:w="875" w:type="dxa"/>
            <w:tcBorders>
              <w:top w:val="single" w:sz="4" w:space="0" w:color="auto"/>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70.7%</w:t>
            </w:r>
          </w:p>
        </w:tc>
        <w:tc>
          <w:tcPr>
            <w:tcW w:w="875" w:type="dxa"/>
            <w:tcBorders>
              <w:top w:val="single" w:sz="4" w:space="0" w:color="auto"/>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70.1%</w:t>
            </w:r>
          </w:p>
        </w:tc>
        <w:tc>
          <w:tcPr>
            <w:tcW w:w="875" w:type="dxa"/>
            <w:tcBorders>
              <w:top w:val="single" w:sz="4" w:space="0" w:color="auto"/>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69.3%</w:t>
            </w:r>
          </w:p>
        </w:tc>
        <w:tc>
          <w:tcPr>
            <w:tcW w:w="1058" w:type="dxa"/>
            <w:tcBorders>
              <w:top w:val="single" w:sz="4" w:space="0" w:color="auto"/>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72.7%</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ENG-112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65.7%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67.7%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67.6%</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66.8%</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69.0%</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ENG-113</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76.5%</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75.3%</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74.4%</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74.1%</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74.7%</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ENG-116</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64.4%</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61.0%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52.8%</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54.8%</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89.5%</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ENG-121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69.2%</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85.2%</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88.2%</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90.9%</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ENG-122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ENG-131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74.4%</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70.6%</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72.6%</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71.7%</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ENG-132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50.3%</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59.3%</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63.1%</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64.1%</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63.2%</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ENG-199</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84.1%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77.4%</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82.1%</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79.6%</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ENG-245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82.1%</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76.5%</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ENG-247</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92.0%</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73.3%</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ENG-250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70.6%</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81.8%</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ENG-255</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76.7%</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76.8%</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82.8%</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76.5%</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75.3%</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ENG-256</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69.2%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71.3%</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73.1%</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75.5%</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ENG-257</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75.0%</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ENG-258</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91.7%</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91.3%</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ENG-259</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88.0%</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81.8%</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ENG-260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ENG-264</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78.9%</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ENG-297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61.5%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57.1%</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LIT-201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57.9%</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58.1%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58.8%</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67.4%</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82.7%</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LIT-202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64.5%</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64.3%</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LIT-203</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60.0%</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64.7%</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73.1%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68.8%</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50.0%</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LIT-205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70.0%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65.7%</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70.7%</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LIT-211</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89.2%</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73.8%</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84.6%</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LIT-212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85.2%</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89.5%</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87.5%</w:t>
            </w:r>
          </w:p>
        </w:tc>
      </w:tr>
      <w:tr w:rsidR="009070FB" w:rsidRPr="00B61D81" w:rsidTr="00B61D81">
        <w:trPr>
          <w:trHeight w:val="300"/>
        </w:trPr>
        <w:tc>
          <w:tcPr>
            <w:tcW w:w="1420"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auto" w:fill="auto"/>
            <w:noWrap/>
            <w:vAlign w:val="bottom"/>
            <w:hideMark/>
          </w:tcPr>
          <w:p w:rsidR="009070FB" w:rsidRDefault="009070FB">
            <w:pPr>
              <w:rPr>
                <w:rFonts w:ascii="Calibri" w:hAnsi="Calibri"/>
                <w:color w:val="000000"/>
              </w:rPr>
            </w:pPr>
            <w:r>
              <w:rPr>
                <w:rFonts w:ascii="Calibri" w:hAnsi="Calibri"/>
                <w:color w:val="000000"/>
                <w:sz w:val="22"/>
                <w:szCs w:val="22"/>
              </w:rPr>
              <w:t>LIT-213</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86.2%</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83.8%</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76.4%</w:t>
            </w:r>
          </w:p>
        </w:tc>
        <w:tc>
          <w:tcPr>
            <w:tcW w:w="875"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76.3%</w:t>
            </w:r>
          </w:p>
        </w:tc>
        <w:tc>
          <w:tcPr>
            <w:tcW w:w="1058" w:type="dxa"/>
            <w:tcBorders>
              <w:top w:val="nil"/>
              <w:left w:val="nil"/>
              <w:bottom w:val="nil"/>
              <w:right w:val="nil"/>
            </w:tcBorders>
            <w:shd w:val="clear" w:color="auto"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LIT-217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96.0%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59.1%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81.7%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83.6%</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96.6%</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LIT-227</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79.6%</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57.9%</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68.6%</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81.0%</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76.3%</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lastRenderedPageBreak/>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LIT-230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85.4%</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84.7%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85.8%</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85.0%</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83.3%</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LIT-234</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61.6%</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71.9%</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61.0%</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75.0%</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LIT-236</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96.7%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88.6%</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78.3%</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85.7%</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LIT-238</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LIT-240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91.8%</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94.4%</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82.4%</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86.7%</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LIT-259</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61.9%</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74.1%</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81.0%</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93.8%</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LIT-267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45.5%</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54.5%</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45.0%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65.7%</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81.3%</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LIT-297</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65.0%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76.9%</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ENG-111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71.6%</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70.7%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70.1%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69.3%</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72.7%</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ENG-112</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65.7%</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67.7%</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67.6%</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66.8%</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69.0%</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ENG-113</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76.5%</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75.3%</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74.4%</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74.1%</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74.7%</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ENG-116</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64.4%</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61.0%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52.8%</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54.8%</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89.5%</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ENG-121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69.2%</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85.2%</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88.2%</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90.9%</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ENG-122</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ENG-131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74.4%</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70.6%</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72.6%</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71.7%</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ENG-132</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50.3%</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59.3%</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63.1%</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64.1%</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63.2%</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ENG-199</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84.1%</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81.3%</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77.4%</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82.1%</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79.6%</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ENG-245</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82.1%</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76.5%</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ENG-247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92.0%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73.3%</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ENG-250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70.6%</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81.8%</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ENG-255</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76.8%</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82.8%</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76.5%</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75.3%</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ENG-256</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69.2%</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71.3%</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73.1%</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75.5%</w:t>
            </w:r>
          </w:p>
        </w:tc>
      </w:tr>
      <w:tr w:rsidR="009070FB" w:rsidRPr="00B61D81" w:rsidTr="00D73E22">
        <w:trPr>
          <w:trHeight w:val="300"/>
        </w:trPr>
        <w:tc>
          <w:tcPr>
            <w:tcW w:w="1420"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ENG-257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100.0%</w:t>
            </w:r>
          </w:p>
        </w:tc>
      </w:tr>
      <w:tr w:rsidR="009070FB" w:rsidRPr="00B61D81" w:rsidTr="00D73E22">
        <w:trPr>
          <w:trHeight w:val="300"/>
        </w:trPr>
        <w:tc>
          <w:tcPr>
            <w:tcW w:w="1420"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auto"/>
            <w:noWrap/>
            <w:vAlign w:val="bottom"/>
            <w:hideMark/>
          </w:tcPr>
          <w:p w:rsidR="009070FB" w:rsidRDefault="009070FB">
            <w:pPr>
              <w:rPr>
                <w:rFonts w:ascii="Calibri" w:hAnsi="Calibri"/>
                <w:color w:val="000000"/>
              </w:rPr>
            </w:pPr>
            <w:r>
              <w:rPr>
                <w:rFonts w:ascii="Calibri" w:hAnsi="Calibri"/>
                <w:color w:val="000000"/>
                <w:sz w:val="22"/>
                <w:szCs w:val="22"/>
              </w:rPr>
              <w:t>ENG-258</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76.0%</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91.7%</w:t>
            </w:r>
          </w:p>
        </w:tc>
        <w:tc>
          <w:tcPr>
            <w:tcW w:w="1058" w:type="dxa"/>
            <w:tcBorders>
              <w:top w:val="nil"/>
              <w:left w:val="nil"/>
              <w:bottom w:val="nil"/>
              <w:right w:val="nil"/>
            </w:tcBorders>
            <w:shd w:val="clear" w:color="000000" w:fill="auto"/>
            <w:noWrap/>
            <w:vAlign w:val="bottom"/>
            <w:hideMark/>
          </w:tcPr>
          <w:p w:rsidR="009070FB" w:rsidRDefault="009070FB">
            <w:pPr>
              <w:jc w:val="right"/>
              <w:rPr>
                <w:rFonts w:ascii="Calibri" w:hAnsi="Calibri"/>
                <w:color w:val="000000"/>
              </w:rPr>
            </w:pPr>
            <w:r>
              <w:rPr>
                <w:rFonts w:ascii="Calibri" w:hAnsi="Calibri"/>
                <w:color w:val="000000"/>
                <w:sz w:val="22"/>
                <w:szCs w:val="22"/>
              </w:rPr>
              <w:t>91.3%</w:t>
            </w:r>
          </w:p>
        </w:tc>
      </w:tr>
      <w:tr w:rsidR="009070FB" w:rsidRPr="00B61D81" w:rsidTr="00B61D81">
        <w:trPr>
          <w:trHeight w:val="300"/>
        </w:trPr>
        <w:tc>
          <w:tcPr>
            <w:tcW w:w="1420"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330</w:t>
            </w:r>
          </w:p>
        </w:tc>
        <w:tc>
          <w:tcPr>
            <w:tcW w:w="291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English</w:t>
            </w:r>
          </w:p>
        </w:tc>
        <w:tc>
          <w:tcPr>
            <w:tcW w:w="1265" w:type="dxa"/>
            <w:tcBorders>
              <w:top w:val="nil"/>
              <w:left w:val="nil"/>
              <w:bottom w:val="nil"/>
              <w:right w:val="nil"/>
            </w:tcBorders>
            <w:shd w:val="clear" w:color="000000" w:fill="D8D8D8"/>
            <w:noWrap/>
            <w:vAlign w:val="bottom"/>
            <w:hideMark/>
          </w:tcPr>
          <w:p w:rsidR="009070FB" w:rsidRDefault="009070FB">
            <w:pPr>
              <w:rPr>
                <w:rFonts w:ascii="Calibri" w:hAnsi="Calibri"/>
                <w:color w:val="000000"/>
              </w:rPr>
            </w:pPr>
            <w:r>
              <w:rPr>
                <w:rFonts w:ascii="Calibri" w:hAnsi="Calibri"/>
                <w:color w:val="000000"/>
                <w:sz w:val="22"/>
                <w:szCs w:val="22"/>
              </w:rPr>
              <w:t>ENG-259</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88.0%</w:t>
            </w:r>
          </w:p>
        </w:tc>
        <w:tc>
          <w:tcPr>
            <w:tcW w:w="875"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81.8%</w:t>
            </w:r>
          </w:p>
        </w:tc>
        <w:tc>
          <w:tcPr>
            <w:tcW w:w="1058" w:type="dxa"/>
            <w:tcBorders>
              <w:top w:val="nil"/>
              <w:left w:val="nil"/>
              <w:bottom w:val="nil"/>
              <w:right w:val="nil"/>
            </w:tcBorders>
            <w:shd w:val="clear" w:color="000000" w:fill="D8D8D8"/>
            <w:noWrap/>
            <w:vAlign w:val="bottom"/>
            <w:hideMark/>
          </w:tcPr>
          <w:p w:rsidR="009070FB" w:rsidRDefault="009070FB">
            <w:pPr>
              <w:jc w:val="right"/>
              <w:rPr>
                <w:rFonts w:ascii="Calibri" w:hAnsi="Calibri"/>
                <w:color w:val="000000"/>
              </w:rPr>
            </w:pPr>
            <w:r>
              <w:rPr>
                <w:rFonts w:ascii="Calibri" w:hAnsi="Calibri"/>
                <w:color w:val="000000"/>
                <w:sz w:val="22"/>
                <w:szCs w:val="22"/>
              </w:rPr>
              <w:t>.</w:t>
            </w:r>
          </w:p>
        </w:tc>
      </w:tr>
    </w:tbl>
    <w:p w:rsidR="00B61D81" w:rsidRDefault="00B61D81" w:rsidP="00174C4B">
      <w:pPr>
        <w:ind w:left="1080"/>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060BCB">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FF2" w:rsidRDefault="00475FF2" w:rsidP="0094204C">
      <w:r>
        <w:separator/>
      </w:r>
    </w:p>
  </w:endnote>
  <w:endnote w:type="continuationSeparator" w:id="0">
    <w:p w:rsidR="00475FF2" w:rsidRDefault="00475FF2"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850EB3" w:rsidRDefault="00850EB3">
        <w:pPr>
          <w:pStyle w:val="Footer"/>
          <w:jc w:val="right"/>
        </w:pPr>
        <w:fldSimple w:instr=" PAGE   \* MERGEFORMAT ">
          <w:r w:rsidR="009C459F">
            <w:rPr>
              <w:noProof/>
            </w:rPr>
            <w:t>13</w:t>
          </w:r>
        </w:fldSimple>
      </w:p>
    </w:sdtContent>
  </w:sdt>
  <w:p w:rsidR="00850EB3" w:rsidRDefault="00850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FF2" w:rsidRDefault="00475FF2" w:rsidP="0094204C">
      <w:r>
        <w:separator/>
      </w:r>
    </w:p>
  </w:footnote>
  <w:footnote w:type="continuationSeparator" w:id="0">
    <w:p w:rsidR="00475FF2" w:rsidRDefault="00475FF2"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0"/>
  </w:num>
  <w:num w:numId="8">
    <w:abstractNumId w:val="8"/>
  </w:num>
  <w:num w:numId="9">
    <w:abstractNumId w:val="1"/>
  </w:num>
  <w:num w:numId="10">
    <w:abstractNumId w:val="11"/>
  </w:num>
  <w:num w:numId="11">
    <w:abstractNumId w:val="0"/>
  </w:num>
  <w:num w:numId="12">
    <w:abstractNumId w:val="9"/>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hXUrAZbhQl/z0ct1GS3BoVLiFA=" w:salt="TRlq6Rot6G4Fb6+yUEQkv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7EBD"/>
    <w:rsid w:val="0002470B"/>
    <w:rsid w:val="000279EB"/>
    <w:rsid w:val="000337E6"/>
    <w:rsid w:val="00034CE6"/>
    <w:rsid w:val="00036DF9"/>
    <w:rsid w:val="000451D8"/>
    <w:rsid w:val="00050156"/>
    <w:rsid w:val="00054BFD"/>
    <w:rsid w:val="00056964"/>
    <w:rsid w:val="00060BCB"/>
    <w:rsid w:val="000616F3"/>
    <w:rsid w:val="00063778"/>
    <w:rsid w:val="00065129"/>
    <w:rsid w:val="000738FE"/>
    <w:rsid w:val="00074BD5"/>
    <w:rsid w:val="00080933"/>
    <w:rsid w:val="00080989"/>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3168"/>
    <w:rsid w:val="00195B7B"/>
    <w:rsid w:val="001A1B67"/>
    <w:rsid w:val="001A7AF7"/>
    <w:rsid w:val="001B3EF9"/>
    <w:rsid w:val="001B6007"/>
    <w:rsid w:val="001B7517"/>
    <w:rsid w:val="001C202C"/>
    <w:rsid w:val="001C42D0"/>
    <w:rsid w:val="001C5DC3"/>
    <w:rsid w:val="001D3E1D"/>
    <w:rsid w:val="001D5757"/>
    <w:rsid w:val="001D7080"/>
    <w:rsid w:val="001D736E"/>
    <w:rsid w:val="001E0764"/>
    <w:rsid w:val="001E7137"/>
    <w:rsid w:val="001F4B9E"/>
    <w:rsid w:val="002105E7"/>
    <w:rsid w:val="00210FF3"/>
    <w:rsid w:val="002245AB"/>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309A"/>
    <w:rsid w:val="002F63A2"/>
    <w:rsid w:val="00303041"/>
    <w:rsid w:val="003041DD"/>
    <w:rsid w:val="00305AE1"/>
    <w:rsid w:val="0030733F"/>
    <w:rsid w:val="00307A43"/>
    <w:rsid w:val="00315CE8"/>
    <w:rsid w:val="00320CDE"/>
    <w:rsid w:val="00320DF3"/>
    <w:rsid w:val="003233E7"/>
    <w:rsid w:val="003254BC"/>
    <w:rsid w:val="00330692"/>
    <w:rsid w:val="00337A3A"/>
    <w:rsid w:val="00341DEB"/>
    <w:rsid w:val="003454F6"/>
    <w:rsid w:val="00350D53"/>
    <w:rsid w:val="003641BA"/>
    <w:rsid w:val="00372B02"/>
    <w:rsid w:val="0037786D"/>
    <w:rsid w:val="00377D40"/>
    <w:rsid w:val="00397D7C"/>
    <w:rsid w:val="003A298D"/>
    <w:rsid w:val="003B2034"/>
    <w:rsid w:val="003B5176"/>
    <w:rsid w:val="003B5F45"/>
    <w:rsid w:val="003B6EA6"/>
    <w:rsid w:val="003C1C8E"/>
    <w:rsid w:val="003D2587"/>
    <w:rsid w:val="003D6946"/>
    <w:rsid w:val="003D6D6E"/>
    <w:rsid w:val="003E791C"/>
    <w:rsid w:val="003E7A1C"/>
    <w:rsid w:val="00404810"/>
    <w:rsid w:val="00414645"/>
    <w:rsid w:val="0041795A"/>
    <w:rsid w:val="00424E5D"/>
    <w:rsid w:val="00425F46"/>
    <w:rsid w:val="00434F56"/>
    <w:rsid w:val="004359FC"/>
    <w:rsid w:val="004467C4"/>
    <w:rsid w:val="00455833"/>
    <w:rsid w:val="004604FB"/>
    <w:rsid w:val="00461386"/>
    <w:rsid w:val="00462D00"/>
    <w:rsid w:val="004712EB"/>
    <w:rsid w:val="00475FF2"/>
    <w:rsid w:val="00476425"/>
    <w:rsid w:val="0048088F"/>
    <w:rsid w:val="00480BB2"/>
    <w:rsid w:val="004818E1"/>
    <w:rsid w:val="00481A7E"/>
    <w:rsid w:val="0048427F"/>
    <w:rsid w:val="00495C9D"/>
    <w:rsid w:val="004B7492"/>
    <w:rsid w:val="004C2B30"/>
    <w:rsid w:val="004C52FC"/>
    <w:rsid w:val="004C7DB2"/>
    <w:rsid w:val="004D3BE1"/>
    <w:rsid w:val="004D3C8C"/>
    <w:rsid w:val="004D7149"/>
    <w:rsid w:val="004E47AA"/>
    <w:rsid w:val="004E4BD6"/>
    <w:rsid w:val="004F41D5"/>
    <w:rsid w:val="0050212B"/>
    <w:rsid w:val="0051294F"/>
    <w:rsid w:val="00516463"/>
    <w:rsid w:val="00520FBE"/>
    <w:rsid w:val="0052152C"/>
    <w:rsid w:val="0052737B"/>
    <w:rsid w:val="0054350A"/>
    <w:rsid w:val="005531E8"/>
    <w:rsid w:val="005674F9"/>
    <w:rsid w:val="00573ECD"/>
    <w:rsid w:val="00585766"/>
    <w:rsid w:val="005863ED"/>
    <w:rsid w:val="005864A4"/>
    <w:rsid w:val="005918B2"/>
    <w:rsid w:val="00597F85"/>
    <w:rsid w:val="005A3E80"/>
    <w:rsid w:val="005D19D9"/>
    <w:rsid w:val="005F5F7E"/>
    <w:rsid w:val="005F6B5B"/>
    <w:rsid w:val="005F7377"/>
    <w:rsid w:val="0060657C"/>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142B"/>
    <w:rsid w:val="006C28B1"/>
    <w:rsid w:val="006C4C0B"/>
    <w:rsid w:val="006C4F5E"/>
    <w:rsid w:val="006D67EB"/>
    <w:rsid w:val="006E3686"/>
    <w:rsid w:val="006F0183"/>
    <w:rsid w:val="00716A26"/>
    <w:rsid w:val="00740D35"/>
    <w:rsid w:val="00746675"/>
    <w:rsid w:val="00747870"/>
    <w:rsid w:val="00751FC5"/>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50EB3"/>
    <w:rsid w:val="00853E52"/>
    <w:rsid w:val="008642E1"/>
    <w:rsid w:val="00875A7C"/>
    <w:rsid w:val="00877383"/>
    <w:rsid w:val="00880686"/>
    <w:rsid w:val="008836F4"/>
    <w:rsid w:val="008860C1"/>
    <w:rsid w:val="008909D4"/>
    <w:rsid w:val="008942FA"/>
    <w:rsid w:val="00897A68"/>
    <w:rsid w:val="008B52A0"/>
    <w:rsid w:val="008D4D55"/>
    <w:rsid w:val="008E063A"/>
    <w:rsid w:val="008F3D47"/>
    <w:rsid w:val="008F41A6"/>
    <w:rsid w:val="009070FB"/>
    <w:rsid w:val="009108ED"/>
    <w:rsid w:val="00915CDA"/>
    <w:rsid w:val="00925394"/>
    <w:rsid w:val="0092540D"/>
    <w:rsid w:val="009268A3"/>
    <w:rsid w:val="0094204C"/>
    <w:rsid w:val="00952FA6"/>
    <w:rsid w:val="009544B8"/>
    <w:rsid w:val="00963DD8"/>
    <w:rsid w:val="00981D62"/>
    <w:rsid w:val="009A2F4E"/>
    <w:rsid w:val="009A616E"/>
    <w:rsid w:val="009A69F0"/>
    <w:rsid w:val="009A7946"/>
    <w:rsid w:val="009C1092"/>
    <w:rsid w:val="009C459F"/>
    <w:rsid w:val="009D4970"/>
    <w:rsid w:val="009D7CD2"/>
    <w:rsid w:val="009E2519"/>
    <w:rsid w:val="009E7376"/>
    <w:rsid w:val="009F2769"/>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8476F"/>
    <w:rsid w:val="00AA3F85"/>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38F1"/>
    <w:rsid w:val="00BC5FF1"/>
    <w:rsid w:val="00BC6C11"/>
    <w:rsid w:val="00BD2C4F"/>
    <w:rsid w:val="00BD3EF3"/>
    <w:rsid w:val="00BE51FF"/>
    <w:rsid w:val="00BF3561"/>
    <w:rsid w:val="00BF556C"/>
    <w:rsid w:val="00C05015"/>
    <w:rsid w:val="00C05EFD"/>
    <w:rsid w:val="00C22083"/>
    <w:rsid w:val="00C32312"/>
    <w:rsid w:val="00C32DEA"/>
    <w:rsid w:val="00C45053"/>
    <w:rsid w:val="00C52D74"/>
    <w:rsid w:val="00C5365F"/>
    <w:rsid w:val="00C54BFB"/>
    <w:rsid w:val="00C56C48"/>
    <w:rsid w:val="00C616FD"/>
    <w:rsid w:val="00C626A7"/>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2E80"/>
    <w:rsid w:val="00D07030"/>
    <w:rsid w:val="00D14DF5"/>
    <w:rsid w:val="00D23E74"/>
    <w:rsid w:val="00D2451C"/>
    <w:rsid w:val="00D31DDA"/>
    <w:rsid w:val="00D44D7D"/>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32F8"/>
    <w:rsid w:val="00DD42DB"/>
    <w:rsid w:val="00DF5973"/>
    <w:rsid w:val="00DF7501"/>
    <w:rsid w:val="00E12A67"/>
    <w:rsid w:val="00E12E4F"/>
    <w:rsid w:val="00E13C55"/>
    <w:rsid w:val="00E14C90"/>
    <w:rsid w:val="00E16205"/>
    <w:rsid w:val="00E254D9"/>
    <w:rsid w:val="00E25ACC"/>
    <w:rsid w:val="00E352AB"/>
    <w:rsid w:val="00E47A53"/>
    <w:rsid w:val="00E501C6"/>
    <w:rsid w:val="00E55AD1"/>
    <w:rsid w:val="00E63B19"/>
    <w:rsid w:val="00E642B3"/>
    <w:rsid w:val="00E66EBA"/>
    <w:rsid w:val="00E7049B"/>
    <w:rsid w:val="00E727F2"/>
    <w:rsid w:val="00E73A43"/>
    <w:rsid w:val="00E749F1"/>
    <w:rsid w:val="00E87116"/>
    <w:rsid w:val="00E90F22"/>
    <w:rsid w:val="00E96021"/>
    <w:rsid w:val="00E97968"/>
    <w:rsid w:val="00EA4027"/>
    <w:rsid w:val="00EA68B7"/>
    <w:rsid w:val="00EA7AFE"/>
    <w:rsid w:val="00EB3C20"/>
    <w:rsid w:val="00EC0B9E"/>
    <w:rsid w:val="00EC1EB5"/>
    <w:rsid w:val="00EC6B80"/>
    <w:rsid w:val="00ED0C45"/>
    <w:rsid w:val="00ED4142"/>
    <w:rsid w:val="00EF15CD"/>
    <w:rsid w:val="00EF6E21"/>
    <w:rsid w:val="00F0239E"/>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12E-2"/>
        </c:manualLayout>
      </c:layout>
    </c:title>
    <c:plotArea>
      <c:layout/>
      <c:barChart>
        <c:barDir val="col"/>
        <c:grouping val="clustered"/>
        <c:ser>
          <c:idx val="0"/>
          <c:order val="0"/>
          <c:tx>
            <c:strRef>
              <c:f>'CHART FOR COMPLETIONS'!$J$6</c:f>
              <c:strCache>
                <c:ptCount val="1"/>
                <c:pt idx="0">
                  <c:v>0330 - English</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5</c:v>
                </c:pt>
                <c:pt idx="1">
                  <c:v>2</c:v>
                </c:pt>
                <c:pt idx="2">
                  <c:v>2</c:v>
                </c:pt>
                <c:pt idx="3">
                  <c:v>7</c:v>
                </c:pt>
              </c:numCache>
            </c:numRef>
          </c:val>
        </c:ser>
        <c:axId val="101197312"/>
        <c:axId val="101200256"/>
      </c:barChart>
      <c:catAx>
        <c:axId val="101197312"/>
        <c:scaling>
          <c:orientation val="minMax"/>
        </c:scaling>
        <c:axPos val="b"/>
        <c:tickLblPos val="nextTo"/>
        <c:crossAx val="101200256"/>
        <c:crosses val="autoZero"/>
        <c:auto val="1"/>
        <c:lblAlgn val="ctr"/>
        <c:lblOffset val="100"/>
      </c:catAx>
      <c:valAx>
        <c:axId val="101200256"/>
        <c:scaling>
          <c:orientation val="minMax"/>
        </c:scaling>
        <c:axPos val="l"/>
        <c:majorGridlines>
          <c:spPr>
            <a:ln>
              <a:solidFill>
                <a:sysClr val="windowText" lastClr="000000">
                  <a:alpha val="31000"/>
                </a:sysClr>
              </a:solidFill>
            </a:ln>
          </c:spPr>
        </c:majorGridlines>
        <c:numFmt formatCode="#,##0" sourceLinked="1"/>
        <c:tickLblPos val="nextTo"/>
        <c:crossAx val="101197312"/>
        <c:crosses val="autoZero"/>
        <c:crossBetween val="between"/>
      </c:valAx>
    </c:plotArea>
    <c:legend>
      <c:legendPos val="r"/>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0330 - English</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0.70900000000000063</c:v>
                </c:pt>
                <c:pt idx="1">
                  <c:v>0.70800000000000063</c:v>
                </c:pt>
                <c:pt idx="2">
                  <c:v>0.69599999999999995</c:v>
                </c:pt>
                <c:pt idx="3">
                  <c:v>0.70300000000000062</c:v>
                </c:pt>
                <c:pt idx="4">
                  <c:v>0.72100000000000064</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0.70200000000000062</c:v>
                </c:pt>
                <c:pt idx="1">
                  <c:v>0.69399999999999995</c:v>
                </c:pt>
                <c:pt idx="2">
                  <c:v>0.68600000000000005</c:v>
                </c:pt>
                <c:pt idx="3">
                  <c:v>0.67600000000000093</c:v>
                </c:pt>
                <c:pt idx="4">
                  <c:v>0.69099999999999995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51713152"/>
        <c:axId val="51714688"/>
      </c:barChart>
      <c:catAx>
        <c:axId val="51713152"/>
        <c:scaling>
          <c:orientation val="minMax"/>
        </c:scaling>
        <c:axPos val="b"/>
        <c:numFmt formatCode="0.0%" sourceLinked="1"/>
        <c:majorTickMark val="none"/>
        <c:tickLblPos val="nextTo"/>
        <c:crossAx val="51714688"/>
        <c:crosses val="autoZero"/>
        <c:auto val="1"/>
        <c:lblAlgn val="ctr"/>
        <c:lblOffset val="100"/>
      </c:catAx>
      <c:valAx>
        <c:axId val="51714688"/>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51713152"/>
        <c:crosses val="autoZero"/>
        <c:crossBetween val="between"/>
      </c:valAx>
    </c:plotArea>
    <c:legend>
      <c:legendPos val="r"/>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508E-52C0-42E3-BC0D-A16BDEB0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jack.bennett</cp:lastModifiedBy>
  <cp:revision>2</cp:revision>
  <cp:lastPrinted>2012-05-11T12:59:00Z</cp:lastPrinted>
  <dcterms:created xsi:type="dcterms:W3CDTF">2012-10-08T20:36:00Z</dcterms:created>
  <dcterms:modified xsi:type="dcterms:W3CDTF">2012-10-08T20:36:00Z</dcterms:modified>
</cp:coreProperties>
</file>