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86" w:rsidRDefault="00602786" w:rsidP="00602786">
      <w:pPr>
        <w:jc w:val="center"/>
        <w:rPr>
          <w:rFonts w:ascii="Arial" w:hAnsi="Arial" w:cs="Arial"/>
          <w:b/>
          <w:color w:val="000000" w:themeColor="text1"/>
          <w:sz w:val="28"/>
        </w:rPr>
      </w:pPr>
      <w:r>
        <w:rPr>
          <w:rFonts w:ascii="Arial" w:hAnsi="Arial" w:cs="Arial"/>
          <w:b/>
          <w:color w:val="000000" w:themeColor="text1"/>
          <w:sz w:val="28"/>
        </w:rPr>
        <w:t>Sinclair Community College</w:t>
      </w:r>
    </w:p>
    <w:p w:rsidR="00602786" w:rsidRDefault="00602786" w:rsidP="00602786">
      <w:pPr>
        <w:jc w:val="center"/>
        <w:rPr>
          <w:rFonts w:ascii="Arial" w:hAnsi="Arial" w:cs="Arial"/>
          <w:b/>
          <w:color w:val="000000" w:themeColor="text1"/>
        </w:rPr>
      </w:pPr>
      <w:r>
        <w:rPr>
          <w:rFonts w:ascii="Arial" w:hAnsi="Arial" w:cs="Arial"/>
          <w:b/>
          <w:color w:val="000000" w:themeColor="text1"/>
        </w:rPr>
        <w:t>Continuous Improvement Annual Update 2014-15</w:t>
      </w:r>
    </w:p>
    <w:p w:rsidR="00602786" w:rsidRDefault="00602786" w:rsidP="00602786">
      <w:pPr>
        <w:jc w:val="center"/>
        <w:rPr>
          <w:rFonts w:ascii="Arial" w:hAnsi="Arial" w:cs="Arial"/>
          <w:b/>
          <w:color w:val="000000" w:themeColor="text1"/>
        </w:rPr>
      </w:pPr>
    </w:p>
    <w:p w:rsidR="00602786" w:rsidRDefault="00602786" w:rsidP="00602786">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602786" w:rsidRDefault="00602786" w:rsidP="00602786">
      <w:pPr>
        <w:jc w:val="center"/>
        <w:rPr>
          <w:rFonts w:ascii="Arial" w:hAnsi="Arial" w:cs="Arial"/>
          <w:b/>
          <w:color w:val="000000" w:themeColor="text1"/>
        </w:rPr>
      </w:pPr>
    </w:p>
    <w:p w:rsidR="00602786" w:rsidRDefault="00602786" w:rsidP="00602786">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F0112">
        <w:rPr>
          <w:rFonts w:ascii="Arial" w:hAnsi="Arial" w:cs="Arial"/>
          <w:color w:val="000000" w:themeColor="text1"/>
          <w:u w:val="single"/>
        </w:rPr>
        <w:t>7</w:t>
      </w:r>
      <w:r w:rsidR="004A6644">
        <w:rPr>
          <w:rFonts w:ascii="Arial" w:hAnsi="Arial" w:cs="Arial"/>
          <w:color w:val="000000" w:themeColor="text1"/>
          <w:u w:val="single"/>
        </w:rPr>
        <w:t>1</w:t>
      </w:r>
      <w:r w:rsidR="00FD53E6">
        <w:rPr>
          <w:rFonts w:ascii="Arial" w:hAnsi="Arial" w:cs="Arial"/>
          <w:color w:val="000000" w:themeColor="text1"/>
          <w:u w:val="single"/>
        </w:rPr>
        <w:t>1</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FD53E6">
        <w:rPr>
          <w:rFonts w:ascii="Arial" w:hAnsi="Arial" w:cs="Arial"/>
          <w:color w:val="000000" w:themeColor="text1"/>
          <w:u w:val="single"/>
        </w:rPr>
        <w:t>Developmental Language Arts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4A6644">
        <w:rPr>
          <w:rFonts w:ascii="Arial" w:hAnsi="Arial" w:cs="Arial"/>
          <w:color w:val="000000" w:themeColor="text1"/>
        </w:rPr>
        <w:t>11</w:t>
      </w:r>
      <w:r>
        <w:rPr>
          <w:rFonts w:ascii="Arial" w:hAnsi="Arial" w:cs="Arial"/>
          <w:color w:val="000000" w:themeColor="text1"/>
        </w:rPr>
        <w:t>-</w:t>
      </w:r>
      <w:r w:rsidR="00FD53E6">
        <w:rPr>
          <w:rFonts w:ascii="Arial" w:hAnsi="Arial" w:cs="Arial"/>
          <w:color w:val="000000" w:themeColor="text1"/>
        </w:rPr>
        <w:t>20</w:t>
      </w:r>
      <w:r w:rsidR="004A664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4A6644">
        <w:rPr>
          <w:rFonts w:ascii="Arial" w:hAnsi="Arial" w:cs="Arial"/>
          <w:color w:val="000000" w:themeColor="text1"/>
        </w:rPr>
        <w:t>6</w:t>
      </w:r>
      <w:r>
        <w:rPr>
          <w:rFonts w:ascii="Arial" w:hAnsi="Arial" w:cs="Arial"/>
          <w:color w:val="000000" w:themeColor="text1"/>
        </w:rPr>
        <w:t>-201</w:t>
      </w:r>
      <w:r w:rsidR="004A6644">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4A6644" w:rsidRPr="004A6644" w:rsidRDefault="004A6644" w:rsidP="00585766">
      <w:pPr>
        <w:rPr>
          <w:rFonts w:ascii="Arial" w:hAnsi="Arial" w:cs="Arial"/>
          <w:b/>
          <w:noProof/>
          <w:color w:val="FF0000"/>
        </w:rPr>
      </w:pPr>
      <w:r w:rsidRPr="004A6644">
        <w:rPr>
          <w:rFonts w:ascii="Arial" w:hAnsi="Arial" w:cs="Arial"/>
          <w:b/>
          <w:noProof/>
          <w:color w:val="FF0000"/>
        </w:rPr>
        <w:t>NOT APPLICABLE</w:t>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547756" w:rsidP="00585766">
      <w:pPr>
        <w:rPr>
          <w:rFonts w:ascii="Arial" w:hAnsi="Arial" w:cs="Arial"/>
          <w:color w:val="000000" w:themeColor="text1"/>
        </w:rPr>
      </w:pPr>
      <w:r>
        <w:rPr>
          <w:noProof/>
        </w:rPr>
        <w:drawing>
          <wp:inline distT="0" distB="0" distL="0" distR="0" wp14:anchorId="0DF41886" wp14:editId="6964022E">
            <wp:extent cx="5943600" cy="2438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Pr="00585766" w:rsidRDefault="00585766" w:rsidP="00585766">
      <w:pPr>
        <w:ind w:left="720"/>
        <w:rPr>
          <w:rFonts w:ascii="Arial" w:hAnsi="Arial" w:cs="Arial"/>
          <w:color w:val="000000" w:themeColor="text1"/>
        </w:rPr>
      </w:pPr>
    </w:p>
    <w:p w:rsidR="0005178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05178A" w:rsidRDefault="0005178A" w:rsidP="008258DA">
      <w:pPr>
        <w:rPr>
          <w:rFonts w:ascii="Arial" w:hAnsi="Arial" w:cs="Arial"/>
          <w:color w:val="000000" w:themeColor="text1"/>
        </w:rPr>
      </w:pPr>
    </w:p>
    <w:p w:rsidR="0026258F" w:rsidRDefault="0005178A" w:rsidP="008258DA">
      <w:pPr>
        <w:rPr>
          <w:color w:val="000000" w:themeColor="text1"/>
        </w:rPr>
      </w:pPr>
      <w:r>
        <w:rPr>
          <w:color w:val="000000" w:themeColor="text1"/>
        </w:rPr>
        <w:t>Our core courses (DEV-0010, 0012, 0030, 0032) have all experienced an increase in success rates from FY 12-13 to FY 13-14</w:t>
      </w:r>
      <w:r w:rsidR="0026258F">
        <w:rPr>
          <w:color w:val="000000" w:themeColor="text1"/>
        </w:rPr>
        <w:t>.  We believe that increase is attributable to the change in the format of the classes.  We moved from a full-term 16 week offering to the 8-week mini-term classes.  The shorter number of weeks, along with the longer time in the classroom, seems to have had the positive effect we wanted.</w:t>
      </w:r>
    </w:p>
    <w:p w:rsidR="0026258F" w:rsidRDefault="0026258F" w:rsidP="008258DA">
      <w:pPr>
        <w:rPr>
          <w:color w:val="000000" w:themeColor="text1"/>
        </w:rPr>
      </w:pPr>
    </w:p>
    <w:p w:rsidR="008258DA" w:rsidRDefault="0026258F" w:rsidP="008258DA">
      <w:pPr>
        <w:rPr>
          <w:rFonts w:ascii="Arial" w:hAnsi="Arial" w:cs="Arial"/>
          <w:color w:val="000000" w:themeColor="text1"/>
        </w:rPr>
      </w:pPr>
      <w:r>
        <w:rPr>
          <w:color w:val="000000" w:themeColor="text1"/>
        </w:rPr>
        <w:t>The boot camps (DEV-0060, 0062, 0080, 0082) continue to show impressive success numbers, as do the ESL courses, with the exception of ESL-0130 and 0135.  A new text was adopted in those courses, and we will closely track the success numbers going forward to see if the book has created an unanticipated obstacle.</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180A6D" w:rsidRPr="0026258F" w:rsidRDefault="0026258F" w:rsidP="00377D40">
      <w:pPr>
        <w:spacing w:after="200" w:line="276" w:lineRule="auto"/>
        <w:rPr>
          <w:b/>
          <w:color w:val="000000" w:themeColor="text1"/>
          <w:u w:val="single"/>
        </w:rPr>
        <w:sectPr w:rsidR="00180A6D" w:rsidRPr="0026258F" w:rsidSect="00180A6D">
          <w:footerReference w:type="default" r:id="rId9"/>
          <w:pgSz w:w="12240" w:h="15840"/>
          <w:pgMar w:top="1152" w:right="1440" w:bottom="1152" w:left="1440" w:header="720" w:footer="288" w:gutter="0"/>
          <w:cols w:space="720"/>
          <w:docGrid w:linePitch="360"/>
        </w:sectPr>
      </w:pPr>
      <w:r>
        <w:rPr>
          <w:rFonts w:ascii="Arial" w:hAnsi="Arial" w:cs="Arial"/>
          <w:b/>
          <w:color w:val="000000" w:themeColor="text1"/>
          <w:u w:val="single"/>
        </w:rPr>
        <w:t xml:space="preserve"> </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FA3BF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FA3BFD" w:rsidTr="00FA3BFD">
        <w:trPr>
          <w:trHeight w:val="1399"/>
        </w:trPr>
        <w:tc>
          <w:tcPr>
            <w:tcW w:w="3690" w:type="dxa"/>
          </w:tcPr>
          <w:p w:rsidR="00FA3BFD" w:rsidRPr="0098306C" w:rsidRDefault="00FA3BFD" w:rsidP="004A6644">
            <w:pPr>
              <w:rPr>
                <w:rFonts w:ascii="Arial" w:hAnsi="Arial" w:cs="Arial"/>
              </w:rPr>
            </w:pPr>
            <w:r w:rsidRPr="0098306C">
              <w:rPr>
                <w:rFonts w:ascii="Arial" w:hAnsi="Arial" w:cs="Arial"/>
              </w:rPr>
              <w:t>ACA is scaling up Math Modules, Accelerated English and Boot Camps to serve more students. These modalities will move from “297” designation to “real” courses in semesters. ACA is also in the process of re-vamping all web courses for semester format.</w:t>
            </w:r>
          </w:p>
          <w:p w:rsidR="00FA3BFD" w:rsidRPr="0037786D" w:rsidRDefault="00FA3BFD" w:rsidP="00D07030">
            <w:pPr>
              <w:spacing w:before="12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FD53E6">
              <w:fldChar w:fldCharType="begin">
                <w:ffData>
                  <w:name w:val="Check1"/>
                  <w:enabled/>
                  <w:calcOnExit w:val="0"/>
                  <w:checkBox>
                    <w:sizeAuto/>
                    <w:default w:val="0"/>
                    <w:checked w:val="0"/>
                  </w:checkBox>
                </w:ffData>
              </w:fldChar>
            </w:r>
            <w:r w:rsidR="00FD53E6">
              <w:instrText xml:space="preserve"> FORMCHECKBOX </w:instrText>
            </w:r>
            <w:r w:rsidR="00251AFC">
              <w:fldChar w:fldCharType="separate"/>
            </w:r>
            <w:r w:rsidR="00FD53E6">
              <w:fldChar w:fldCharType="end"/>
            </w:r>
            <w:bookmarkEnd w:id="0"/>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27437">
              <w:fldChar w:fldCharType="begin">
                <w:ffData>
                  <w:name w:val=""/>
                  <w:enabled/>
                  <w:calcOnExit w:val="0"/>
                  <w:checkBox>
                    <w:sizeAuto/>
                    <w:default w:val="0"/>
                  </w:checkBox>
                </w:ffData>
              </w:fldChar>
            </w:r>
            <w:r w:rsidR="00B27437">
              <w:instrText xml:space="preserve"> FORMCHECKBOX </w:instrText>
            </w:r>
            <w:r w:rsidR="00251AFC">
              <w:fldChar w:fldCharType="separate"/>
            </w:r>
            <w:r w:rsidR="00B27437">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B27437">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27437">
              <w:fldChar w:fldCharType="begin">
                <w:ffData>
                  <w:name w:val=""/>
                  <w:enabled/>
                  <w:calcOnExit w:val="0"/>
                  <w:checkBox>
                    <w:sizeAuto/>
                    <w:default w:val="1"/>
                  </w:checkBox>
                </w:ffData>
              </w:fldChar>
            </w:r>
            <w:r w:rsidR="00B27437">
              <w:instrText xml:space="preserve"> FORMCHECKBOX </w:instrText>
            </w:r>
            <w:r w:rsidR="00251AFC">
              <w:fldChar w:fldCharType="separate"/>
            </w:r>
            <w:r w:rsidR="00B27437">
              <w:fldChar w:fldCharType="end"/>
            </w:r>
          </w:p>
        </w:tc>
        <w:tc>
          <w:tcPr>
            <w:tcW w:w="6840" w:type="dxa"/>
          </w:tcPr>
          <w:p w:rsidR="00FA3BFD" w:rsidRDefault="00B27437" w:rsidP="006E006D">
            <w:r>
              <w:t>This goal was marked as completed in last year’s update.</w:t>
            </w:r>
          </w:p>
        </w:tc>
      </w:tr>
      <w:tr w:rsidR="00FA3BFD" w:rsidTr="00FA3BFD">
        <w:trPr>
          <w:trHeight w:val="1399"/>
        </w:trPr>
        <w:tc>
          <w:tcPr>
            <w:tcW w:w="3690" w:type="dxa"/>
          </w:tcPr>
          <w:p w:rsidR="00FA3BFD" w:rsidRDefault="00FA3BFD" w:rsidP="004A6644">
            <w:pPr>
              <w:rPr>
                <w:rFonts w:ascii="Arial" w:hAnsi="Arial" w:cs="Arial"/>
              </w:rPr>
            </w:pPr>
            <w:r>
              <w:rPr>
                <w:rFonts w:ascii="Arial" w:hAnsi="Arial" w:cs="Arial"/>
              </w:rPr>
              <w:t>Reading faculty are working with the Biology Department to create biology–specific reading modules to help increase success in biology. These interactive lessons could be expanded to other disciplines. A “dream” would be to combine a course such as ALH 103 with DEV 065 (Reading) as a learning community</w:t>
            </w:r>
          </w:p>
          <w:p w:rsidR="00FA3BFD" w:rsidRPr="0037786D" w:rsidRDefault="00FA3BFD" w:rsidP="0094204C">
            <w:pPr>
              <w:pStyle w:val="ListParagraph"/>
              <w:ind w:left="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val="0"/>
                  </w:checkBox>
                </w:ffData>
              </w:fldChar>
            </w:r>
            <w:r w:rsidR="00FD53E6">
              <w:instrText xml:space="preserve"> FORMCHECKBOX </w:instrText>
            </w:r>
            <w:r w:rsidR="00251AFC">
              <w:fldChar w:fldCharType="separate"/>
            </w:r>
            <w:r w:rsidR="00FD53E6">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27437">
              <w:fldChar w:fldCharType="begin">
                <w:ffData>
                  <w:name w:val=""/>
                  <w:enabled/>
                  <w:calcOnExit w:val="0"/>
                  <w:checkBox>
                    <w:sizeAuto/>
                    <w:default w:val="0"/>
                  </w:checkBox>
                </w:ffData>
              </w:fldChar>
            </w:r>
            <w:r w:rsidR="00B27437">
              <w:instrText xml:space="preserve"> FORMCHECKBOX </w:instrText>
            </w:r>
            <w:r w:rsidR="00251AFC">
              <w:fldChar w:fldCharType="separate"/>
            </w:r>
            <w:r w:rsidR="00B27437">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B27437">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27437">
              <w:fldChar w:fldCharType="begin">
                <w:ffData>
                  <w:name w:val=""/>
                  <w:enabled/>
                  <w:calcOnExit w:val="0"/>
                  <w:checkBox>
                    <w:sizeAuto/>
                    <w:default w:val="1"/>
                  </w:checkBox>
                </w:ffData>
              </w:fldChar>
            </w:r>
            <w:r w:rsidR="00B27437">
              <w:instrText xml:space="preserve"> FORMCHECKBOX </w:instrText>
            </w:r>
            <w:r w:rsidR="00251AFC">
              <w:fldChar w:fldCharType="separate"/>
            </w:r>
            <w:r w:rsidR="00B27437">
              <w:fldChar w:fldCharType="end"/>
            </w:r>
          </w:p>
        </w:tc>
        <w:tc>
          <w:tcPr>
            <w:tcW w:w="6840" w:type="dxa"/>
          </w:tcPr>
          <w:p w:rsidR="00FA3BFD" w:rsidRDefault="00B27437" w:rsidP="00822AD2">
            <w:r>
              <w:t>This goal was marked as completed in last year’s update.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FA3BF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FA3BFD" w:rsidRPr="0037786D" w:rsidTr="00FA3BFD">
        <w:trPr>
          <w:trHeight w:val="2807"/>
        </w:trPr>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mission statement for the department that was provided in the Self-Study does not mention preparation for college-level math and English courses as the department’s central purpose and should be revised accordingly.  The mission statement overall would benefit from being more concise and focused.</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61F0D">
              <w:fldChar w:fldCharType="begin">
                <w:ffData>
                  <w:name w:val="Check1"/>
                  <w:enabled/>
                  <w:calcOnExit w:val="0"/>
                  <w:checkBox>
                    <w:sizeAuto/>
                    <w:default w:val="0"/>
                    <w:checked w:val="0"/>
                  </w:checkBox>
                </w:ffData>
              </w:fldChar>
            </w:r>
            <w:r>
              <w:instrText xml:space="preserve"> FORMCHECKBOX </w:instrText>
            </w:r>
            <w:r w:rsidR="00251AFC">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9214F">
              <w:fldChar w:fldCharType="begin">
                <w:ffData>
                  <w:name w:val=""/>
                  <w:enabled/>
                  <w:calcOnExit w:val="0"/>
                  <w:checkBox>
                    <w:sizeAuto/>
                    <w:default w:val="0"/>
                  </w:checkBox>
                </w:ffData>
              </w:fldChar>
            </w:r>
            <w:r w:rsidR="0089214F">
              <w:instrText xml:space="preserve"> FORMCHECKBOX </w:instrText>
            </w:r>
            <w:r w:rsidR="00251AFC">
              <w:fldChar w:fldCharType="separate"/>
            </w:r>
            <w:r w:rsidR="0089214F">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89214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9214F">
              <w:fldChar w:fldCharType="begin">
                <w:ffData>
                  <w:name w:val=""/>
                  <w:enabled/>
                  <w:calcOnExit w:val="0"/>
                  <w:checkBox>
                    <w:sizeAuto/>
                    <w:default w:val="1"/>
                  </w:checkBox>
                </w:ffData>
              </w:fldChar>
            </w:r>
            <w:r w:rsidR="0089214F">
              <w:instrText xml:space="preserve"> FORMCHECKBOX </w:instrText>
            </w:r>
            <w:r w:rsidR="00251AFC">
              <w:fldChar w:fldCharType="separate"/>
            </w:r>
            <w:r w:rsidR="0089214F">
              <w:fldChar w:fldCharType="end"/>
            </w:r>
          </w:p>
        </w:tc>
        <w:tc>
          <w:tcPr>
            <w:tcW w:w="6480" w:type="dxa"/>
          </w:tcPr>
          <w:p w:rsidR="00FA3BFD" w:rsidRDefault="0089214F" w:rsidP="00436A05">
            <w:r>
              <w:t>The new mission statement was reported in last year’s Annual Update</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current program outcomes for the department mirror the college’s General Education outcomes.  It is recommended that the department develop program outcomes that support the General Education outcomes, but that are clearly tailored to developmental education.</w:t>
            </w:r>
            <w:r w:rsidRPr="00654C15">
              <w:rPr>
                <w:rFonts w:ascii="Arial" w:hAnsi="Arial" w:cs="Arial"/>
                <w:color w:val="000000" w:themeColor="text1"/>
              </w:rPr>
              <w:t xml:space="preserve"> </w:t>
            </w:r>
          </w:p>
        </w:tc>
        <w:tc>
          <w:tcPr>
            <w:tcW w:w="2700" w:type="dxa"/>
          </w:tcPr>
          <w:p w:rsidR="00FA3BFD" w:rsidRDefault="00FA3BFD" w:rsidP="00637591">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rsidR="00944BCA">
              <w:fldChar w:fldCharType="begin">
                <w:ffData>
                  <w:name w:val=""/>
                  <w:enabled/>
                  <w:calcOnExit w:val="0"/>
                  <w:checkBox>
                    <w:sizeAuto/>
                    <w:default w:val="1"/>
                  </w:checkBox>
                </w:ffData>
              </w:fldChar>
            </w:r>
            <w:r w:rsidR="00944BCA">
              <w:instrText xml:space="preserve"> FORMCHECKBOX </w:instrText>
            </w:r>
            <w:r w:rsidR="00251AFC">
              <w:fldChar w:fldCharType="separate"/>
            </w:r>
            <w:r w:rsidR="00944BCA">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613C53" w:rsidRDefault="00561F0D" w:rsidP="00613C53">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613C53">
              <w:t>The DLA program outcomes have been revised to reflect the new configuration of the department and to more clearly reflect developmental education.</w:t>
            </w:r>
          </w:p>
          <w:p w:rsidR="00613C53" w:rsidRDefault="00613C53" w:rsidP="00613C53"/>
          <w:p w:rsidR="00613C53" w:rsidRPr="00613C53" w:rsidRDefault="00613C53" w:rsidP="00613C53">
            <w:r w:rsidRPr="00613C53">
              <w:t>Program Outcomes:</w:t>
            </w:r>
          </w:p>
          <w:p w:rsidR="00613C53" w:rsidRPr="00613C53" w:rsidRDefault="00613C53" w:rsidP="00613C53">
            <w:r w:rsidRPr="00613C53">
              <w:t>1.</w:t>
            </w:r>
            <w:r>
              <w:t xml:space="preserve"> </w:t>
            </w:r>
            <w:r w:rsidRPr="00613C53">
              <w:t>Demonstrate written communication skills appropriate for success in college-level courses</w:t>
            </w:r>
          </w:p>
          <w:p w:rsidR="00613C53" w:rsidRPr="00613C53" w:rsidRDefault="00613C53" w:rsidP="00613C53">
            <w:r w:rsidRPr="00613C53">
              <w:t>2.</w:t>
            </w:r>
            <w:r>
              <w:t xml:space="preserve"> </w:t>
            </w:r>
            <w:r w:rsidRPr="00613C53">
              <w:t xml:space="preserve">Demonstrate effective active reading skills appropriate for success in college-level courses </w:t>
            </w:r>
          </w:p>
          <w:p w:rsidR="00613C53" w:rsidRPr="00613C53" w:rsidRDefault="00613C53" w:rsidP="00613C53">
            <w:r w:rsidRPr="00613C53">
              <w:t>3.</w:t>
            </w:r>
            <w:r>
              <w:t xml:space="preserve"> </w:t>
            </w:r>
            <w:r w:rsidR="008C7207">
              <w:t>Demonstrate English language proficiency appropriate for success in college-level courses</w:t>
            </w:r>
          </w:p>
          <w:p w:rsidR="00613C53" w:rsidRPr="00613C53" w:rsidRDefault="00613C53" w:rsidP="00613C53">
            <w:r w:rsidRPr="00613C53">
              <w:t>4.</w:t>
            </w:r>
            <w:r>
              <w:t xml:space="preserve"> </w:t>
            </w:r>
            <w:r w:rsidRPr="00613C53">
              <w:t>Demonstrate creative and critical thinking skills in a college setting</w:t>
            </w:r>
          </w:p>
          <w:p w:rsidR="00613C53" w:rsidRPr="00613C53" w:rsidRDefault="00613C53" w:rsidP="00613C53">
            <w:r w:rsidRPr="00613C53">
              <w:t>5.</w:t>
            </w:r>
            <w:r>
              <w:t xml:space="preserve"> </w:t>
            </w:r>
            <w:r w:rsidRPr="00613C53">
              <w:t>Demonstrate a basic understanding and use of computer and information literacy in a college setting</w:t>
            </w:r>
          </w:p>
          <w:p w:rsidR="00613C53" w:rsidRPr="00613C53" w:rsidRDefault="00613C53" w:rsidP="00613C53">
            <w:r w:rsidRPr="00613C53">
              <w:lastRenderedPageBreak/>
              <w:t>6.</w:t>
            </w:r>
            <w:r>
              <w:t xml:space="preserve"> </w:t>
            </w:r>
            <w:r w:rsidRPr="00613C53">
              <w:t>Demonstrate a sense of citizenship and community in a college setting</w:t>
            </w:r>
          </w:p>
          <w:p w:rsidR="00FA3BFD" w:rsidRDefault="00613C53" w:rsidP="00613C53">
            <w:pPr>
              <w:rPr>
                <w:rFonts w:ascii="Arial" w:hAnsi="Arial" w:cs="Arial"/>
                <w:color w:val="000000" w:themeColor="text1"/>
              </w:rPr>
            </w:pPr>
            <w:r w:rsidRPr="00613C53">
              <w:t>7.</w:t>
            </w:r>
            <w:r>
              <w:t xml:space="preserve"> </w:t>
            </w:r>
            <w:r w:rsidRPr="00613C53">
              <w:t>Demonstrate a sense of values toward oneself and others in a college setting</w:t>
            </w:r>
            <w:r w:rsidR="00561F0D" w:rsidRPr="00160CC7">
              <w:rPr>
                <w:rFonts w:ascii="Arial" w:hAnsi="Arial" w:cs="Arial"/>
                <w:color w:val="000000" w:themeColor="text1"/>
              </w:rPr>
              <w:fldChar w:fldCharType="end"/>
            </w:r>
          </w:p>
          <w:p w:rsidR="00944BCA" w:rsidRDefault="00944BCA" w:rsidP="00613C53">
            <w:pPr>
              <w:rPr>
                <w:rFonts w:ascii="Arial" w:hAnsi="Arial" w:cs="Arial"/>
                <w:color w:val="000000" w:themeColor="text1"/>
              </w:rPr>
            </w:pPr>
          </w:p>
          <w:p w:rsidR="00944BCA" w:rsidRDefault="00944BCA" w:rsidP="00613C53">
            <w:pPr>
              <w:rPr>
                <w:rFonts w:ascii="Arial" w:hAnsi="Arial" w:cs="Arial"/>
                <w:color w:val="000000" w:themeColor="text1"/>
              </w:rPr>
            </w:pPr>
            <w:r>
              <w:rPr>
                <w:rFonts w:ascii="Arial" w:hAnsi="Arial" w:cs="Arial"/>
                <w:color w:val="000000" w:themeColor="text1"/>
              </w:rPr>
              <w:t>These outcomes, which were reported in last year’s annual update, have been adopted</w:t>
            </w:r>
            <w:r w:rsidR="00EE2964">
              <w:rPr>
                <w:rFonts w:ascii="Arial" w:hAnsi="Arial" w:cs="Arial"/>
                <w:color w:val="000000" w:themeColor="text1"/>
              </w:rPr>
              <w:t xml:space="preserve"> by the department</w:t>
            </w:r>
            <w:r>
              <w:rPr>
                <w:rFonts w:ascii="Arial" w:hAnsi="Arial" w:cs="Arial"/>
                <w:color w:val="000000" w:themeColor="text1"/>
              </w:rPr>
              <w:t>.</w:t>
            </w:r>
          </w:p>
          <w:p w:rsidR="00944BCA" w:rsidRDefault="00944BCA" w:rsidP="00613C53">
            <w:pPr>
              <w:rPr>
                <w:rFonts w:ascii="Arial" w:hAnsi="Arial" w:cs="Arial"/>
                <w:color w:val="000000" w:themeColor="text1"/>
              </w:rPr>
            </w:pPr>
          </w:p>
          <w:p w:rsidR="00944BCA" w:rsidRDefault="00944BCA" w:rsidP="00613C53"/>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While the department has collected a tremendous amount of data, it appears that to a large extent this data has not been interpreted, synthesized, and then used to inform changes.  The department is encouraged to work with RAR to develop a plan for its use of data, including delineation regarding what routine data collection, analysis and interpretation the department will handle versus what RAR can best manage.  </w:t>
            </w:r>
          </w:p>
        </w:tc>
        <w:tc>
          <w:tcPr>
            <w:tcW w:w="2700" w:type="dxa"/>
          </w:tcPr>
          <w:p w:rsidR="00FA3BFD" w:rsidRDefault="00FA3BFD" w:rsidP="00637591">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EE2964">
              <w:fldChar w:fldCharType="begin">
                <w:ffData>
                  <w:name w:val=""/>
                  <w:enabled/>
                  <w:calcOnExit w:val="0"/>
                  <w:checkBox>
                    <w:sizeAuto/>
                    <w:default w:val="1"/>
                  </w:checkBox>
                </w:ffData>
              </w:fldChar>
            </w:r>
            <w:r w:rsidR="00EE2964">
              <w:instrText xml:space="preserve"> FORMCHECKBOX </w:instrText>
            </w:r>
            <w:r w:rsidR="00EE2964">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FA3BFD" w:rsidRDefault="00EE2964" w:rsidP="00BD1CC0">
            <w:r>
              <w:rPr>
                <w:rFonts w:ascii="Arial" w:hAnsi="Arial" w:cs="Arial"/>
                <w:color w:val="000000" w:themeColor="text1"/>
              </w:rPr>
              <w:t xml:space="preserve">DLA has established a good relationship with RAR, and has used data from RAR reports to plan our transition to fully integrated reading/writing classes.  </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Similarly, while the department’s efforts in developing common assignments and exams have been good, it does not appear from the Self-Study and review meeting that data on student </w:t>
            </w:r>
            <w:r w:rsidRPr="004A6644">
              <w:rPr>
                <w:rFonts w:ascii="Arial" w:hAnsi="Arial" w:cs="Arial"/>
                <w:color w:val="000000"/>
              </w:rPr>
              <w:lastRenderedPageBreak/>
              <w:t xml:space="preserve">outcomes at the course and section level is currently being collected and used to improve teaching and learning.  The review team recommends that the department capture and mine this rich source of assessment data, analyze results and document findings. Assessment results collected in this manner should be reported in Annual Updates beginning next year and in the next Program Review self-study.  Few departments at Sinclair are as well positioned to document student learning so completely and comprehensively, and it is recommended that the department take the next step to make this a reality.  </w:t>
            </w:r>
          </w:p>
        </w:tc>
        <w:tc>
          <w:tcPr>
            <w:tcW w:w="2700" w:type="dxa"/>
          </w:tcPr>
          <w:p w:rsidR="00FA3BFD" w:rsidRDefault="00FA3BFD" w:rsidP="00637591">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EE2964">
              <w:fldChar w:fldCharType="begin">
                <w:ffData>
                  <w:name w:val=""/>
                  <w:enabled/>
                  <w:calcOnExit w:val="0"/>
                  <w:checkBox>
                    <w:sizeAuto/>
                    <w:default w:val="1"/>
                  </w:checkBox>
                </w:ffData>
              </w:fldChar>
            </w:r>
            <w:r w:rsidR="00EE2964">
              <w:instrText xml:space="preserve"> FORMCHECKBOX </w:instrText>
            </w:r>
            <w:r w:rsidR="00EE2964">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FA3BFD" w:rsidRDefault="00EE2964" w:rsidP="00EE2964">
            <w:r>
              <w:rPr>
                <w:rFonts w:ascii="Arial" w:hAnsi="Arial" w:cs="Arial"/>
                <w:color w:val="000000" w:themeColor="text1"/>
              </w:rPr>
              <w:lastRenderedPageBreak/>
              <w:t>Since this year is being spent preparing for our transition to integrated reading/writing (IRW) course, we have temporarily deferred this recommendation.  Once our IRW courses begin, we will put in place a mechanism to assess the effectiveness of the courses.</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The department is encouraged to forecast enrollment on a yearly basis.  The higher education environment related to developmental education is changing significantly, and the institution will want to stay on </w:t>
            </w:r>
            <w:r w:rsidRPr="004A6644">
              <w:rPr>
                <w:rFonts w:ascii="Arial" w:hAnsi="Arial" w:cs="Arial"/>
                <w:color w:val="000000"/>
              </w:rPr>
              <w:lastRenderedPageBreak/>
              <w:t>top of any trends that emerge that may either increase or decrease DEV enrollments.  The department would be well served by paying close attention to changes in high schools and colleges that could impact developmental education enrollment and plan accordingly.</w:t>
            </w: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251AFC">
              <w:fldChar w:fldCharType="begin">
                <w:ffData>
                  <w:name w:val=""/>
                  <w:enabled/>
                  <w:calcOnExit w:val="0"/>
                  <w:checkBox>
                    <w:sizeAuto/>
                    <w:default w:val="1"/>
                  </w:checkBox>
                </w:ffData>
              </w:fldChar>
            </w:r>
            <w:r w:rsidR="00251AFC">
              <w:instrText xml:space="preserve"> FORMCHECKBOX </w:instrText>
            </w:r>
            <w:r w:rsidR="00251AFC">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Default="00251AFC" w:rsidP="00251AFC">
            <w:r>
              <w:t>DLA enrollment this year has dropped dramatically.  Part of the reason lies in the overall enrollment decline across the College, and part of the reason lies in the implementation of the WritePlacer placement protocol.  While WritePlacer is a more effective way to assess student writing ability, we are concerned that many students are determined to be “college ready” when in fact they are not.  We are working with RAR to collect data on the success rate of those students on the bubble</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Similarly, changes at the state and national level in developmental education practice and policy are occurring quickly, and the department’s work will be well served by understanding these changes and their implications for developmental education at Sinclair.  It is recommended that the department maintain an openness to substantially new and innovative approaches and structures, and a willingness to adapt as new best practices emerge in the field.  Changes in the area of developmental education will be inevitable in the future, and the department </w:t>
            </w:r>
            <w:r w:rsidRPr="004A6644">
              <w:rPr>
                <w:rFonts w:ascii="Arial" w:hAnsi="Arial" w:cs="Arial"/>
                <w:color w:val="000000"/>
              </w:rPr>
              <w:lastRenderedPageBreak/>
              <w:t>will need to be prepared to take these changes in stride and, hopefully, help shape these changes.  Without question, an important challenge for the department and Sinclair is identifying sound approaches to helping students accelerate their completion of basic skills so they can perform successfully in their college-level courses.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251AFC">
              <w:fldChar w:fldCharType="begin">
                <w:ffData>
                  <w:name w:val=""/>
                  <w:enabled/>
                  <w:calcOnExit w:val="0"/>
                  <w:checkBox>
                    <w:sizeAuto/>
                    <w:default w:val="1"/>
                  </w:checkBox>
                </w:ffData>
              </w:fldChar>
            </w:r>
            <w:r w:rsidR="00251AFC">
              <w:instrText xml:space="preserve"> FORMCHECKBOX </w:instrText>
            </w:r>
            <w:r w:rsidR="00251AFC">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Default="00251AFC" w:rsidP="00251AFC">
            <w:r>
              <w:t>The DLA Department is especially sensitive to changes in developmental education.  Our faculty attend and present at DEV Ed conferences in order to stay connected with colleagues and leaders in the field.</w:t>
            </w:r>
          </w:p>
          <w:p w:rsidR="00251AFC" w:rsidRDefault="00251AFC" w:rsidP="00251AFC"/>
          <w:p w:rsidR="00251AFC" w:rsidRDefault="00251AFC" w:rsidP="00977AFD">
            <w:r>
              <w:t xml:space="preserve">In response to the current trend towards acceleration and completion, we are combining our separate DEV reading and English classes into fully integrated reading/writing classes.  So beginning in Fall 2015, </w:t>
            </w:r>
            <w:r w:rsidR="00977AFD">
              <w:t>instead of two 3-credit reading and two English classes (four classes, 12-credits total to complete for the lowest placing students), we will offer two IRW 4-credit classes (2 classes, 8-credits total).  The classes will be offered in the 8-week mini-mester format. We believe this change will move students through their DLA requirements more quickly and at a lower cost.</w:t>
            </w:r>
          </w:p>
          <w:p w:rsidR="00977AFD" w:rsidRDefault="00977AFD" w:rsidP="00977AFD"/>
          <w:p w:rsidR="00977AFD" w:rsidRDefault="00977AFD" w:rsidP="00977AFD">
            <w:r>
              <w:t xml:space="preserve">As a department, we intend to continue to study trends and innovations in the field so that </w:t>
            </w:r>
            <w:r w:rsidRPr="00F02320">
              <w:t>Sinclair Community College</w:t>
            </w:r>
            <w:r>
              <w:t xml:space="preserve"> can remain a leader in developmental education.</w:t>
            </w:r>
          </w:p>
        </w:tc>
      </w:tr>
      <w:tr w:rsidR="00FA3BFD" w:rsidRPr="0037786D" w:rsidTr="00FA3BFD">
        <w:tc>
          <w:tcPr>
            <w:tcW w:w="3708" w:type="dxa"/>
          </w:tcPr>
          <w:p w:rsidR="00FA3BFD" w:rsidRPr="00C04B45" w:rsidRDefault="00FA3BFD" w:rsidP="004A6644">
            <w:pPr>
              <w:pStyle w:val="ListParagraph"/>
              <w:rPr>
                <w:rFonts w:ascii="Arial" w:hAnsi="Arial" w:cs="Arial"/>
                <w:color w:val="000000"/>
              </w:rPr>
            </w:pPr>
          </w:p>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Many of the issues raised in the self-study and in the discussion in the review meeting suggest that span of control may be an issue for the department.  With such a large department, and with a number of initiatives ongoing simultaneously, it may be a challenge for the chair and faculty leaders to stay on top of everything.  It may be in the department’s best interest to determine which activities are most valuable and focus resources in those areas.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rsidR="00977AFD">
              <w:fldChar w:fldCharType="begin">
                <w:ffData>
                  <w:name w:val=""/>
                  <w:enabled/>
                  <w:calcOnExit w:val="0"/>
                  <w:checkBox>
                    <w:sizeAuto/>
                    <w:default w:val="1"/>
                  </w:checkBox>
                </w:ffData>
              </w:fldChar>
            </w:r>
            <w:r w:rsidR="00977AFD">
              <w:instrText xml:space="preserve"> FORMCHECKBOX </w:instrText>
            </w:r>
            <w:r w:rsidR="00977AFD">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977AFD" w:rsidRDefault="00977AFD" w:rsidP="00977AFD">
            <w:r>
              <w:t>As reported in the last Annual Update, t</w:t>
            </w:r>
            <w:r>
              <w:t xml:space="preserve">he Academic Foundations Department was split into Developmental Language Arts and Developmental Math.  That split created two still large, but much more manageable departments.  </w:t>
            </w:r>
          </w:p>
          <w:p w:rsidR="00977AFD" w:rsidRDefault="00977AFD" w:rsidP="00977AFD"/>
          <w:p w:rsidR="00FA3BFD" w:rsidRDefault="00977AFD" w:rsidP="00977AFD">
            <w:r>
              <w:t xml:space="preserve">As a part of this transition, faculty </w:t>
            </w:r>
            <w:r>
              <w:t>have assessed</w:t>
            </w:r>
            <w:r>
              <w:t xml:space="preserve"> the priorities of our new department</w:t>
            </w:r>
            <w:r>
              <w:t xml:space="preserve"> and are focusing our energies on preparing our IRW curriculum.</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While it is clear that all faculty in the department have strong feelings of commitment to their students, it is likely that some faculty have successfully developed approaches that are particularly effective and beneficial to students.  It is recommended that the department identify best practices among its faculty based on clear evidence of student success in courses over time, communicate these practices and widely adopt those best practices that are supported by evidence</w:t>
            </w: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977AFD">
              <w:fldChar w:fldCharType="begin">
                <w:ffData>
                  <w:name w:val=""/>
                  <w:enabled/>
                  <w:calcOnExit w:val="0"/>
                  <w:checkBox>
                    <w:sizeAuto/>
                    <w:default w:val="1"/>
                  </w:checkBox>
                </w:ffData>
              </w:fldChar>
            </w:r>
            <w:r w:rsidR="00977AFD">
              <w:instrText xml:space="preserve"> FORMCHECKBOX </w:instrText>
            </w:r>
            <w:r w:rsidR="00977AFD">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Pr="006B08D1" w:rsidRDefault="00977AFD" w:rsidP="006B08D1">
            <w:r w:rsidRPr="006B08D1">
              <w:rPr>
                <w:color w:val="000000" w:themeColor="text1"/>
              </w:rPr>
              <w:t xml:space="preserve">As a part of our IRW planning, we are identifying the best practices from the separate reading and English classes, in an effort to build on that foundation for our new classes.  One faculty member has been designated to collect the artifacts of the most successful assignments.  Faculty </w:t>
            </w:r>
            <w:r w:rsidR="006B08D1" w:rsidRPr="006B08D1">
              <w:rPr>
                <w:color w:val="000000" w:themeColor="text1"/>
              </w:rPr>
              <w:t>are sharing their activities, assignments, and practices all in an effort to make our IRW courses highly engaging and effective right from the start.</w:t>
            </w:r>
            <w:r w:rsidRPr="006B08D1">
              <w:rPr>
                <w:color w:val="000000" w:themeColor="text1"/>
              </w:rPr>
              <w:t xml:space="preserve"> </w:t>
            </w:r>
          </w:p>
        </w:tc>
      </w:tr>
      <w:tr w:rsidR="00FA3BFD" w:rsidRPr="0037786D" w:rsidTr="00FA3BFD">
        <w:tc>
          <w:tcPr>
            <w:tcW w:w="3708" w:type="dxa"/>
          </w:tcPr>
          <w:p w:rsidR="00FA3BFD" w:rsidRPr="004A6644" w:rsidRDefault="00FA3BFD" w:rsidP="004A6644">
            <w:pPr>
              <w:spacing w:after="200" w:line="276" w:lineRule="auto"/>
              <w:rPr>
                <w:rFonts w:ascii="Arial" w:hAnsi="Arial" w:cs="Arial"/>
                <w:color w:val="000000"/>
              </w:rPr>
            </w:pPr>
            <w:r w:rsidRPr="004A6644">
              <w:rPr>
                <w:rFonts w:ascii="Arial" w:hAnsi="Arial" w:cs="Arial"/>
                <w:color w:val="000000"/>
              </w:rPr>
              <w:t xml:space="preserve">On a related note, the department should identify those practices currently being piloted that provide the best evidence of enhancing student learning, and find ways to scale those practices to reach a larger number of students.  Much work has been done investigating new approaches, and the department has reached a point </w:t>
            </w:r>
            <w:r w:rsidRPr="004A6644">
              <w:rPr>
                <w:rFonts w:ascii="Arial" w:hAnsi="Arial" w:cs="Arial"/>
                <w:color w:val="000000"/>
              </w:rPr>
              <w:lastRenderedPageBreak/>
              <w:t>where the most promising approaches need to be expanded to serve a greater number of students.</w:t>
            </w:r>
          </w:p>
          <w:p w:rsidR="00FA3BFD" w:rsidRPr="00654C15" w:rsidRDefault="00FA3BFD" w:rsidP="00F708FC">
            <w:pPr>
              <w:spacing w:after="200" w:line="276" w:lineRule="auto"/>
              <w:rPr>
                <w:rFonts w:ascii="Arial" w:hAnsi="Arial" w:cs="Arial"/>
                <w:color w:val="000000" w:themeColor="text1"/>
              </w:rPr>
            </w:pP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rsidR="006B08D1">
              <w:fldChar w:fldCharType="begin">
                <w:ffData>
                  <w:name w:val=""/>
                  <w:enabled/>
                  <w:calcOnExit w:val="0"/>
                  <w:checkBox>
                    <w:sizeAuto/>
                    <w:default w:val="1"/>
                  </w:checkBox>
                </w:ffData>
              </w:fldChar>
            </w:r>
            <w:r w:rsidR="006B08D1">
              <w:instrText xml:space="preserve"> FORMCHECKBOX </w:instrText>
            </w:r>
            <w:r w:rsidR="006B08D1">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Default="001203FC" w:rsidP="00EB3B44">
            <w:r>
              <w:t>We have identified a specific course, DEV-0054, that when paired with ENG-1101 has experienced consistent student success.  We are currently investigating ways to scale it up to serve a larger population.</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There are a number of support mechanisms in place that are available from Student Services – Early Alert, for example.  The department should ensure that it is taking full advantage of these support mechanisms and that it maintains a strong collaborative relationship with Student Services.  The department is asked to set goals for increasing use of these services, such as setting a goal that 100% of developmental sections will utilize Early Alert when appropriate for students in the section.</w:t>
            </w:r>
          </w:p>
        </w:tc>
        <w:tc>
          <w:tcPr>
            <w:tcW w:w="2700" w:type="dxa"/>
          </w:tcPr>
          <w:p w:rsidR="00FA3BFD" w:rsidRDefault="00FA3BFD" w:rsidP="00F708FC">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pPr>
              <w:pStyle w:val="ListParagraph"/>
              <w:ind w:left="0"/>
              <w:rPr>
                <w:rFonts w:ascii="Arial" w:hAnsi="Arial" w:cs="Arial"/>
                <w:color w:val="000000" w:themeColor="text1"/>
              </w:rPr>
            </w:pPr>
            <w:r>
              <w:rPr>
                <w:rFonts w:ascii="Arial" w:hAnsi="Arial" w:cs="Arial"/>
                <w:color w:val="000000" w:themeColor="text1"/>
              </w:rPr>
              <w:t xml:space="preserve">Completed </w:t>
            </w:r>
            <w:r w:rsidR="001203FC">
              <w:fldChar w:fldCharType="begin">
                <w:ffData>
                  <w:name w:val=""/>
                  <w:enabled/>
                  <w:calcOnExit w:val="0"/>
                  <w:checkBox>
                    <w:sizeAuto/>
                    <w:default w:val="1"/>
                  </w:checkBox>
                </w:ffData>
              </w:fldChar>
            </w:r>
            <w:r w:rsidR="001203FC">
              <w:instrText xml:space="preserve"> FORMCHECKBOX </w:instrText>
            </w:r>
            <w:r w:rsidR="001203FC">
              <w:fldChar w:fldCharType="end"/>
            </w:r>
          </w:p>
          <w:p w:rsidR="00B85B28" w:rsidRDefault="00B85B28" w:rsidP="00B85B28">
            <w:pPr>
              <w:pStyle w:val="ListParagraph"/>
              <w:ind w:left="0"/>
              <w:rPr>
                <w:rFonts w:ascii="Arial" w:hAnsi="Arial" w:cs="Arial"/>
                <w:color w:val="000000" w:themeColor="text1"/>
              </w:rPr>
            </w:pPr>
          </w:p>
          <w:p w:rsidR="00B85B28" w:rsidRDefault="00B85B28" w:rsidP="00B85B28">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51AFC">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Default="001203FC" w:rsidP="00F02320">
            <w:r>
              <w:t xml:space="preserve">All DLA faculty have been added to the Early Alert system and are using it.  </w:t>
            </w:r>
          </w:p>
        </w:tc>
      </w:tr>
    </w:tbl>
    <w:p w:rsidR="007C53BC" w:rsidRDefault="007C53BC" w:rsidP="008B4D83">
      <w:pPr>
        <w:rPr>
          <w:rFonts w:ascii="Arial" w:hAnsi="Arial" w:cs="Arial"/>
          <w:b/>
          <w:color w:val="000000" w:themeColor="text1"/>
          <w:sz w:val="20"/>
          <w:szCs w:val="20"/>
          <w:u w:val="single"/>
        </w:rPr>
      </w:pPr>
    </w:p>
    <w:p w:rsidR="007C53BC" w:rsidRDefault="007C53BC" w:rsidP="008B4D83">
      <w:pPr>
        <w:rPr>
          <w:rFonts w:ascii="Arial" w:hAnsi="Arial" w:cs="Arial"/>
          <w:b/>
          <w:color w:val="000000" w:themeColor="text1"/>
          <w:sz w:val="20"/>
          <w:szCs w:val="20"/>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7C53BC" w:rsidTr="007C53BC">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7C53BC" w:rsidRDefault="007C53BC">
            <w:r>
              <w:lastRenderedPageBreak/>
              <w:t>Please respond to the following items regarding external program accreditation.</w:t>
            </w:r>
          </w:p>
          <w:p w:rsidR="007C53BC" w:rsidRDefault="007C53BC">
            <w:pPr>
              <w:pStyle w:val="ListParagraph"/>
              <w:ind w:left="0"/>
              <w:rPr>
                <w:rFonts w:ascii="Arial" w:hAnsi="Arial" w:cs="Arial"/>
                <w:color w:val="000000" w:themeColor="text1"/>
              </w:rPr>
            </w:pPr>
          </w:p>
        </w:tc>
      </w:tr>
      <w:tr w:rsidR="007C53BC" w:rsidTr="007C53BC">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C53BC" w:rsidRDefault="007C53BC">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C53BC" w:rsidRDefault="007C53BC">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7C53BC" w:rsidRDefault="007C53BC">
            <w:pPr>
              <w:pStyle w:val="ListParagraph"/>
              <w:ind w:left="0"/>
              <w:rPr>
                <w:rFonts w:ascii="Arial" w:hAnsi="Arial" w:cs="Arial"/>
                <w:color w:val="000000" w:themeColor="text1"/>
              </w:rPr>
            </w:pPr>
          </w:p>
          <w:p w:rsidR="007C53BC" w:rsidRDefault="007C53BC">
            <w:pPr>
              <w:pStyle w:val="ListParagraph"/>
              <w:ind w:left="0"/>
              <w:rPr>
                <w:rFonts w:ascii="Arial" w:hAnsi="Arial" w:cs="Arial"/>
                <w:b/>
                <w:color w:val="000000" w:themeColor="text1"/>
              </w:rPr>
            </w:pPr>
            <w:r>
              <w:rPr>
                <w:rFonts w:ascii="Arial" w:hAnsi="Arial" w:cs="Arial"/>
                <w:b/>
                <w:color w:val="000000" w:themeColor="text1"/>
              </w:rPr>
              <w:t>OR</w:t>
            </w:r>
          </w:p>
          <w:p w:rsidR="007C53BC" w:rsidRDefault="007C53BC">
            <w:pPr>
              <w:pStyle w:val="ListParagraph"/>
              <w:ind w:left="0"/>
              <w:rPr>
                <w:rFonts w:ascii="Arial" w:hAnsi="Arial" w:cs="Arial"/>
                <w:color w:val="000000" w:themeColor="text1"/>
              </w:rPr>
            </w:pPr>
          </w:p>
          <w:p w:rsidR="007C53BC" w:rsidRDefault="007A70FC">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251AFC">
              <w:fldChar w:fldCharType="separate"/>
            </w:r>
            <w:r>
              <w:fldChar w:fldCharType="end"/>
            </w:r>
            <w:r w:rsidR="007C53BC">
              <w:t xml:space="preserve">   </w:t>
            </w:r>
            <w:r w:rsidR="007C53BC">
              <w:rPr>
                <w:rFonts w:ascii="Arial" w:hAnsi="Arial" w:cs="Arial"/>
                <w:color w:val="000000" w:themeColor="text1"/>
              </w:rPr>
              <w:t xml:space="preserve">Programs in this department do not have external accreditation </w:t>
            </w:r>
          </w:p>
        </w:tc>
      </w:tr>
      <w:tr w:rsidR="007C53BC" w:rsidTr="007C53BC">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C53BC" w:rsidRDefault="007C53BC">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C53BC" w:rsidRDefault="007C53BC">
            <w:pPr>
              <w:rPr>
                <w:rFonts w:asciiTheme="minorHAnsi" w:hAnsiTheme="minorHAnsi" w:cs="Arial"/>
                <w:color w:val="000000" w:themeColor="text1"/>
                <w:sz w:val="20"/>
              </w:rPr>
            </w:pPr>
          </w:p>
        </w:tc>
      </w:tr>
      <w:tr w:rsidR="007C53BC" w:rsidTr="007C53BC">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C53BC" w:rsidRDefault="007C53BC">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C53BC" w:rsidRDefault="007C53BC">
            <w:pPr>
              <w:rPr>
                <w:rFonts w:asciiTheme="minorHAnsi" w:hAnsiTheme="minorHAnsi" w:cs="Arial"/>
                <w:color w:val="000000" w:themeColor="text1"/>
                <w:sz w:val="20"/>
              </w:rPr>
            </w:pPr>
          </w:p>
        </w:tc>
      </w:tr>
    </w:tbl>
    <w:p w:rsidR="007C53BC" w:rsidRDefault="007C53BC" w:rsidP="008B4D83">
      <w:pPr>
        <w:rPr>
          <w:rFonts w:ascii="Arial" w:hAnsi="Arial" w:cs="Arial"/>
          <w:b/>
          <w:color w:val="000000" w:themeColor="text1"/>
          <w:sz w:val="20"/>
          <w:szCs w:val="20"/>
          <w:u w:val="single"/>
        </w:rPr>
        <w:sectPr w:rsidR="007C53BC" w:rsidSect="00180A6D">
          <w:pgSz w:w="15840" w:h="12240" w:orient="landscape"/>
          <w:pgMar w:top="1440" w:right="1152" w:bottom="1440" w:left="1152" w:header="720" w:footer="288" w:gutter="0"/>
          <w:cols w:space="720"/>
          <w:docGrid w:linePitch="360"/>
        </w:sectPr>
      </w:pPr>
    </w:p>
    <w:p w:rsidR="00791BFB" w:rsidRDefault="00791BFB" w:rsidP="00791BFB">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791BFB" w:rsidRDefault="00791BFB" w:rsidP="00791BFB">
      <w:pPr>
        <w:rPr>
          <w:rFonts w:ascii="Arial" w:hAnsi="Arial" w:cs="Arial"/>
          <w:color w:val="000000"/>
          <w:sz w:val="20"/>
          <w:szCs w:val="20"/>
        </w:rPr>
      </w:pPr>
    </w:p>
    <w:p w:rsidR="00791BFB" w:rsidRDefault="00791BFB" w:rsidP="00791BFB">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791BFB" w:rsidRDefault="00791BFB" w:rsidP="00791BFB">
      <w:pPr>
        <w:rPr>
          <w:rFonts w:ascii="Arial" w:hAnsi="Arial" w:cs="Arial"/>
          <w:color w:val="000000"/>
          <w:sz w:val="20"/>
          <w:szCs w:val="20"/>
        </w:rPr>
      </w:pPr>
    </w:p>
    <w:p w:rsidR="00791BFB" w:rsidRDefault="00791BFB" w:rsidP="00791BFB">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791BFB" w:rsidRDefault="00791BFB" w:rsidP="00791BFB">
      <w:pPr>
        <w:rPr>
          <w:rFonts w:ascii="Arial" w:hAnsi="Arial" w:cs="Arial"/>
          <w:b/>
          <w:color w:val="FF0000"/>
          <w:sz w:val="20"/>
          <w:szCs w:val="20"/>
        </w:rPr>
      </w:pPr>
    </w:p>
    <w:p w:rsidR="00791BFB" w:rsidRDefault="00791BFB" w:rsidP="00791BFB">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791BFB" w:rsidRDefault="00791BFB" w:rsidP="00791BFB">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791BFB" w:rsidRDefault="00791BFB" w:rsidP="00791BFB">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COMPUTER LITERACY </w:t>
      </w:r>
    </w:p>
    <w:p w:rsidR="00791BFB" w:rsidRDefault="00791BFB" w:rsidP="00791BFB">
      <w:pPr>
        <w:rPr>
          <w:rFonts w:ascii="Arial" w:hAnsi="Arial" w:cs="Arial"/>
          <w:b/>
          <w:color w:val="FF0000"/>
          <w:sz w:val="20"/>
          <w:szCs w:val="20"/>
        </w:rPr>
      </w:pPr>
    </w:p>
    <w:p w:rsidR="00791BFB" w:rsidRDefault="00791BFB" w:rsidP="00791BFB">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791BFB" w:rsidRDefault="00791BFB" w:rsidP="00791BFB">
      <w:pPr>
        <w:rPr>
          <w:rFonts w:ascii="Arial" w:hAnsi="Arial" w:cs="Arial"/>
          <w:b/>
          <w:color w:val="FF0000"/>
          <w:sz w:val="20"/>
          <w:szCs w:val="20"/>
        </w:rPr>
      </w:pPr>
    </w:p>
    <w:p w:rsidR="00791BFB" w:rsidRDefault="00791BFB" w:rsidP="00791BFB">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791BFB" w:rsidRDefault="00791BFB" w:rsidP="00791BFB">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791BFB" w:rsidTr="00791BFB">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91BFB" w:rsidRDefault="00791BFB">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791BFB" w:rsidRDefault="00791BFB">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791BFB" w:rsidRDefault="00791BFB">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791BFB" w:rsidRDefault="00791BFB">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791BFB" w:rsidTr="00791BFB">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91BFB" w:rsidRDefault="00791BFB">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791BFB" w:rsidRDefault="00791BF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3A1673">
            <w:pPr>
              <w:spacing w:line="256" w:lineRule="auto"/>
              <w:ind w:left="72"/>
              <w:rPr>
                <w:rFonts w:ascii="Calibri" w:hAnsi="Calibri" w:cs="Arial"/>
                <w:color w:val="000000"/>
              </w:rPr>
            </w:pPr>
            <w:r>
              <w:rPr>
                <w:rFonts w:ascii="Calibri" w:hAnsi="Calibri" w:cs="Arial"/>
                <w:color w:val="000000"/>
              </w:rPr>
              <w:t>Our courses are support for degree programs, and as such, do not assess mastery outcomes.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ind w:left="72"/>
              <w:rPr>
                <w:rFonts w:ascii="Calibri" w:hAnsi="Calibri" w:cs="Arial"/>
                <w:color w:val="000000"/>
              </w:rPr>
            </w:pPr>
          </w:p>
        </w:tc>
      </w:tr>
      <w:tr w:rsidR="00791BFB" w:rsidTr="00791BF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91BFB" w:rsidRDefault="00791BFB">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791BFB" w:rsidRDefault="00791BF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ind w:left="72"/>
              <w:rPr>
                <w:rFonts w:ascii="Calibri" w:hAnsi="Calibri" w:cs="Arial"/>
                <w:color w:val="000000"/>
              </w:rPr>
            </w:pPr>
          </w:p>
        </w:tc>
      </w:tr>
      <w:tr w:rsidR="00791BFB" w:rsidTr="00791BF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91BFB" w:rsidRDefault="00791BFB">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791BFB" w:rsidRDefault="00791BFB">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791BFB" w:rsidRDefault="00791BFB">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791BFB" w:rsidRDefault="00791BFB">
            <w:pPr>
              <w:spacing w:line="256" w:lineRule="auto"/>
              <w:ind w:left="72"/>
              <w:rPr>
                <w:rFonts w:ascii="Calibri" w:hAnsi="Calibri" w:cs="Arial"/>
                <w:color w:val="000000"/>
              </w:rPr>
            </w:pPr>
          </w:p>
        </w:tc>
      </w:tr>
      <w:tr w:rsidR="00791BFB" w:rsidTr="00791BF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791BFB" w:rsidRDefault="00791BFB">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791BFB" w:rsidRDefault="00791BFB">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791BFB" w:rsidRDefault="00791BFB">
            <w:pPr>
              <w:spacing w:line="256" w:lineRule="auto"/>
              <w:ind w:left="72"/>
              <w:rPr>
                <w:rFonts w:ascii="Calibri" w:hAnsi="Calibri" w:cs="Arial"/>
                <w:color w:val="FFFFFF"/>
              </w:rPr>
            </w:pPr>
          </w:p>
        </w:tc>
      </w:tr>
      <w:tr w:rsidR="00791BFB" w:rsidTr="00791BF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791BFB" w:rsidRDefault="00791BFB">
            <w:pPr>
              <w:tabs>
                <w:tab w:val="left" w:pos="5040"/>
              </w:tabs>
              <w:spacing w:line="256" w:lineRule="auto"/>
              <w:rPr>
                <w:rFonts w:ascii="Calibri" w:hAnsi="Calibri" w:cs="Arial"/>
                <w:color w:val="FFFFFF"/>
              </w:rPr>
            </w:pPr>
            <w:r>
              <w:rPr>
                <w:rFonts w:ascii="Calibri" w:hAnsi="Calibri" w:cs="Arial"/>
                <w:color w:val="FFFFFF"/>
              </w:rPr>
              <w:lastRenderedPageBreak/>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791BFB" w:rsidRDefault="00791BFB">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791BFB" w:rsidRDefault="00791BFB">
            <w:pPr>
              <w:spacing w:line="256" w:lineRule="auto"/>
              <w:ind w:left="72"/>
              <w:rPr>
                <w:rFonts w:ascii="Calibri" w:hAnsi="Calibri" w:cs="Arial"/>
                <w:color w:val="FFFFFF"/>
              </w:rPr>
            </w:pPr>
          </w:p>
        </w:tc>
      </w:tr>
      <w:tr w:rsidR="00791BFB" w:rsidTr="00791BFB">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791BFB" w:rsidRDefault="00791BFB">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791BFB" w:rsidRDefault="00791BFB">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791BFB" w:rsidRDefault="00791BFB">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791BFB" w:rsidRDefault="00791BFB">
            <w:pPr>
              <w:spacing w:line="256" w:lineRule="auto"/>
              <w:ind w:left="72"/>
              <w:rPr>
                <w:rFonts w:ascii="Calibri" w:hAnsi="Calibri" w:cs="Arial"/>
                <w:color w:val="FFFFFF"/>
              </w:rPr>
            </w:pPr>
          </w:p>
        </w:tc>
      </w:tr>
      <w:tr w:rsidR="00791BFB" w:rsidTr="00B85B2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791BFB" w:rsidRDefault="00791BFB">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b/>
                <w:color w:val="000000"/>
              </w:rPr>
            </w:pPr>
            <w:r>
              <w:rPr>
                <w:rFonts w:ascii="Calibri" w:hAnsi="Calibri" w:cs="Arial"/>
                <w:b/>
                <w:color w:val="000000"/>
              </w:rPr>
              <w:t>OPTIONAL FOR FY 2014-15</w:t>
            </w: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tc>
      </w:tr>
      <w:tr w:rsidR="00791BFB" w:rsidTr="00B85B2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791BFB" w:rsidRDefault="00791BFB">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791BFB" w:rsidRDefault="00791BFB">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b/>
                <w:color w:val="000000"/>
              </w:rPr>
            </w:pPr>
            <w:r>
              <w:rPr>
                <w:rFonts w:ascii="Calibri" w:hAnsi="Calibri" w:cs="Arial"/>
                <w:b/>
                <w:color w:val="000000"/>
              </w:rPr>
              <w:t>OPTIONAL FOR FY 2014-15</w:t>
            </w: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p w:rsidR="00791BFB" w:rsidRDefault="00791BFB">
            <w:pPr>
              <w:spacing w:line="256" w:lineRule="auto"/>
              <w:ind w:left="72"/>
              <w:rPr>
                <w:rFonts w:ascii="Calibri" w:hAnsi="Calibri" w:cs="Arial"/>
                <w:color w:val="000000"/>
              </w:rPr>
            </w:pPr>
          </w:p>
        </w:tc>
      </w:tr>
    </w:tbl>
    <w:p w:rsidR="00791BFB" w:rsidRDefault="00791BFB" w:rsidP="00791BFB"/>
    <w:p w:rsidR="00791BFB" w:rsidRDefault="00791BFB" w:rsidP="00791BFB"/>
    <w:p w:rsidR="00791BFB" w:rsidRDefault="00791BFB" w:rsidP="00791BFB">
      <w:pPr>
        <w:ind w:left="900"/>
        <w:rPr>
          <w:rFonts w:ascii="Arial" w:hAnsi="Arial" w:cs="Arial"/>
          <w:b/>
          <w:color w:val="000000"/>
          <w:u w:val="single"/>
        </w:rPr>
      </w:pPr>
    </w:p>
    <w:p w:rsidR="00791BFB" w:rsidRDefault="00791BFB" w:rsidP="00791BFB">
      <w:pPr>
        <w:rPr>
          <w:rFonts w:ascii="Arial" w:hAnsi="Arial" w:cs="Arial"/>
          <w:b/>
          <w:color w:val="000000"/>
          <w:u w:val="single"/>
        </w:rPr>
        <w:sectPr w:rsidR="00791BFB">
          <w:pgSz w:w="15840" w:h="12240" w:orient="landscape"/>
          <w:pgMar w:top="1440" w:right="1152" w:bottom="1440" w:left="1152" w:header="720" w:footer="288" w:gutter="0"/>
          <w:cols w:space="720"/>
        </w:sectPr>
      </w:pPr>
    </w:p>
    <w:p w:rsidR="008B4D83" w:rsidRDefault="008B4D83" w:rsidP="008B4D83"/>
    <w:p w:rsidR="008B4D83" w:rsidRDefault="008B4D83" w:rsidP="00D708C3">
      <w:pPr>
        <w:rPr>
          <w:rFonts w:ascii="Arial" w:hAnsi="Arial" w:cs="Arial"/>
          <w:b/>
          <w:color w:val="000000" w:themeColor="text1"/>
          <w:u w:val="single"/>
        </w:rPr>
      </w:pPr>
    </w:p>
    <w:p w:rsidR="008B4D83" w:rsidRDefault="008B4D83"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FA3BFD">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708FC">
            <w:pPr>
              <w:jc w:val="center"/>
              <w:rPr>
                <w:rFonts w:asciiTheme="minorHAnsi" w:hAnsiTheme="minorHAnsi" w:cs="Arial"/>
                <w:color w:val="000000" w:themeColor="text1"/>
                <w:sz w:val="20"/>
              </w:rPr>
            </w:pPr>
          </w:p>
        </w:tc>
        <w:tc>
          <w:tcPr>
            <w:tcW w:w="4028"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A3BFD" w:rsidRPr="004C52FC" w:rsidTr="00FA3BFD">
        <w:trPr>
          <w:trHeight w:val="274"/>
        </w:trPr>
        <w:tc>
          <w:tcPr>
            <w:tcW w:w="3708" w:type="dxa"/>
            <w:shd w:val="clear" w:color="auto" w:fill="FFFFFF"/>
            <w:vAlign w:val="center"/>
          </w:tcPr>
          <w:p w:rsidR="00FA3BFD" w:rsidRDefault="00FA3BFD" w:rsidP="004A6644">
            <w:pPr>
              <w:rPr>
                <w:rFonts w:ascii="Arial" w:hAnsi="Arial"/>
              </w:rPr>
            </w:pPr>
            <w:r>
              <w:rPr>
                <w:rFonts w:ascii="Arial" w:hAnsi="Arial"/>
              </w:rPr>
              <w:t>Demonstrate effective written communication skills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Pr="00740DBC" w:rsidRDefault="00740DBC" w:rsidP="00740DBC">
            <w:pPr>
              <w:jc w:val="center"/>
              <w:rPr>
                <w:sz w:val="20"/>
                <w:szCs w:val="20"/>
              </w:rPr>
            </w:pPr>
            <w:r w:rsidRPr="00740DBC">
              <w:rPr>
                <w:sz w:val="20"/>
                <w:szCs w:val="20"/>
              </w:rPr>
              <w:t>DEV 0082</w:t>
            </w:r>
          </w:p>
        </w:tc>
        <w:tc>
          <w:tcPr>
            <w:tcW w:w="1430" w:type="dxa"/>
            <w:shd w:val="clear" w:color="auto" w:fill="auto"/>
          </w:tcPr>
          <w:p w:rsidR="00FA3BFD" w:rsidRPr="004C52FC" w:rsidRDefault="00740DBC" w:rsidP="00247BC8">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740DBC"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3A1673" w:rsidP="00247BC8">
            <w:pPr>
              <w:ind w:left="72"/>
              <w:rPr>
                <w:rFonts w:asciiTheme="minorHAnsi" w:hAnsiTheme="minorHAnsi" w:cs="Arial"/>
                <w:color w:val="000000" w:themeColor="text1"/>
              </w:rPr>
            </w:pPr>
            <w:r>
              <w:rPr>
                <w:rFonts w:ascii="Calibri" w:hAnsi="Calibri" w:cs="Arial"/>
                <w:color w:val="000000"/>
              </w:rPr>
              <w:t>Our courses are support for degree programs, and as such, do not assess mastery outcomes.</w:t>
            </w:r>
          </w:p>
        </w:tc>
      </w:tr>
      <w:tr w:rsidR="00FA3BFD" w:rsidRPr="004C52FC" w:rsidTr="00FA3BFD">
        <w:trPr>
          <w:trHeight w:val="72"/>
        </w:trPr>
        <w:tc>
          <w:tcPr>
            <w:tcW w:w="3708" w:type="dxa"/>
            <w:shd w:val="clear" w:color="auto" w:fill="FFFFFF"/>
            <w:vAlign w:val="center"/>
          </w:tcPr>
          <w:p w:rsidR="00FA3BFD" w:rsidRDefault="00FA3BFD" w:rsidP="004A6644">
            <w:pPr>
              <w:rPr>
                <w:rFonts w:ascii="Arial" w:hAnsi="Arial"/>
              </w:rPr>
            </w:pPr>
            <w:r>
              <w:rPr>
                <w:rFonts w:ascii="Arial" w:hAnsi="Arial"/>
              </w:rPr>
              <w:t>Demonstrate effective verbal communication skills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Default="00740DBC" w:rsidP="00740DBC">
            <w:pPr>
              <w:jc w:val="center"/>
              <w:rPr>
                <w:b/>
              </w:rPr>
            </w:pPr>
            <w:r w:rsidRPr="00740DBC">
              <w:rPr>
                <w:sz w:val="20"/>
                <w:szCs w:val="20"/>
              </w:rPr>
              <w:t>DEV 0082</w:t>
            </w:r>
          </w:p>
        </w:tc>
        <w:tc>
          <w:tcPr>
            <w:tcW w:w="1430" w:type="dxa"/>
            <w:shd w:val="clear" w:color="auto" w:fill="auto"/>
          </w:tcPr>
          <w:p w:rsidR="00FA3BFD" w:rsidRPr="004C52FC" w:rsidRDefault="00740DBC" w:rsidP="001749E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740DBC" w:rsidP="001749E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3A1673" w:rsidP="001749E7">
            <w:pPr>
              <w:ind w:left="72"/>
              <w:rPr>
                <w:rFonts w:asciiTheme="minorHAnsi" w:hAnsiTheme="minorHAnsi" w:cs="Arial"/>
                <w:color w:val="000000" w:themeColor="text1"/>
              </w:rPr>
            </w:pPr>
            <w:r>
              <w:rPr>
                <w:rFonts w:ascii="Calibri" w:hAnsi="Calibri" w:cs="Arial"/>
                <w:color w:val="000000"/>
              </w:rPr>
              <w:t>Our courses are support for degree programs, and as such, do not assess mastery outcomes.</w:t>
            </w:r>
          </w:p>
        </w:tc>
      </w:tr>
      <w:tr w:rsidR="00FA3BFD" w:rsidRPr="004C52FC" w:rsidTr="00FA3BFD">
        <w:trPr>
          <w:trHeight w:val="72"/>
        </w:trPr>
        <w:tc>
          <w:tcPr>
            <w:tcW w:w="3708" w:type="dxa"/>
            <w:shd w:val="clear" w:color="auto" w:fill="FFFFFF"/>
            <w:vAlign w:val="center"/>
          </w:tcPr>
          <w:p w:rsidR="00FA3BFD" w:rsidRDefault="00FA3BFD" w:rsidP="004A6644">
            <w:pPr>
              <w:rPr>
                <w:b/>
              </w:rPr>
            </w:pPr>
            <w:r>
              <w:rPr>
                <w:rFonts w:ascii="Arial" w:hAnsi="Arial"/>
              </w:rPr>
              <w:t>Demonstrate creative and critical thinking skills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lastRenderedPageBreak/>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Pr="00622025" w:rsidRDefault="00740DBC" w:rsidP="00740DBC">
            <w:pPr>
              <w:jc w:val="center"/>
              <w:rPr>
                <w:b/>
                <w:i/>
              </w:rPr>
            </w:pPr>
            <w:r w:rsidRPr="00740DBC">
              <w:rPr>
                <w:sz w:val="20"/>
                <w:szCs w:val="20"/>
              </w:rPr>
              <w:t>DEV 0082</w:t>
            </w:r>
          </w:p>
        </w:tc>
        <w:tc>
          <w:tcPr>
            <w:tcW w:w="1430" w:type="dxa"/>
            <w:shd w:val="clear" w:color="auto" w:fill="auto"/>
          </w:tcPr>
          <w:p w:rsidR="00FA3BFD" w:rsidRPr="004C52FC" w:rsidRDefault="00561F0D" w:rsidP="00F708FC">
            <w:pPr>
              <w:rPr>
                <w:rFonts w:asciiTheme="minorHAnsi" w:hAnsiTheme="minorHAnsi" w:cs="Arial"/>
                <w:color w:val="000000" w:themeColor="text1"/>
              </w:rPr>
            </w:pPr>
            <w:r w:rsidRPr="00F433AF">
              <w:rPr>
                <w:rFonts w:ascii="Arial" w:hAnsi="Arial" w:cs="Arial"/>
                <w:color w:val="000000" w:themeColor="text1"/>
              </w:rPr>
              <w:lastRenderedPageBreak/>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561F0D"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3A1673" w:rsidP="00F708FC">
            <w:pPr>
              <w:ind w:left="72"/>
              <w:rPr>
                <w:rFonts w:asciiTheme="minorHAnsi" w:hAnsiTheme="minorHAnsi" w:cs="Arial"/>
                <w:color w:val="000000" w:themeColor="text1"/>
              </w:rPr>
            </w:pPr>
            <w:r>
              <w:rPr>
                <w:rFonts w:ascii="Calibri" w:hAnsi="Calibri" w:cs="Arial"/>
                <w:color w:val="000000"/>
              </w:rPr>
              <w:t>Our courses are support for degree programs, and as such, do not assess mastery outcomes.</w:t>
            </w:r>
          </w:p>
        </w:tc>
      </w:tr>
      <w:tr w:rsidR="00FA3BFD" w:rsidRPr="004C52FC" w:rsidTr="00FA3BFD">
        <w:tblPrEx>
          <w:shd w:val="clear" w:color="auto" w:fill="auto"/>
          <w:tblLook w:val="04A0" w:firstRow="1" w:lastRow="0" w:firstColumn="1" w:lastColumn="0" w:noHBand="0" w:noVBand="1"/>
        </w:tblPrEx>
        <w:trPr>
          <w:trHeight w:val="72"/>
        </w:trPr>
        <w:tc>
          <w:tcPr>
            <w:tcW w:w="3708" w:type="dxa"/>
            <w:vAlign w:val="center"/>
          </w:tcPr>
          <w:p w:rsidR="00FA3BFD" w:rsidRDefault="00FA3BFD" w:rsidP="004A6644">
            <w:pPr>
              <w:rPr>
                <w:b/>
              </w:rPr>
            </w:pPr>
            <w:r>
              <w:rPr>
                <w:rFonts w:ascii="Arial" w:hAnsi="Arial"/>
              </w:rPr>
              <w:lastRenderedPageBreak/>
              <w:t>Demonstrate a basic understanding and use of computer and information literacy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Default="00740DBC" w:rsidP="00740DBC">
            <w:pPr>
              <w:jc w:val="center"/>
              <w:rPr>
                <w:b/>
              </w:rPr>
            </w:pPr>
            <w:r w:rsidRPr="00740DBC">
              <w:rPr>
                <w:sz w:val="20"/>
                <w:szCs w:val="20"/>
              </w:rPr>
              <w:t>DEV 0082</w:t>
            </w:r>
          </w:p>
        </w:tc>
        <w:tc>
          <w:tcPr>
            <w:tcW w:w="1430" w:type="dxa"/>
          </w:tcPr>
          <w:p w:rsidR="00FA3BFD" w:rsidRPr="004C52FC" w:rsidRDefault="00561F0D" w:rsidP="00F708FC">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561F0D"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3A1673" w:rsidP="00247BC8">
            <w:pPr>
              <w:ind w:left="72"/>
              <w:rPr>
                <w:rFonts w:asciiTheme="minorHAnsi" w:hAnsiTheme="minorHAnsi" w:cs="Arial"/>
                <w:color w:val="000000" w:themeColor="text1"/>
              </w:rPr>
            </w:pPr>
            <w:r>
              <w:rPr>
                <w:rFonts w:ascii="Calibri" w:hAnsi="Calibri" w:cs="Arial"/>
                <w:color w:val="000000"/>
              </w:rPr>
              <w:t>Our courses are support for degree programs, and as such, do not assess mastery outcomes.</w:t>
            </w:r>
          </w:p>
        </w:tc>
      </w:tr>
      <w:tr w:rsidR="004A6644" w:rsidRPr="004C52FC" w:rsidTr="00FA3BFD">
        <w:tblPrEx>
          <w:shd w:val="clear" w:color="auto" w:fill="auto"/>
          <w:tblLook w:val="04A0" w:firstRow="1" w:lastRow="0" w:firstColumn="1" w:lastColumn="0" w:noHBand="0" w:noVBand="1"/>
        </w:tblPrEx>
        <w:trPr>
          <w:trHeight w:val="72"/>
        </w:trPr>
        <w:tc>
          <w:tcPr>
            <w:tcW w:w="3708" w:type="dxa"/>
            <w:vAlign w:val="center"/>
          </w:tcPr>
          <w:p w:rsidR="004A6644" w:rsidRDefault="004A6644" w:rsidP="004A6644">
            <w:pPr>
              <w:rPr>
                <w:b/>
              </w:rPr>
            </w:pPr>
            <w:r>
              <w:rPr>
                <w:rFonts w:ascii="Arial" w:hAnsi="Arial"/>
              </w:rPr>
              <w:t>Demonstrate a sense of citizenship and community and a sense of values towards oneself and others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4A6644" w:rsidRDefault="00740DBC" w:rsidP="00740DBC">
            <w:pPr>
              <w:jc w:val="center"/>
              <w:rPr>
                <w:b/>
              </w:rPr>
            </w:pPr>
            <w:r w:rsidRPr="00740DBC">
              <w:rPr>
                <w:sz w:val="20"/>
                <w:szCs w:val="20"/>
              </w:rPr>
              <w:t>DEV 0082</w:t>
            </w:r>
          </w:p>
        </w:tc>
        <w:tc>
          <w:tcPr>
            <w:tcW w:w="1430" w:type="dxa"/>
          </w:tcPr>
          <w:p w:rsidR="004A6644" w:rsidRPr="004C52FC" w:rsidRDefault="00561F0D" w:rsidP="00FA3BFD">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4A6644" w:rsidRPr="004C52FC" w:rsidRDefault="00561F0D" w:rsidP="004A6644">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4A6644" w:rsidRPr="004C52FC" w:rsidRDefault="003A1673" w:rsidP="00247BC8">
            <w:pPr>
              <w:ind w:left="72"/>
              <w:rPr>
                <w:rFonts w:asciiTheme="minorHAnsi" w:hAnsiTheme="minorHAnsi" w:cs="Arial"/>
                <w:color w:val="000000" w:themeColor="text1"/>
              </w:rPr>
            </w:pPr>
            <w:r>
              <w:rPr>
                <w:rFonts w:ascii="Calibri" w:hAnsi="Calibri" w:cs="Arial"/>
                <w:color w:val="000000"/>
              </w:rPr>
              <w:t>Our courses are support for degree programs, and as such, do not assess mastery outcomes.</w:t>
            </w:r>
            <w:bookmarkStart w:id="1" w:name="_GoBack"/>
            <w:bookmarkEnd w:id="1"/>
          </w:p>
        </w:tc>
      </w:tr>
    </w:tbl>
    <w:p w:rsidR="004604FB" w:rsidRDefault="004604FB" w:rsidP="00FD126E">
      <w:pPr>
        <w:tabs>
          <w:tab w:val="left" w:pos="5040"/>
        </w:tabs>
        <w:rPr>
          <w:rFonts w:ascii="Arial" w:hAnsi="Arial" w:cs="Arial"/>
          <w:color w:val="000000" w:themeColor="text1"/>
        </w:rPr>
      </w:pPr>
    </w:p>
    <w:p w:rsidR="00FD126E" w:rsidRDefault="00FD126E" w:rsidP="00FD126E">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FD126E" w:rsidTr="00FD126E">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D126E" w:rsidRDefault="00FD126E">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FD126E" w:rsidRDefault="00FD126E">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D126E" w:rsidRDefault="00FD126E">
            <w:pPr>
              <w:pStyle w:val="ListParagraph"/>
              <w:tabs>
                <w:tab w:val="left" w:pos="5040"/>
              </w:tabs>
              <w:ind w:left="0"/>
              <w:rPr>
                <w:rFonts w:ascii="Arial" w:hAnsi="Arial" w:cs="Arial"/>
                <w:color w:val="000000" w:themeColor="text1"/>
              </w:rPr>
            </w:pPr>
          </w:p>
        </w:tc>
      </w:tr>
      <w:tr w:rsidR="00FD126E" w:rsidTr="00FD126E">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D126E" w:rsidRDefault="00FD126E">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FD126E" w:rsidRDefault="00FD126E">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D126E" w:rsidRDefault="00FD126E">
            <w:pPr>
              <w:pStyle w:val="ListParagraph"/>
              <w:tabs>
                <w:tab w:val="left" w:pos="5040"/>
              </w:tabs>
              <w:ind w:left="0"/>
              <w:rPr>
                <w:rFonts w:ascii="Arial" w:hAnsi="Arial" w:cs="Arial"/>
                <w:color w:val="000000" w:themeColor="text1"/>
              </w:rPr>
            </w:pPr>
          </w:p>
        </w:tc>
      </w:tr>
    </w:tbl>
    <w:p w:rsidR="00FD126E" w:rsidRPr="00FD126E" w:rsidRDefault="00FD126E" w:rsidP="00FD126E">
      <w:pPr>
        <w:tabs>
          <w:tab w:val="left" w:pos="5040"/>
        </w:tabs>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FD126E" w:rsidRDefault="00FD126E">
      <w:pPr>
        <w:spacing w:after="200" w:line="276" w:lineRule="auto"/>
        <w:rPr>
          <w:rFonts w:ascii="Arial" w:hAnsi="Arial" w:cs="Arial"/>
          <w:b/>
          <w:color w:val="000000" w:themeColor="text1"/>
        </w:rPr>
      </w:pPr>
      <w:r>
        <w:rPr>
          <w:rFonts w:ascii="Arial" w:hAnsi="Arial" w:cs="Arial"/>
          <w:b/>
          <w:color w:val="000000" w:themeColor="text1"/>
        </w:rPr>
        <w:br w:type="page"/>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4A6644">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10-11</w:t>
            </w:r>
          </w:p>
        </w:tc>
      </w:tr>
      <w:tr w:rsidR="00952FA6" w:rsidRPr="008F41A6" w:rsidTr="004A6644">
        <w:trPr>
          <w:trHeight w:val="300"/>
        </w:trPr>
        <w:tc>
          <w:tcPr>
            <w:tcW w:w="1307"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Pr="004A6644" w:rsidRDefault="004A6644">
            <w:pPr>
              <w:rPr>
                <w:rFonts w:ascii="Calibri" w:hAnsi="Calibri"/>
                <w:color w:val="FF0000"/>
              </w:rPr>
            </w:pPr>
            <w:r w:rsidRPr="004A6644">
              <w:rPr>
                <w:rFonts w:ascii="Calibri" w:hAnsi="Calibri"/>
                <w:color w:val="FF0000"/>
              </w:rPr>
              <w:t>NOT APPLICABLE</w:t>
            </w: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bl>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BF68D2" w:rsidRPr="00BF68D2" w:rsidTr="00BF68D2">
        <w:trPr>
          <w:trHeight w:val="300"/>
        </w:trPr>
        <w:tc>
          <w:tcPr>
            <w:tcW w:w="1420" w:type="dxa"/>
            <w:tcBorders>
              <w:top w:val="nil"/>
              <w:left w:val="nil"/>
              <w:bottom w:val="nil"/>
              <w:right w:val="nil"/>
            </w:tcBorders>
            <w:shd w:val="clear" w:color="auto" w:fill="auto"/>
            <w:hideMark/>
          </w:tcPr>
          <w:p w:rsidR="00BF68D2" w:rsidRPr="00BF68D2" w:rsidRDefault="00BF68D2" w:rsidP="00BF68D2">
            <w:pPr>
              <w:rPr>
                <w:rFonts w:ascii="Calibri" w:hAnsi="Calibri"/>
                <w:b/>
                <w:bCs/>
                <w:color w:val="000000"/>
                <w:sz w:val="22"/>
                <w:szCs w:val="22"/>
              </w:rPr>
            </w:pPr>
            <w:r w:rsidRPr="00BF68D2">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BF68D2" w:rsidRPr="00BF68D2" w:rsidRDefault="00BF68D2" w:rsidP="00BF68D2">
            <w:pPr>
              <w:rPr>
                <w:rFonts w:ascii="Calibri" w:hAnsi="Calibri"/>
                <w:b/>
                <w:bCs/>
                <w:color w:val="000000"/>
                <w:sz w:val="22"/>
                <w:szCs w:val="22"/>
              </w:rPr>
            </w:pPr>
            <w:r w:rsidRPr="00BF68D2">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BF68D2" w:rsidRPr="00BF68D2" w:rsidRDefault="00BF68D2" w:rsidP="00BF68D2">
            <w:pPr>
              <w:rPr>
                <w:rFonts w:ascii="Calibri" w:hAnsi="Calibri"/>
                <w:b/>
                <w:bCs/>
                <w:color w:val="000000"/>
                <w:sz w:val="22"/>
                <w:szCs w:val="22"/>
              </w:rPr>
            </w:pPr>
            <w:r w:rsidRPr="00BF68D2">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BF68D2" w:rsidRPr="00BF68D2" w:rsidRDefault="00BF68D2" w:rsidP="00BF68D2">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BF68D2" w:rsidRPr="00BF68D2" w:rsidRDefault="00BF68D2" w:rsidP="00BF68D2">
            <w:pPr>
              <w:jc w:val="center"/>
              <w:rPr>
                <w:rFonts w:ascii="Calibri" w:hAnsi="Calibri"/>
                <w:b/>
                <w:bCs/>
                <w:color w:val="000000"/>
                <w:sz w:val="22"/>
                <w:szCs w:val="22"/>
              </w:rPr>
            </w:pPr>
            <w:r w:rsidRPr="00BF68D2">
              <w:rPr>
                <w:rFonts w:ascii="Calibri" w:hAnsi="Calibri"/>
                <w:b/>
                <w:bCs/>
                <w:color w:val="000000"/>
                <w:sz w:val="22"/>
                <w:szCs w:val="22"/>
              </w:rPr>
              <w:t>FY 13-14</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DEV-0010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51.4%</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58.1%</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DEV-0012</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62.6%</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65.1%</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DEV-0030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54.0%</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59.2%</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DEV-0032</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60.7%</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65.7%</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DEV-0044</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55.3%</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76.9%</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DEV-0054</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88.1%</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75.0%</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DEV-0060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94.1%</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DEV-0062</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88.7%</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DEV-0080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93.3%</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DEV-0082</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89.5%</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ESL-0120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78.9%</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ESL-0125</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69.2%</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ESL-0130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76.4%</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72.7%</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ESL-0135</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86.3%</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ESL-0140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73.7%</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85.4%</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ESL-0145</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89.6%</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93.9%</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ESL-0150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68.2%</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75.0%</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lastRenderedPageBreak/>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ESL-0170</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87.0%</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84.2%</w:t>
            </w:r>
          </w:p>
        </w:tc>
      </w:tr>
      <w:tr w:rsidR="00BF68D2" w:rsidRPr="00BF68D2" w:rsidTr="00BF68D2">
        <w:trPr>
          <w:trHeight w:val="300"/>
        </w:trPr>
        <w:tc>
          <w:tcPr>
            <w:tcW w:w="14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ESL-0190</w:t>
            </w:r>
          </w:p>
        </w:tc>
        <w:tc>
          <w:tcPr>
            <w:tcW w:w="460" w:type="dxa"/>
            <w:tcBorders>
              <w:top w:val="nil"/>
              <w:left w:val="nil"/>
              <w:bottom w:val="nil"/>
              <w:right w:val="nil"/>
            </w:tcBorders>
            <w:shd w:val="clear" w:color="auto" w:fill="auto"/>
            <w:noWrap/>
            <w:vAlign w:val="bottom"/>
            <w:hideMark/>
          </w:tcPr>
          <w:p w:rsidR="00BF68D2" w:rsidRPr="00BF68D2" w:rsidRDefault="00BF68D2" w:rsidP="00BF68D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77.2%</w:t>
            </w:r>
          </w:p>
        </w:tc>
        <w:tc>
          <w:tcPr>
            <w:tcW w:w="940" w:type="dxa"/>
            <w:tcBorders>
              <w:top w:val="nil"/>
              <w:left w:val="nil"/>
              <w:bottom w:val="nil"/>
              <w:right w:val="nil"/>
            </w:tcBorders>
            <w:shd w:val="clear" w:color="auto" w:fill="auto"/>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80.0%</w:t>
            </w:r>
          </w:p>
        </w:tc>
      </w:tr>
      <w:tr w:rsidR="00BF68D2" w:rsidRPr="00BF68D2" w:rsidTr="00BF68D2">
        <w:trPr>
          <w:trHeight w:val="300"/>
        </w:trPr>
        <w:tc>
          <w:tcPr>
            <w:tcW w:w="14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0711</w:t>
            </w:r>
          </w:p>
        </w:tc>
        <w:tc>
          <w:tcPr>
            <w:tcW w:w="322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Developmental Language Arts</w:t>
            </w:r>
          </w:p>
        </w:tc>
        <w:tc>
          <w:tcPr>
            <w:tcW w:w="17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ESL-2297</w:t>
            </w:r>
          </w:p>
        </w:tc>
        <w:tc>
          <w:tcPr>
            <w:tcW w:w="460" w:type="dxa"/>
            <w:tcBorders>
              <w:top w:val="nil"/>
              <w:left w:val="nil"/>
              <w:bottom w:val="nil"/>
              <w:right w:val="nil"/>
            </w:tcBorders>
            <w:shd w:val="clear" w:color="000000" w:fill="D9D9D9"/>
            <w:noWrap/>
            <w:vAlign w:val="bottom"/>
            <w:hideMark/>
          </w:tcPr>
          <w:p w:rsidR="00BF68D2" w:rsidRPr="00BF68D2" w:rsidRDefault="00BF68D2" w:rsidP="00BF68D2">
            <w:pPr>
              <w:rPr>
                <w:rFonts w:ascii="Calibri" w:hAnsi="Calibri"/>
                <w:color w:val="000000"/>
                <w:sz w:val="22"/>
                <w:szCs w:val="22"/>
              </w:rPr>
            </w:pPr>
            <w:r w:rsidRPr="00BF68D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BF68D2" w:rsidRPr="00BF68D2" w:rsidRDefault="00BF68D2" w:rsidP="00BF68D2">
            <w:pPr>
              <w:jc w:val="right"/>
              <w:rPr>
                <w:rFonts w:ascii="Calibri" w:hAnsi="Calibri"/>
                <w:color w:val="000000"/>
                <w:sz w:val="22"/>
                <w:szCs w:val="22"/>
              </w:rPr>
            </w:pPr>
            <w:r w:rsidRPr="00BF68D2">
              <w:rPr>
                <w:rFonts w:ascii="Calibri" w:hAnsi="Calibri"/>
                <w:color w:val="000000"/>
                <w:sz w:val="22"/>
                <w:szCs w:val="22"/>
              </w:rPr>
              <w:t>58.6%</w:t>
            </w:r>
          </w:p>
        </w:tc>
      </w:tr>
    </w:tbl>
    <w:p w:rsidR="00BF68D2" w:rsidRDefault="00BF68D2" w:rsidP="00B61D81">
      <w:pPr>
        <w:spacing w:after="200" w:line="276" w:lineRule="auto"/>
        <w:rPr>
          <w:rFonts w:ascii="Arial" w:hAnsi="Arial" w:cs="Arial"/>
          <w:b/>
          <w:color w:val="000000" w:themeColor="text1"/>
        </w:rPr>
      </w:pPr>
    </w:p>
    <w:sectPr w:rsidR="00BF68D2" w:rsidSect="00FD53E6">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AFC" w:rsidRDefault="00251AFC" w:rsidP="0094204C">
      <w:r>
        <w:separator/>
      </w:r>
    </w:p>
  </w:endnote>
  <w:endnote w:type="continuationSeparator" w:id="0">
    <w:p w:rsidR="00251AFC" w:rsidRDefault="00251AF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251AFC" w:rsidRDefault="00251AFC">
        <w:pPr>
          <w:pStyle w:val="Footer"/>
          <w:jc w:val="right"/>
        </w:pPr>
        <w:r>
          <w:fldChar w:fldCharType="begin"/>
        </w:r>
        <w:r>
          <w:instrText xml:space="preserve"> PAGE   \* MERGEFORMAT </w:instrText>
        </w:r>
        <w:r>
          <w:fldChar w:fldCharType="separate"/>
        </w:r>
        <w:r w:rsidR="003A1673">
          <w:rPr>
            <w:noProof/>
          </w:rPr>
          <w:t>18</w:t>
        </w:r>
        <w:r>
          <w:rPr>
            <w:noProof/>
          </w:rPr>
          <w:fldChar w:fldCharType="end"/>
        </w:r>
      </w:p>
    </w:sdtContent>
  </w:sdt>
  <w:p w:rsidR="00251AFC" w:rsidRDefault="00251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AFC" w:rsidRDefault="00251AFC" w:rsidP="0094204C">
      <w:r>
        <w:separator/>
      </w:r>
    </w:p>
  </w:footnote>
  <w:footnote w:type="continuationSeparator" w:id="0">
    <w:p w:rsidR="00251AFC" w:rsidRDefault="00251AF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2"/>
  </w:num>
  <w:num w:numId="6">
    <w:abstractNumId w:val="6"/>
  </w:num>
  <w:num w:numId="7">
    <w:abstractNumId w:val="11"/>
  </w:num>
  <w:num w:numId="8">
    <w:abstractNumId w:val="9"/>
  </w:num>
  <w:num w:numId="9">
    <w:abstractNumId w:val="1"/>
  </w:num>
  <w:num w:numId="10">
    <w:abstractNumId w:val="12"/>
  </w:num>
  <w:num w:numId="11">
    <w:abstractNumId w:val="0"/>
  </w:num>
  <w:num w:numId="12">
    <w:abstractNumId w:val="10"/>
  </w:num>
  <w:num w:numId="13">
    <w:abstractNumId w:val="13"/>
  </w:num>
  <w:num w:numId="14">
    <w:abstractNumId w:val="3"/>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79EB"/>
    <w:rsid w:val="000337E6"/>
    <w:rsid w:val="00034CE6"/>
    <w:rsid w:val="00036DF9"/>
    <w:rsid w:val="0005178A"/>
    <w:rsid w:val="00054BFD"/>
    <w:rsid w:val="00056964"/>
    <w:rsid w:val="000616F3"/>
    <w:rsid w:val="00063778"/>
    <w:rsid w:val="00065129"/>
    <w:rsid w:val="000738FE"/>
    <w:rsid w:val="00074BD5"/>
    <w:rsid w:val="00080933"/>
    <w:rsid w:val="00097843"/>
    <w:rsid w:val="000A089D"/>
    <w:rsid w:val="000A2A44"/>
    <w:rsid w:val="000A4EE0"/>
    <w:rsid w:val="000B0B18"/>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3FC"/>
    <w:rsid w:val="00120E81"/>
    <w:rsid w:val="001240D0"/>
    <w:rsid w:val="001324D2"/>
    <w:rsid w:val="00142776"/>
    <w:rsid w:val="001532B7"/>
    <w:rsid w:val="001628B1"/>
    <w:rsid w:val="001642EA"/>
    <w:rsid w:val="001749E7"/>
    <w:rsid w:val="00174C4B"/>
    <w:rsid w:val="001803A0"/>
    <w:rsid w:val="00180A6D"/>
    <w:rsid w:val="00181457"/>
    <w:rsid w:val="00183806"/>
    <w:rsid w:val="00183A7F"/>
    <w:rsid w:val="00184AE5"/>
    <w:rsid w:val="0018798A"/>
    <w:rsid w:val="00190F5C"/>
    <w:rsid w:val="0019135D"/>
    <w:rsid w:val="00195B7B"/>
    <w:rsid w:val="001A1B67"/>
    <w:rsid w:val="001A7110"/>
    <w:rsid w:val="001A7AF7"/>
    <w:rsid w:val="001B6007"/>
    <w:rsid w:val="001C202C"/>
    <w:rsid w:val="001C42D0"/>
    <w:rsid w:val="001C5DC3"/>
    <w:rsid w:val="001D3E1D"/>
    <w:rsid w:val="001D5757"/>
    <w:rsid w:val="001D7080"/>
    <w:rsid w:val="001D736E"/>
    <w:rsid w:val="001E0764"/>
    <w:rsid w:val="001E7137"/>
    <w:rsid w:val="001E7C3D"/>
    <w:rsid w:val="001F4B9E"/>
    <w:rsid w:val="002105E7"/>
    <w:rsid w:val="00210FF3"/>
    <w:rsid w:val="002245AB"/>
    <w:rsid w:val="0022692B"/>
    <w:rsid w:val="002315EE"/>
    <w:rsid w:val="00247BC8"/>
    <w:rsid w:val="00251AFC"/>
    <w:rsid w:val="0025548D"/>
    <w:rsid w:val="00255C18"/>
    <w:rsid w:val="00255F7D"/>
    <w:rsid w:val="00256114"/>
    <w:rsid w:val="0025618C"/>
    <w:rsid w:val="0026258F"/>
    <w:rsid w:val="00262914"/>
    <w:rsid w:val="00262EFB"/>
    <w:rsid w:val="00265A99"/>
    <w:rsid w:val="00266F2F"/>
    <w:rsid w:val="0026791C"/>
    <w:rsid w:val="00276B75"/>
    <w:rsid w:val="00280C60"/>
    <w:rsid w:val="00281C63"/>
    <w:rsid w:val="0028603C"/>
    <w:rsid w:val="0028702E"/>
    <w:rsid w:val="002922CE"/>
    <w:rsid w:val="00293D8D"/>
    <w:rsid w:val="002A1D8C"/>
    <w:rsid w:val="002C1797"/>
    <w:rsid w:val="002C2BBB"/>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1BBB"/>
    <w:rsid w:val="003454F6"/>
    <w:rsid w:val="00350D53"/>
    <w:rsid w:val="003641BA"/>
    <w:rsid w:val="00372B02"/>
    <w:rsid w:val="0037786D"/>
    <w:rsid w:val="00377D40"/>
    <w:rsid w:val="003A1673"/>
    <w:rsid w:val="003A298D"/>
    <w:rsid w:val="003B2034"/>
    <w:rsid w:val="003B5176"/>
    <w:rsid w:val="003B5F45"/>
    <w:rsid w:val="003B6EA6"/>
    <w:rsid w:val="003C1C8E"/>
    <w:rsid w:val="003D2587"/>
    <w:rsid w:val="003D6946"/>
    <w:rsid w:val="003D6D6E"/>
    <w:rsid w:val="003E791C"/>
    <w:rsid w:val="003F4BD7"/>
    <w:rsid w:val="00404810"/>
    <w:rsid w:val="00414645"/>
    <w:rsid w:val="00424E5D"/>
    <w:rsid w:val="00425F46"/>
    <w:rsid w:val="00434F56"/>
    <w:rsid w:val="0043692F"/>
    <w:rsid w:val="00436A05"/>
    <w:rsid w:val="00444027"/>
    <w:rsid w:val="004467C4"/>
    <w:rsid w:val="00450D7F"/>
    <w:rsid w:val="00455833"/>
    <w:rsid w:val="004604FB"/>
    <w:rsid w:val="00461033"/>
    <w:rsid w:val="00461386"/>
    <w:rsid w:val="00462D00"/>
    <w:rsid w:val="004712EB"/>
    <w:rsid w:val="00476425"/>
    <w:rsid w:val="0048088F"/>
    <w:rsid w:val="00480BB2"/>
    <w:rsid w:val="004818E1"/>
    <w:rsid w:val="00481A7E"/>
    <w:rsid w:val="0048427F"/>
    <w:rsid w:val="00491497"/>
    <w:rsid w:val="00495C9D"/>
    <w:rsid w:val="004A6644"/>
    <w:rsid w:val="004B7492"/>
    <w:rsid w:val="004C2010"/>
    <w:rsid w:val="004C2B30"/>
    <w:rsid w:val="004C52FC"/>
    <w:rsid w:val="004C7DB2"/>
    <w:rsid w:val="004D3BE1"/>
    <w:rsid w:val="004D3C8C"/>
    <w:rsid w:val="004E47AA"/>
    <w:rsid w:val="004E4BD6"/>
    <w:rsid w:val="004F41D5"/>
    <w:rsid w:val="0051294F"/>
    <w:rsid w:val="00516463"/>
    <w:rsid w:val="00520FBE"/>
    <w:rsid w:val="0052152C"/>
    <w:rsid w:val="0054350A"/>
    <w:rsid w:val="00547756"/>
    <w:rsid w:val="005531E8"/>
    <w:rsid w:val="00561F0D"/>
    <w:rsid w:val="005674F9"/>
    <w:rsid w:val="00573ECD"/>
    <w:rsid w:val="00585766"/>
    <w:rsid w:val="005863ED"/>
    <w:rsid w:val="005864A4"/>
    <w:rsid w:val="005918B2"/>
    <w:rsid w:val="00597F85"/>
    <w:rsid w:val="005D19D9"/>
    <w:rsid w:val="005D4070"/>
    <w:rsid w:val="005E2EE4"/>
    <w:rsid w:val="005F5F7E"/>
    <w:rsid w:val="005F6B5B"/>
    <w:rsid w:val="005F7377"/>
    <w:rsid w:val="00602786"/>
    <w:rsid w:val="00613C53"/>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66D15"/>
    <w:rsid w:val="006767C2"/>
    <w:rsid w:val="00677703"/>
    <w:rsid w:val="006835C1"/>
    <w:rsid w:val="00690A3D"/>
    <w:rsid w:val="00692550"/>
    <w:rsid w:val="006A2AA3"/>
    <w:rsid w:val="006B08D1"/>
    <w:rsid w:val="006B5D02"/>
    <w:rsid w:val="006B6194"/>
    <w:rsid w:val="006C142B"/>
    <w:rsid w:val="006C28B1"/>
    <w:rsid w:val="006C4C0B"/>
    <w:rsid w:val="006C4F5E"/>
    <w:rsid w:val="006D32A7"/>
    <w:rsid w:val="006D67EB"/>
    <w:rsid w:val="006E006D"/>
    <w:rsid w:val="006E3686"/>
    <w:rsid w:val="006E609B"/>
    <w:rsid w:val="006F0183"/>
    <w:rsid w:val="00714D2F"/>
    <w:rsid w:val="00716A26"/>
    <w:rsid w:val="00735202"/>
    <w:rsid w:val="00740D35"/>
    <w:rsid w:val="00740DBC"/>
    <w:rsid w:val="00746675"/>
    <w:rsid w:val="00751FC5"/>
    <w:rsid w:val="00781DA4"/>
    <w:rsid w:val="007825CC"/>
    <w:rsid w:val="00783815"/>
    <w:rsid w:val="007856A2"/>
    <w:rsid w:val="0078669D"/>
    <w:rsid w:val="00786F00"/>
    <w:rsid w:val="00791BFB"/>
    <w:rsid w:val="00791FF2"/>
    <w:rsid w:val="0079281D"/>
    <w:rsid w:val="00794EA2"/>
    <w:rsid w:val="007A70FC"/>
    <w:rsid w:val="007C1FEF"/>
    <w:rsid w:val="007C46D3"/>
    <w:rsid w:val="007C4F14"/>
    <w:rsid w:val="007C53BC"/>
    <w:rsid w:val="007C74F5"/>
    <w:rsid w:val="007E36F4"/>
    <w:rsid w:val="007F45E6"/>
    <w:rsid w:val="007F66F9"/>
    <w:rsid w:val="0080292B"/>
    <w:rsid w:val="008034BE"/>
    <w:rsid w:val="008056C5"/>
    <w:rsid w:val="00805C23"/>
    <w:rsid w:val="00807113"/>
    <w:rsid w:val="00817DDA"/>
    <w:rsid w:val="00821011"/>
    <w:rsid w:val="00822AD2"/>
    <w:rsid w:val="008258DA"/>
    <w:rsid w:val="00827AE5"/>
    <w:rsid w:val="00833894"/>
    <w:rsid w:val="00847243"/>
    <w:rsid w:val="008642E1"/>
    <w:rsid w:val="00875A7C"/>
    <w:rsid w:val="00877383"/>
    <w:rsid w:val="00880686"/>
    <w:rsid w:val="008836F4"/>
    <w:rsid w:val="008860C1"/>
    <w:rsid w:val="008909D4"/>
    <w:rsid w:val="0089214F"/>
    <w:rsid w:val="008942FA"/>
    <w:rsid w:val="00897A68"/>
    <w:rsid w:val="00897B2A"/>
    <w:rsid w:val="008A3D5D"/>
    <w:rsid w:val="008B4D83"/>
    <w:rsid w:val="008B52A0"/>
    <w:rsid w:val="008C7207"/>
    <w:rsid w:val="008D1C95"/>
    <w:rsid w:val="008D4D55"/>
    <w:rsid w:val="008E063A"/>
    <w:rsid w:val="008F3D47"/>
    <w:rsid w:val="008F41A6"/>
    <w:rsid w:val="008F67D3"/>
    <w:rsid w:val="009108ED"/>
    <w:rsid w:val="00915CDA"/>
    <w:rsid w:val="0092214C"/>
    <w:rsid w:val="00925394"/>
    <w:rsid w:val="0092540D"/>
    <w:rsid w:val="009268A3"/>
    <w:rsid w:val="0094204C"/>
    <w:rsid w:val="00944BCA"/>
    <w:rsid w:val="00952FA6"/>
    <w:rsid w:val="00963DD8"/>
    <w:rsid w:val="00974CE7"/>
    <w:rsid w:val="00977AFD"/>
    <w:rsid w:val="00981D62"/>
    <w:rsid w:val="00995ED4"/>
    <w:rsid w:val="009A2F4E"/>
    <w:rsid w:val="009A616E"/>
    <w:rsid w:val="009A69F0"/>
    <w:rsid w:val="009C1092"/>
    <w:rsid w:val="009D4970"/>
    <w:rsid w:val="009E2519"/>
    <w:rsid w:val="009F2769"/>
    <w:rsid w:val="009F5CAA"/>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7763D"/>
    <w:rsid w:val="00A8476F"/>
    <w:rsid w:val="00AA2C33"/>
    <w:rsid w:val="00AC0386"/>
    <w:rsid w:val="00AC62F8"/>
    <w:rsid w:val="00AD4FA7"/>
    <w:rsid w:val="00AE4AD2"/>
    <w:rsid w:val="00AE5F43"/>
    <w:rsid w:val="00AF1271"/>
    <w:rsid w:val="00AF6A23"/>
    <w:rsid w:val="00B11F28"/>
    <w:rsid w:val="00B20FF6"/>
    <w:rsid w:val="00B27095"/>
    <w:rsid w:val="00B27437"/>
    <w:rsid w:val="00B31728"/>
    <w:rsid w:val="00B34F9E"/>
    <w:rsid w:val="00B42C55"/>
    <w:rsid w:val="00B44B23"/>
    <w:rsid w:val="00B45627"/>
    <w:rsid w:val="00B4625A"/>
    <w:rsid w:val="00B608D5"/>
    <w:rsid w:val="00B61D81"/>
    <w:rsid w:val="00B700A5"/>
    <w:rsid w:val="00B71307"/>
    <w:rsid w:val="00B75DD0"/>
    <w:rsid w:val="00B764F8"/>
    <w:rsid w:val="00B81607"/>
    <w:rsid w:val="00B8227E"/>
    <w:rsid w:val="00B85B28"/>
    <w:rsid w:val="00B90F20"/>
    <w:rsid w:val="00B91F1E"/>
    <w:rsid w:val="00BA3246"/>
    <w:rsid w:val="00BA411F"/>
    <w:rsid w:val="00BA527A"/>
    <w:rsid w:val="00BB272C"/>
    <w:rsid w:val="00BB28CF"/>
    <w:rsid w:val="00BB4ABC"/>
    <w:rsid w:val="00BB4C9F"/>
    <w:rsid w:val="00BB5574"/>
    <w:rsid w:val="00BC12BF"/>
    <w:rsid w:val="00BC5FF1"/>
    <w:rsid w:val="00BC6C11"/>
    <w:rsid w:val="00BD1CC0"/>
    <w:rsid w:val="00BD2C4F"/>
    <w:rsid w:val="00BD3EF3"/>
    <w:rsid w:val="00BE51FF"/>
    <w:rsid w:val="00BF3561"/>
    <w:rsid w:val="00BF556C"/>
    <w:rsid w:val="00BF68D2"/>
    <w:rsid w:val="00C05015"/>
    <w:rsid w:val="00C05EFD"/>
    <w:rsid w:val="00C22083"/>
    <w:rsid w:val="00C32DEA"/>
    <w:rsid w:val="00C45053"/>
    <w:rsid w:val="00C52D74"/>
    <w:rsid w:val="00C5365F"/>
    <w:rsid w:val="00C56C48"/>
    <w:rsid w:val="00C616FD"/>
    <w:rsid w:val="00C63B58"/>
    <w:rsid w:val="00C7001F"/>
    <w:rsid w:val="00C71F16"/>
    <w:rsid w:val="00C77723"/>
    <w:rsid w:val="00C800A9"/>
    <w:rsid w:val="00C80222"/>
    <w:rsid w:val="00C844B6"/>
    <w:rsid w:val="00C86826"/>
    <w:rsid w:val="00C86D2C"/>
    <w:rsid w:val="00C90C76"/>
    <w:rsid w:val="00C93F9E"/>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F5973"/>
    <w:rsid w:val="00DF7501"/>
    <w:rsid w:val="00E048D6"/>
    <w:rsid w:val="00E12A67"/>
    <w:rsid w:val="00E12E4F"/>
    <w:rsid w:val="00E13C55"/>
    <w:rsid w:val="00E14C90"/>
    <w:rsid w:val="00E16205"/>
    <w:rsid w:val="00E254D9"/>
    <w:rsid w:val="00E25ACC"/>
    <w:rsid w:val="00E32EA0"/>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B44"/>
    <w:rsid w:val="00EB3C20"/>
    <w:rsid w:val="00EC0B9E"/>
    <w:rsid w:val="00EC1EB5"/>
    <w:rsid w:val="00EC6B80"/>
    <w:rsid w:val="00ED0C45"/>
    <w:rsid w:val="00ED4142"/>
    <w:rsid w:val="00EE2964"/>
    <w:rsid w:val="00EF0481"/>
    <w:rsid w:val="00EF15CD"/>
    <w:rsid w:val="00EF6E21"/>
    <w:rsid w:val="00F02320"/>
    <w:rsid w:val="00F0239E"/>
    <w:rsid w:val="00F07EFD"/>
    <w:rsid w:val="00F1164D"/>
    <w:rsid w:val="00F1200D"/>
    <w:rsid w:val="00F154DF"/>
    <w:rsid w:val="00F17C08"/>
    <w:rsid w:val="00F27D5C"/>
    <w:rsid w:val="00F340B8"/>
    <w:rsid w:val="00F34307"/>
    <w:rsid w:val="00F37373"/>
    <w:rsid w:val="00F43F29"/>
    <w:rsid w:val="00F509AE"/>
    <w:rsid w:val="00F542A6"/>
    <w:rsid w:val="00F60941"/>
    <w:rsid w:val="00F60C52"/>
    <w:rsid w:val="00F60FAC"/>
    <w:rsid w:val="00F708FC"/>
    <w:rsid w:val="00F7110B"/>
    <w:rsid w:val="00F81080"/>
    <w:rsid w:val="00F8191D"/>
    <w:rsid w:val="00F86156"/>
    <w:rsid w:val="00F920EB"/>
    <w:rsid w:val="00F92700"/>
    <w:rsid w:val="00F938A3"/>
    <w:rsid w:val="00F94D4D"/>
    <w:rsid w:val="00F95896"/>
    <w:rsid w:val="00FA24D1"/>
    <w:rsid w:val="00FA3BFD"/>
    <w:rsid w:val="00FA7DDB"/>
    <w:rsid w:val="00FB0E89"/>
    <w:rsid w:val="00FB231A"/>
    <w:rsid w:val="00FB4AA9"/>
    <w:rsid w:val="00FC1435"/>
    <w:rsid w:val="00FC45CA"/>
    <w:rsid w:val="00FC49AB"/>
    <w:rsid w:val="00FC7F0C"/>
    <w:rsid w:val="00FD126E"/>
    <w:rsid w:val="00FD4866"/>
    <w:rsid w:val="00FD53E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F84A4-4399-4659-90FE-64DF13D5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8063245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6181921">
      <w:bodyDiv w:val="1"/>
      <w:marLeft w:val="0"/>
      <w:marRight w:val="0"/>
      <w:marTop w:val="0"/>
      <w:marBottom w:val="0"/>
      <w:divBdr>
        <w:top w:val="none" w:sz="0" w:space="0" w:color="auto"/>
        <w:left w:val="none" w:sz="0" w:space="0" w:color="auto"/>
        <w:bottom w:val="none" w:sz="0" w:space="0" w:color="auto"/>
        <w:right w:val="none" w:sz="0" w:space="0" w:color="auto"/>
      </w:divBdr>
    </w:div>
    <w:div w:id="304630828">
      <w:bodyDiv w:val="1"/>
      <w:marLeft w:val="0"/>
      <w:marRight w:val="0"/>
      <w:marTop w:val="0"/>
      <w:marBottom w:val="0"/>
      <w:divBdr>
        <w:top w:val="none" w:sz="0" w:space="0" w:color="auto"/>
        <w:left w:val="none" w:sz="0" w:space="0" w:color="auto"/>
        <w:bottom w:val="none" w:sz="0" w:space="0" w:color="auto"/>
        <w:right w:val="none" w:sz="0" w:space="0" w:color="auto"/>
      </w:divBdr>
    </w:div>
    <w:div w:id="32266521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47701793">
      <w:bodyDiv w:val="1"/>
      <w:marLeft w:val="0"/>
      <w:marRight w:val="0"/>
      <w:marTop w:val="0"/>
      <w:marBottom w:val="0"/>
      <w:divBdr>
        <w:top w:val="none" w:sz="0" w:space="0" w:color="auto"/>
        <w:left w:val="none" w:sz="0" w:space="0" w:color="auto"/>
        <w:bottom w:val="none" w:sz="0" w:space="0" w:color="auto"/>
        <w:right w:val="none" w:sz="0" w:space="0" w:color="auto"/>
      </w:divBdr>
    </w:div>
    <w:div w:id="572933661">
      <w:bodyDiv w:val="1"/>
      <w:marLeft w:val="0"/>
      <w:marRight w:val="0"/>
      <w:marTop w:val="0"/>
      <w:marBottom w:val="0"/>
      <w:divBdr>
        <w:top w:val="none" w:sz="0" w:space="0" w:color="auto"/>
        <w:left w:val="none" w:sz="0" w:space="0" w:color="auto"/>
        <w:bottom w:val="none" w:sz="0" w:space="0" w:color="auto"/>
        <w:right w:val="none" w:sz="0" w:space="0" w:color="auto"/>
      </w:divBdr>
    </w:div>
    <w:div w:id="60589318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4257607">
      <w:bodyDiv w:val="1"/>
      <w:marLeft w:val="0"/>
      <w:marRight w:val="0"/>
      <w:marTop w:val="0"/>
      <w:marBottom w:val="0"/>
      <w:divBdr>
        <w:top w:val="none" w:sz="0" w:space="0" w:color="auto"/>
        <w:left w:val="none" w:sz="0" w:space="0" w:color="auto"/>
        <w:bottom w:val="none" w:sz="0" w:space="0" w:color="auto"/>
        <w:right w:val="none" w:sz="0" w:space="0" w:color="auto"/>
      </w:divBdr>
    </w:div>
    <w:div w:id="64586305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35515867">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17518710">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23924135">
      <w:bodyDiv w:val="1"/>
      <w:marLeft w:val="0"/>
      <w:marRight w:val="0"/>
      <w:marTop w:val="0"/>
      <w:marBottom w:val="0"/>
      <w:divBdr>
        <w:top w:val="none" w:sz="0" w:space="0" w:color="auto"/>
        <w:left w:val="none" w:sz="0" w:space="0" w:color="auto"/>
        <w:bottom w:val="none" w:sz="0" w:space="0" w:color="auto"/>
        <w:right w:val="none" w:sz="0" w:space="0" w:color="auto"/>
      </w:divBdr>
    </w:div>
    <w:div w:id="1725912914">
      <w:bodyDiv w:val="1"/>
      <w:marLeft w:val="0"/>
      <w:marRight w:val="0"/>
      <w:marTop w:val="0"/>
      <w:marBottom w:val="0"/>
      <w:divBdr>
        <w:top w:val="none" w:sz="0" w:space="0" w:color="auto"/>
        <w:left w:val="none" w:sz="0" w:space="0" w:color="auto"/>
        <w:bottom w:val="none" w:sz="0" w:space="0" w:color="auto"/>
        <w:right w:val="none" w:sz="0" w:space="0" w:color="auto"/>
      </w:divBdr>
    </w:div>
    <w:div w:id="179794130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79927329">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03984441">
      <w:bodyDiv w:val="1"/>
      <w:marLeft w:val="0"/>
      <w:marRight w:val="0"/>
      <w:marTop w:val="0"/>
      <w:marBottom w:val="0"/>
      <w:divBdr>
        <w:top w:val="none" w:sz="0" w:space="0" w:color="auto"/>
        <w:left w:val="none" w:sz="0" w:space="0" w:color="auto"/>
        <w:bottom w:val="none" w:sz="0" w:space="0" w:color="auto"/>
        <w:right w:val="none" w:sz="0" w:space="0" w:color="auto"/>
      </w:divBdr>
    </w:div>
    <w:div w:id="21307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0711 - Developmental Language Arts</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c:v>
                </c:pt>
                <c:pt idx="1">
                  <c:v>0</c:v>
                </c:pt>
                <c:pt idx="2">
                  <c:v>0</c:v>
                </c:pt>
                <c:pt idx="3">
                  <c:v>0</c:v>
                </c:pt>
                <c:pt idx="4">
                  <c:v>0</c:v>
                </c:pt>
                <c:pt idx="5">
                  <c:v>0.59699999999999998</c:v>
                </c:pt>
                <c:pt idx="6">
                  <c:v>0.65400000000000003</c:v>
                </c:pt>
              </c:numCache>
            </c:numRef>
          </c:val>
        </c:ser>
        <c:ser>
          <c:idx val="1"/>
          <c:order val="1"/>
          <c:tx>
            <c:strRef>
              <c:f>'CHART FOR SUCCESS RATES'!$C$8</c:f>
              <c:strCache>
                <c:ptCount val="1"/>
                <c:pt idx="0">
                  <c:v>LCS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0.70199999999999996</c:v>
                </c:pt>
                <c:pt idx="1">
                  <c:v>0.69399999999999995</c:v>
                </c:pt>
                <c:pt idx="2">
                  <c:v>0.68600000000000005</c:v>
                </c:pt>
                <c:pt idx="3">
                  <c:v>0.67600000000000005</c:v>
                </c:pt>
                <c:pt idx="4">
                  <c:v>0.69</c:v>
                </c:pt>
                <c:pt idx="5" formatCode="0.00%">
                  <c:v>0.67300000000000004</c:v>
                </c:pt>
                <c:pt idx="6" formatCode="0.00%">
                  <c:v>0.69399999999999995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391164208"/>
        <c:axId val="391164600"/>
      </c:barChart>
      <c:catAx>
        <c:axId val="391164208"/>
        <c:scaling>
          <c:orientation val="minMax"/>
        </c:scaling>
        <c:delete val="0"/>
        <c:axPos val="b"/>
        <c:numFmt formatCode="General" sourceLinked="1"/>
        <c:majorTickMark val="none"/>
        <c:minorTickMark val="none"/>
        <c:tickLblPos val="nextTo"/>
        <c:crossAx val="391164600"/>
        <c:crosses val="autoZero"/>
        <c:auto val="1"/>
        <c:lblAlgn val="ctr"/>
        <c:lblOffset val="100"/>
        <c:noMultiLvlLbl val="0"/>
      </c:catAx>
      <c:valAx>
        <c:axId val="39116460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91164208"/>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44505-04C6-435E-9701-DBC34A1D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18</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Echols, Crystal</cp:lastModifiedBy>
  <cp:revision>7</cp:revision>
  <cp:lastPrinted>2012-09-10T15:29:00Z</cp:lastPrinted>
  <dcterms:created xsi:type="dcterms:W3CDTF">2015-02-09T21:24:00Z</dcterms:created>
  <dcterms:modified xsi:type="dcterms:W3CDTF">2015-03-02T18:18:00Z</dcterms:modified>
</cp:coreProperties>
</file>