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227BE0">
        <w:rPr>
          <w:rFonts w:ascii="Arial" w:hAnsi="Arial" w:cs="Arial"/>
          <w:b/>
          <w:color w:val="000000" w:themeColor="text1"/>
        </w:rPr>
        <w:t>3</w:t>
      </w:r>
      <w:r w:rsidR="001D736E">
        <w:rPr>
          <w:rFonts w:ascii="Arial" w:hAnsi="Arial" w:cs="Arial"/>
          <w:b/>
          <w:color w:val="000000" w:themeColor="text1"/>
        </w:rPr>
        <w:t>-1</w:t>
      </w:r>
      <w:r w:rsidR="00227BE0">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227BE0">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866C2F">
        <w:rPr>
          <w:rFonts w:ascii="Arial" w:hAnsi="Arial" w:cs="Arial"/>
          <w:color w:val="000000" w:themeColor="text1"/>
          <w:u w:val="single"/>
        </w:rPr>
        <w:t>220</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866C2F">
        <w:rPr>
          <w:rFonts w:ascii="Arial" w:hAnsi="Arial" w:cs="Arial"/>
          <w:color w:val="000000" w:themeColor="text1"/>
          <w:u w:val="single"/>
        </w:rPr>
        <w:t>Design</w:t>
      </w:r>
      <w:r w:rsidR="00432584">
        <w:rPr>
          <w:rFonts w:ascii="Arial" w:hAnsi="Arial" w:cs="Arial"/>
          <w:color w:val="000000" w:themeColor="text1"/>
          <w:u w:val="single"/>
        </w:rPr>
        <w:t xml:space="preserve"> (IND &amp; VIS)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866C2F">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637591">
        <w:rPr>
          <w:rFonts w:ascii="Arial" w:hAnsi="Arial" w:cs="Arial"/>
          <w:color w:val="000000" w:themeColor="text1"/>
        </w:rPr>
        <w:t>0</w:t>
      </w:r>
      <w:r w:rsidR="00866C2F">
        <w:rPr>
          <w:rFonts w:ascii="Arial" w:hAnsi="Arial" w:cs="Arial"/>
          <w:color w:val="000000" w:themeColor="text1"/>
        </w:rPr>
        <w:t>7</w:t>
      </w:r>
      <w:r>
        <w:rPr>
          <w:rFonts w:ascii="Arial" w:hAnsi="Arial" w:cs="Arial"/>
          <w:color w:val="000000" w:themeColor="text1"/>
        </w:rPr>
        <w:t>-</w:t>
      </w:r>
      <w:r w:rsidR="003109F5">
        <w:rPr>
          <w:rFonts w:ascii="Arial" w:hAnsi="Arial" w:cs="Arial"/>
          <w:color w:val="000000" w:themeColor="text1"/>
        </w:rPr>
        <w:t>20</w:t>
      </w:r>
      <w:r w:rsidR="00637591">
        <w:rPr>
          <w:rFonts w:ascii="Arial" w:hAnsi="Arial" w:cs="Arial"/>
          <w:color w:val="000000" w:themeColor="text1"/>
        </w:rPr>
        <w:t>0</w:t>
      </w:r>
      <w:r w:rsidR="00866C2F">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sidRPr="00866C2F">
        <w:rPr>
          <w:rFonts w:ascii="Arial" w:hAnsi="Arial" w:cs="Arial"/>
          <w:b/>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866C2F">
        <w:rPr>
          <w:rFonts w:ascii="Arial" w:hAnsi="Arial" w:cs="Arial"/>
          <w:color w:val="000000" w:themeColor="text1"/>
        </w:rPr>
        <w:t>4</w:t>
      </w:r>
      <w:r>
        <w:rPr>
          <w:rFonts w:ascii="Arial" w:hAnsi="Arial" w:cs="Arial"/>
          <w:color w:val="000000" w:themeColor="text1"/>
        </w:rPr>
        <w:t>-201</w:t>
      </w:r>
      <w:r w:rsidR="00866C2F">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227BE0" w:rsidP="00585766">
      <w:pPr>
        <w:rPr>
          <w:rFonts w:ascii="Arial" w:hAnsi="Arial" w:cs="Arial"/>
          <w:noProof/>
          <w:color w:val="000000" w:themeColor="text1"/>
        </w:rPr>
      </w:pPr>
      <w:r>
        <w:rPr>
          <w:noProof/>
        </w:rPr>
        <w:drawing>
          <wp:inline distT="0" distB="0" distL="0" distR="0">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97245B" w:rsidRDefault="00110057">
      <w:pPr>
        <w:spacing w:after="200" w:line="276" w:lineRule="auto"/>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419CE">
        <w:t>Though not indicated on the above graph the total for FY 12-13 was 90.  As noted in previous Annual updates</w:t>
      </w:r>
      <w:r w:rsidR="007C2B54">
        <w:t>,</w:t>
      </w:r>
      <w:r w:rsidR="008419CE">
        <w:t xml:space="preserve"> the increase in FY 07-08 was th result of the registrar awarding Short Term Certificates (STC) retroactively to those students who had completed but not applied for the STC. </w:t>
      </w:r>
      <w:r w:rsidR="0097245B">
        <w:t>in su</w:t>
      </w:r>
      <w:r w:rsidR="007C2B54">
        <w:t>b</w:t>
      </w:r>
      <w:r w:rsidR="0097245B">
        <w:t>sequent years the STCs accounted for approximately 60 completions. As of Fall 2012, we no longer offer STCs so the degree completion rate of 90, is actually close to the number of graduates</w:t>
      </w:r>
      <w:r w:rsidR="007C2B54">
        <w:t>,</w:t>
      </w:r>
      <w:r w:rsidR="0097245B">
        <w:t xml:space="preserve"> pre-semester conversion.</w:t>
      </w:r>
    </w:p>
    <w:p w:rsidR="00003E79" w:rsidRDefault="008419CE">
      <w:pPr>
        <w:spacing w:after="200" w:line="276" w:lineRule="auto"/>
      </w:pPr>
      <w:r>
        <w:lastRenderedPageBreak/>
        <w:t>The depar</w:t>
      </w:r>
      <w:r w:rsidR="007C2B54">
        <w:t>t</w:t>
      </w:r>
      <w:r>
        <w:t>ment believes that many students pushed to complete in FY 11-12 to avoid dealing with the semester transition, likewise many students waited until the co</w:t>
      </w:r>
      <w:r w:rsidR="007C2B54">
        <w:t>n</w:t>
      </w:r>
      <w:r>
        <w:t xml:space="preserve">version was complete to begin classes.  The result is that the degree completion numbers were higher in FY 11-12 and lower in FY 12-13.  The </w:t>
      </w:r>
      <w:r w:rsidR="00003E79">
        <w:t>I</w:t>
      </w:r>
      <w:r>
        <w:t xml:space="preserve">nterior Design program has seen a large drop in enrollment since the economic downturn, this trend is consistent </w:t>
      </w:r>
      <w:r w:rsidR="00003E79">
        <w:t>nationally.</w:t>
      </w:r>
    </w:p>
    <w:p w:rsidR="00003E79" w:rsidRDefault="00003E79">
      <w:pPr>
        <w:spacing w:after="200" w:line="276" w:lineRule="auto"/>
      </w:pPr>
      <w:r>
        <w:t xml:space="preserve">The department reacted to the </w:t>
      </w:r>
      <w:r w:rsidR="0097245B">
        <w:t>d</w:t>
      </w:r>
      <w:r>
        <w:t xml:space="preserve">ecreased numbers of </w:t>
      </w:r>
      <w:r w:rsidR="007C2B54">
        <w:t>I</w:t>
      </w:r>
      <w:r>
        <w:t>nterior Design majors by offering just one section annually of IND courses.  The result of this action was that it became impossible for a student who could only attend evening classes to complete the degree plan</w:t>
      </w:r>
      <w:r w:rsidR="0097245B">
        <w:t xml:space="preserve">, resulting in even fewer graduates.  </w:t>
      </w:r>
      <w:r>
        <w:t>The department plans to begin offering one section per year in the evening to try to increase enrollment.  A four year plan has been developed so that the eve</w:t>
      </w:r>
      <w:r w:rsidR="00103BEC">
        <w:t>n</w:t>
      </w:r>
      <w:r>
        <w:t>ing offerings will not adversly effect average class size</w:t>
      </w:r>
      <w:r w:rsidR="00103BEC">
        <w:t>,</w:t>
      </w:r>
      <w:r>
        <w:t xml:space="preserve"> while addressing the fact that traditionally the evening only students in this program were also part-time </w:t>
      </w:r>
      <w:r w:rsidR="0097245B">
        <w:t xml:space="preserve">students </w:t>
      </w:r>
      <w:r>
        <w:t>requiring four years or more to graduate.</w:t>
      </w:r>
    </w:p>
    <w:p w:rsidR="0097245B" w:rsidRDefault="0097245B">
      <w:pPr>
        <w:spacing w:after="200" w:line="276" w:lineRule="auto"/>
      </w:pPr>
      <w:r>
        <w:t xml:space="preserve">The department plans to revisit offering Short Term Certificates.  They were eliminated in the semester conversion because when the courses were </w:t>
      </w:r>
      <w:r w:rsidR="009E6AF6">
        <w:t>changed</w:t>
      </w:r>
      <w:r>
        <w:t xml:space="preserve"> the semester equivalent to the quarter STCs contained only </w:t>
      </w:r>
      <w:r w:rsidR="00103BEC">
        <w:t>three</w:t>
      </w:r>
      <w:r>
        <w:t xml:space="preserve"> courses.  </w:t>
      </w:r>
    </w:p>
    <w:p w:rsidR="004C52FC" w:rsidRDefault="00110057">
      <w:pPr>
        <w:spacing w:after="200" w:line="276" w:lineRule="auto"/>
        <w:rPr>
          <w:rFonts w:ascii="Arial" w:hAnsi="Arial" w:cs="Arial"/>
          <w:b/>
          <w:color w:val="000000" w:themeColor="text1"/>
        </w:rPr>
      </w:pPr>
      <w:r w:rsidRPr="00DA0D9C">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227BE0" w:rsidP="00585766">
      <w:pPr>
        <w:rPr>
          <w:rFonts w:ascii="Arial" w:hAnsi="Arial" w:cs="Arial"/>
          <w:color w:val="000000" w:themeColor="text1"/>
        </w:rPr>
      </w:pPr>
      <w:r>
        <w:rPr>
          <w:noProof/>
        </w:rPr>
        <w:drawing>
          <wp:inline distT="0" distB="0" distL="0" distR="0">
            <wp:extent cx="5943600" cy="268287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3109F5" w:rsidRDefault="001D3E1D" w:rsidP="003109F5">
      <w:pPr>
        <w:rPr>
          <w:rFonts w:ascii="Arial" w:hAnsi="Arial" w:cs="Arial"/>
          <w:color w:val="000000" w:themeColor="text1"/>
        </w:rPr>
      </w:pPr>
    </w:p>
    <w:p w:rsidR="009D73CE" w:rsidRDefault="00110057" w:rsidP="008405C3">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97245B">
        <w:t>The trend data for course success is complicated by the semester conversion.  V</w:t>
      </w:r>
      <w:r w:rsidR="001533B9">
        <w:t>IS</w:t>
      </w:r>
      <w:r w:rsidR="0097245B">
        <w:t xml:space="preserve"> 106 and 107 are now V</w:t>
      </w:r>
      <w:r w:rsidR="001533B9">
        <w:t>I</w:t>
      </w:r>
      <w:r w:rsidR="0097245B">
        <w:t>S 1100.  This course has seen the largest drop in success rates</w:t>
      </w:r>
      <w:r w:rsidR="001533B9">
        <w:t xml:space="preserve"> from a </w:t>
      </w:r>
      <w:r w:rsidR="00103BEC">
        <w:t>five</w:t>
      </w:r>
      <w:r w:rsidR="001533B9">
        <w:t xml:space="preserve"> year average of 66% for VIS 106 and a five year average of 76% for VIS 107</w:t>
      </w:r>
      <w:r w:rsidR="0097245B">
        <w:t xml:space="preserve"> </w:t>
      </w:r>
      <w:r w:rsidR="001533B9">
        <w:t xml:space="preserve">to 62% for VIS 1100 in 2012-13. The largest increase in success rates was for VIS 108 with a five year average of 56% which became VIS 1208 </w:t>
      </w:r>
      <w:r w:rsidR="007C2B54">
        <w:t>and</w:t>
      </w:r>
      <w:r w:rsidR="001533B9">
        <w:t xml:space="preserve"> had a 82% success rate in FY 12-13.  These changes were actually by design, VIS 108 used to be the "gatekeeper" course; it was a challenge to many students because they were not properly prepared in VIS 106 and VIS 107. The department has increased the depth of study and competencies needed in VIS 1100 so that students are better prepared for VIS 1208, resulting in lower success rates in ViS 1100 and higher success rates in VIS 1208.  The depar</w:t>
      </w:r>
      <w:r w:rsidR="007C2B54">
        <w:t>tment</w:t>
      </w:r>
      <w:r w:rsidR="001533B9">
        <w:t xml:space="preserve"> thinks this is better for students in that they learn earlier in the program if this is the correct career choice for them.  </w:t>
      </w:r>
    </w:p>
    <w:p w:rsidR="009D73CE" w:rsidRDefault="009D73CE" w:rsidP="008405C3"/>
    <w:p w:rsidR="001D3E1D" w:rsidRPr="008405C3" w:rsidRDefault="009D73CE" w:rsidP="008405C3">
      <w:pPr>
        <w:rPr>
          <w:rFonts w:ascii="Arial" w:hAnsi="Arial" w:cs="Arial"/>
          <w:color w:val="000000" w:themeColor="text1"/>
        </w:rPr>
      </w:pPr>
      <w:r>
        <w:t xml:space="preserve">The success rates for the courses where sofware applications had traditionally been taught have also declined.  These courses include </w:t>
      </w:r>
      <w:r w:rsidR="00585A4B">
        <w:t>VIS 146, 147 and VIS 148</w:t>
      </w:r>
      <w:r w:rsidR="007C2B54">
        <w:t>; now</w:t>
      </w:r>
      <w:r w:rsidR="00585A4B">
        <w:t xml:space="preserve"> V</w:t>
      </w:r>
      <w:r w:rsidR="007C2B54">
        <w:t>IS</w:t>
      </w:r>
      <w:r w:rsidR="00585A4B">
        <w:t xml:space="preserve"> 1140 and </w:t>
      </w:r>
      <w:r>
        <w:t>VI</w:t>
      </w:r>
      <w:r w:rsidR="00585A4B">
        <w:t>S 115, 116, 117, 118</w:t>
      </w:r>
      <w:r w:rsidR="007C2B54">
        <w:t>; now</w:t>
      </w:r>
      <w:r w:rsidR="00585A4B">
        <w:t xml:space="preserve"> VIS 1218. With the semester conversion, t</w:t>
      </w:r>
      <w:r>
        <w:t>he depar</w:t>
      </w:r>
      <w:r w:rsidR="007C2B54">
        <w:t>t</w:t>
      </w:r>
      <w:r>
        <w:t>ment is trying to integrate the learning of computer comptencies with design theory and practice. It is beli</w:t>
      </w:r>
      <w:r w:rsidR="007C2B54">
        <w:t>e</w:t>
      </w:r>
      <w:r>
        <w:t>ved that the students will learn "how to learn" computer skills and that the learning will be deeper since they will be applying the skills to design problems as they learn.  The success rates suggest that this approach needs further review.  In the Fall of 2012</w:t>
      </w:r>
      <w:r w:rsidR="007C2B54">
        <w:t>,</w:t>
      </w:r>
      <w:r>
        <w:t xml:space="preserve"> "boot camps" were offered to students as group tutoring to help students with specific command sequences.  The VIS 1140 course has also been modified to four credit hours to accommodate additional instruction time.  Success rates will be continually monitored for </w:t>
      </w:r>
      <w:r w:rsidR="00585A4B">
        <w:t>VIS 1140 and VIS 1218.</w:t>
      </w:r>
      <w:r>
        <w:t xml:space="preserve">   </w:t>
      </w:r>
      <w:r w:rsidR="00110057" w:rsidRPr="00DA0D9C">
        <w:rPr>
          <w:rFonts w:ascii="Arial" w:hAnsi="Arial" w:cs="Arial"/>
          <w:color w:val="000000" w:themeColor="text1"/>
        </w:rPr>
        <w:fldChar w:fldCharType="end"/>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585A4B" w:rsidRDefault="00110057" w:rsidP="00253AD5">
      <w:pPr>
        <w:spacing w:after="200" w:line="276" w:lineRule="auto"/>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585A4B">
        <w:t xml:space="preserve">The aggregate numbers from the department's annual First Year Assessment </w:t>
      </w:r>
      <w:r w:rsidR="00936A3F">
        <w:t xml:space="preserve">(formative assessment) </w:t>
      </w:r>
      <w:r w:rsidR="00585A4B">
        <w:t xml:space="preserve">are slightly higher in most categories than they were in past years.  See table attached.  </w:t>
      </w:r>
      <w:r w:rsidR="009E6AF6">
        <w:t>The results of this assessment were used to inform m</w:t>
      </w:r>
      <w:r w:rsidR="00585A4B">
        <w:t>any of the de</w:t>
      </w:r>
      <w:r w:rsidR="00103BEC">
        <w:t>cis</w:t>
      </w:r>
      <w:r w:rsidR="00585A4B">
        <w:t>ions made during the semester conversion about the curricula and the actual course projects</w:t>
      </w:r>
      <w:r w:rsidR="009E6AF6">
        <w:t>,</w:t>
      </w:r>
      <w:r w:rsidR="00585A4B">
        <w:t xml:space="preserve"> so the department is encouraged that there will be continued improvement </w:t>
      </w:r>
      <w:r w:rsidR="009E6AF6">
        <w:t xml:space="preserve">of the scores </w:t>
      </w:r>
      <w:r w:rsidR="00585A4B">
        <w:t>in subsequent years.  The department is also planning to assess w</w:t>
      </w:r>
      <w:r w:rsidR="00936A3F">
        <w:t>h</w:t>
      </w:r>
      <w:r w:rsidR="00585A4B">
        <w:t xml:space="preserve">ether the competencies being assessed are </w:t>
      </w:r>
      <w:r w:rsidR="00936A3F">
        <w:t>relevant to workplace needs and the new design education standards released by the National Association of Schools of Art and Design. (NASAD)</w:t>
      </w:r>
    </w:p>
    <w:p w:rsidR="00936A3F" w:rsidRDefault="00936A3F" w:rsidP="00253AD5">
      <w:pPr>
        <w:spacing w:after="200" w:line="276" w:lineRule="auto"/>
      </w:pPr>
      <w:r>
        <w:t>The aggregate numbers for the department's Spring Portfolio Show (summative assessment) are slightly lower than in previous years.  See table attached.  Since these numbers represent those students who completed in Spring 2013, all of these students were affected by the semester conversion.  (For the interior design graduates, four students were evaluated three times each, so the data is based on a very small set.)</w:t>
      </w:r>
      <w:r w:rsidR="005A06D4">
        <w:t xml:space="preserve">  The department will continue to monitor these numbers in subsequent years.</w:t>
      </w:r>
    </w:p>
    <w:p w:rsidR="00585A4B" w:rsidRDefault="00585A4B" w:rsidP="00253AD5">
      <w:pPr>
        <w:spacing w:after="200" w:line="276" w:lineRule="auto"/>
      </w:pPr>
    </w:p>
    <w:p w:rsidR="008405C3" w:rsidRDefault="00110057" w:rsidP="00253AD5">
      <w:pPr>
        <w:spacing w:after="200" w:line="276" w:lineRule="auto"/>
        <w:rPr>
          <w:rFonts w:ascii="Arial" w:hAnsi="Arial" w:cs="Arial"/>
          <w:color w:val="000000" w:themeColor="text1"/>
        </w:rPr>
        <w:sectPr w:rsidR="008405C3" w:rsidSect="00D708C3">
          <w:footerReference w:type="default" r:id="rId11"/>
          <w:pgSz w:w="12240" w:h="15840"/>
          <w:pgMar w:top="1152" w:right="1440" w:bottom="1152" w:left="1440" w:header="720" w:footer="288" w:gutter="0"/>
          <w:cols w:space="720"/>
          <w:docGrid w:linePitch="360"/>
        </w:sectPr>
      </w:pPr>
      <w:r w:rsidRPr="00DA0D9C">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3109F5">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109F5" w:rsidTr="003109F5">
        <w:trPr>
          <w:trHeight w:val="1399"/>
        </w:trPr>
        <w:tc>
          <w:tcPr>
            <w:tcW w:w="3690" w:type="dxa"/>
          </w:tcPr>
          <w:p w:rsidR="003109F5" w:rsidRPr="00E53C9E" w:rsidRDefault="003109F5" w:rsidP="003F38D9">
            <w:pPr>
              <w:tabs>
                <w:tab w:val="left" w:pos="504"/>
                <w:tab w:val="num" w:pos="1260"/>
              </w:tabs>
              <w:rPr>
                <w:rFonts w:ascii="Arial" w:hAnsi="Arial"/>
              </w:rPr>
            </w:pPr>
            <w:r w:rsidRPr="006F74C8">
              <w:rPr>
                <w:rFonts w:ascii="Arial" w:hAnsi="Arial"/>
              </w:rPr>
              <w:t xml:space="preserve">Expand coursework for the non-designer, similar to </w:t>
            </w:r>
            <w:r w:rsidRPr="00E53C9E">
              <w:rPr>
                <w:rFonts w:ascii="Arial" w:hAnsi="Arial"/>
              </w:rPr>
              <w:t xml:space="preserve">OSU Basic Design Concepts for Non-majors, the department could develop a course that would initiate the non-designer into the creative and design process, involving critical thinking, analysis, synthesis and conjecture possibly </w:t>
            </w:r>
            <w:r>
              <w:rPr>
                <w:rFonts w:ascii="Arial" w:hAnsi="Arial"/>
              </w:rPr>
              <w:t>for engineering</w:t>
            </w:r>
            <w:r w:rsidRPr="00E53C9E">
              <w:rPr>
                <w:rFonts w:ascii="Arial" w:hAnsi="Arial"/>
              </w:rPr>
              <w:t xml:space="preserve"> and </w:t>
            </w:r>
            <w:r>
              <w:rPr>
                <w:rFonts w:ascii="Arial" w:hAnsi="Arial"/>
              </w:rPr>
              <w:t xml:space="preserve">business </w:t>
            </w:r>
            <w:r w:rsidRPr="00E53C9E">
              <w:rPr>
                <w:rFonts w:ascii="Arial" w:hAnsi="Arial"/>
              </w:rPr>
              <w:t xml:space="preserve">students. </w:t>
            </w:r>
            <w:r w:rsidRPr="00E53C9E">
              <w:rPr>
                <w:rFonts w:ascii="Helvetica" w:hAnsi="Helvetica"/>
              </w:rPr>
              <w:t xml:space="preserve"> </w:t>
            </w:r>
            <w:r w:rsidRPr="00E53C9E">
              <w:rPr>
                <w:rFonts w:ascii="Arial" w:hAnsi="Arial"/>
              </w:rPr>
              <w:t xml:space="preserve"> </w:t>
            </w:r>
          </w:p>
          <w:p w:rsidR="003109F5" w:rsidRPr="0037786D" w:rsidRDefault="003109F5" w:rsidP="00D07030">
            <w:pPr>
              <w:spacing w:before="12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Check1"/>
                  <w:enabled/>
                  <w:calcOnExit w:val="0"/>
                  <w:checkBox>
                    <w:sizeAuto/>
                    <w:default w:val="0"/>
                    <w:checked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tc>
        <w:tc>
          <w:tcPr>
            <w:tcW w:w="6840" w:type="dxa"/>
          </w:tcPr>
          <w:p w:rsidR="003109F5" w:rsidRDefault="00110057" w:rsidP="009C0C32">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9C0C32">
              <w:t xml:space="preserve">Though an interesting concept, </w:t>
            </w:r>
            <w:r w:rsidR="0002278D">
              <w:t>due to current budget considerations, the</w:t>
            </w:r>
            <w:r w:rsidR="009C0C32">
              <w:t xml:space="preserve"> college is discouraging the creation of courses that don't lead to a degree. </w:t>
            </w:r>
            <w:r w:rsidR="0002278D">
              <w:t xml:space="preserve"> </w:t>
            </w:r>
            <w:r w:rsidR="009C0C32">
              <w:t xml:space="preserve"> </w:t>
            </w:r>
            <w:r w:rsidR="00FC16E2">
              <w:t xml:space="preserve">  The department could meet a community need, by providing training in Adobe Photoshop, Illustrator and InDesign but has found that personal interest students and degree seeking students have differing needs</w:t>
            </w:r>
            <w:r w:rsidR="009C0C32">
              <w:t xml:space="preserve"> that one course cannot simultaneously meet</w:t>
            </w:r>
            <w:r w:rsidR="00FC16E2">
              <w:t>.</w:t>
            </w:r>
            <w:r w:rsidRPr="00DB505A">
              <w:rPr>
                <w:rFonts w:ascii="Arial" w:hAnsi="Arial" w:cs="Arial"/>
                <w:color w:val="000000" w:themeColor="text1"/>
              </w:rPr>
              <w:fldChar w:fldCharType="end"/>
            </w:r>
          </w:p>
        </w:tc>
      </w:tr>
      <w:tr w:rsidR="003109F5" w:rsidTr="003109F5">
        <w:trPr>
          <w:trHeight w:val="1399"/>
        </w:trPr>
        <w:tc>
          <w:tcPr>
            <w:tcW w:w="3690" w:type="dxa"/>
          </w:tcPr>
          <w:p w:rsidR="003109F5" w:rsidRPr="006F74C8" w:rsidRDefault="003109F5" w:rsidP="003F38D9">
            <w:pPr>
              <w:tabs>
                <w:tab w:val="left" w:pos="504"/>
                <w:tab w:val="num" w:pos="1260"/>
              </w:tabs>
              <w:rPr>
                <w:rFonts w:ascii="Arial" w:hAnsi="Arial"/>
              </w:rPr>
            </w:pPr>
            <w:r w:rsidRPr="006F74C8">
              <w:rPr>
                <w:rFonts w:ascii="Arial" w:hAnsi="Arial"/>
              </w:rPr>
              <w:t xml:space="preserve">Business and industry are also increasingly realizing that all business professionals need to learn to communicate at a basic level in a visual way.  Access to technology has expanded the use of PowerPoint presentations, all kinds of charts and graphs, desktop publishing and web page design to individuals in all types of business positions.  Possibly offered as an elective for </w:t>
            </w:r>
            <w:r>
              <w:rPr>
                <w:rFonts w:ascii="Arial" w:hAnsi="Arial"/>
              </w:rPr>
              <w:lastRenderedPageBreak/>
              <w:t>business, allied heath and engineering</w:t>
            </w:r>
            <w:r w:rsidRPr="006F74C8">
              <w:rPr>
                <w:rFonts w:ascii="Arial" w:hAnsi="Arial"/>
              </w:rPr>
              <w:t xml:space="preserve"> majors</w:t>
            </w:r>
            <w:r>
              <w:rPr>
                <w:rFonts w:ascii="Arial" w:hAnsi="Arial"/>
              </w:rPr>
              <w:t>,</w:t>
            </w:r>
            <w:r w:rsidRPr="006F74C8">
              <w:rPr>
                <w:rFonts w:ascii="Arial" w:hAnsi="Arial"/>
              </w:rPr>
              <w:t xml:space="preserve"> </w:t>
            </w:r>
            <w:r>
              <w:rPr>
                <w:rFonts w:ascii="Arial" w:hAnsi="Arial"/>
              </w:rPr>
              <w:t xml:space="preserve">the department could develop </w:t>
            </w:r>
            <w:r w:rsidRPr="006F74C8">
              <w:rPr>
                <w:rFonts w:ascii="Arial" w:hAnsi="Arial"/>
              </w:rPr>
              <w:t xml:space="preserve">a course that explores visual communication fundamentals </w:t>
            </w:r>
            <w:r>
              <w:rPr>
                <w:rFonts w:ascii="Arial" w:hAnsi="Arial"/>
              </w:rPr>
              <w:t xml:space="preserve">which </w:t>
            </w:r>
            <w:r w:rsidRPr="006F74C8">
              <w:rPr>
                <w:rFonts w:ascii="Arial" w:hAnsi="Arial"/>
              </w:rPr>
              <w:t xml:space="preserve">could also be tailored as a non-credit workforce development option. </w:t>
            </w:r>
          </w:p>
          <w:p w:rsidR="003109F5" w:rsidRPr="0037786D" w:rsidRDefault="003109F5" w:rsidP="0094204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Check1"/>
                  <w:enabled/>
                  <w:calcOnExit w:val="0"/>
                  <w:checkBox>
                    <w:sizeAuto/>
                    <w:default w:val="0"/>
                    <w:checked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tc>
        <w:tc>
          <w:tcPr>
            <w:tcW w:w="6840" w:type="dxa"/>
          </w:tcPr>
          <w:p w:rsidR="003109F5" w:rsidRDefault="00110057" w:rsidP="009C0C32">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02278D">
              <w:t xml:space="preserve">The department </w:t>
            </w:r>
            <w:r w:rsidR="009C0C32">
              <w:t>does not hav</w:t>
            </w:r>
            <w:r w:rsidR="00C17F67">
              <w:t>e</w:t>
            </w:r>
            <w:r w:rsidR="009C0C32">
              <w:t xml:space="preserve"> a relationship with the college's workforce development divison.  It </w:t>
            </w:r>
            <w:r w:rsidR="0002278D">
              <w:t xml:space="preserve">is not clear </w:t>
            </w:r>
            <w:r w:rsidR="009C0C32">
              <w:t>what</w:t>
            </w:r>
            <w:r w:rsidR="0002278D">
              <w:t xml:space="preserve"> role for-credit classes have </w:t>
            </w:r>
            <w:r w:rsidR="008D352C">
              <w:t xml:space="preserve"> and whether non-credit courses should be developed.  A seminar was given by Amanda Romero and Cynthia Cully a number of years ago</w:t>
            </w:r>
            <w:r w:rsidR="00206732">
              <w:t>,</w:t>
            </w:r>
            <w:r w:rsidR="008D352C">
              <w:t xml:space="preserve"> through Staff </w:t>
            </w:r>
            <w:r w:rsidR="00FC16E2">
              <w:t>D</w:t>
            </w:r>
            <w:r w:rsidR="008D352C">
              <w:t>evelopment</w:t>
            </w:r>
            <w:r w:rsidR="00206732">
              <w:t>,</w:t>
            </w:r>
            <w:r w:rsidR="00FC16E2">
              <w:t xml:space="preserve"> that was well received</w:t>
            </w:r>
            <w:r w:rsidR="009C0C32">
              <w:t xml:space="preserve"> by faculty outside of the Design department.  There has also been some communication with the Communication Art department to provide visual communications  pointers for public speaking students</w:t>
            </w:r>
            <w:r w:rsidR="00FC16E2">
              <w:t>.</w:t>
            </w:r>
            <w:r w:rsidRPr="00DB505A">
              <w:rPr>
                <w:rFonts w:ascii="Arial" w:hAnsi="Arial" w:cs="Arial"/>
                <w:color w:val="000000" w:themeColor="text1"/>
              </w:rPr>
              <w:fldChar w:fldCharType="end"/>
            </w:r>
          </w:p>
        </w:tc>
      </w:tr>
      <w:tr w:rsidR="003109F5" w:rsidTr="003109F5">
        <w:trPr>
          <w:trHeight w:val="1101"/>
        </w:trPr>
        <w:tc>
          <w:tcPr>
            <w:tcW w:w="3690" w:type="dxa"/>
          </w:tcPr>
          <w:p w:rsidR="003109F5" w:rsidRPr="004D70DD" w:rsidRDefault="003109F5" w:rsidP="003F38D9">
            <w:pPr>
              <w:tabs>
                <w:tab w:val="left" w:pos="504"/>
                <w:tab w:val="num" w:pos="1260"/>
              </w:tabs>
              <w:rPr>
                <w:rFonts w:ascii="Arial" w:hAnsi="Arial"/>
              </w:rPr>
            </w:pPr>
            <w:r w:rsidRPr="004D70DD">
              <w:rPr>
                <w:rFonts w:ascii="Arial" w:hAnsi="Arial"/>
              </w:rPr>
              <w:lastRenderedPageBreak/>
              <w:t>VIS 100</w:t>
            </w:r>
            <w:r>
              <w:rPr>
                <w:rFonts w:ascii="Arial" w:hAnsi="Arial"/>
              </w:rPr>
              <w:t>, VIS 114</w:t>
            </w:r>
            <w:r w:rsidRPr="004D70DD">
              <w:rPr>
                <w:rFonts w:ascii="Arial" w:hAnsi="Arial"/>
              </w:rPr>
              <w:t xml:space="preserve"> as a web course or a hybrid</w:t>
            </w:r>
          </w:p>
          <w:p w:rsidR="003109F5" w:rsidRPr="0037786D" w:rsidRDefault="003109F5" w:rsidP="0094204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tc>
        <w:tc>
          <w:tcPr>
            <w:tcW w:w="6840" w:type="dxa"/>
          </w:tcPr>
          <w:p w:rsidR="003109F5" w:rsidRDefault="00110057" w:rsidP="008D352C">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8D352C">
              <w:t>VIS 147 Digital Imaging was offered online for about two years</w:t>
            </w:r>
            <w:r w:rsidR="00C17F67">
              <w:t>,</w:t>
            </w:r>
            <w:r w:rsidR="008D352C">
              <w:t xml:space="preserve"> but with low enrollment.  VIS students did not appear to be interested in the online format.</w:t>
            </w:r>
            <w:r w:rsidRPr="00DB505A">
              <w:rPr>
                <w:rFonts w:ascii="Arial" w:hAnsi="Arial" w:cs="Arial"/>
                <w:color w:val="000000" w:themeColor="text1"/>
              </w:rPr>
              <w:fldChar w:fldCharType="end"/>
            </w:r>
          </w:p>
        </w:tc>
      </w:tr>
      <w:tr w:rsidR="003109F5" w:rsidTr="003109F5">
        <w:trPr>
          <w:trHeight w:val="1101"/>
        </w:trPr>
        <w:tc>
          <w:tcPr>
            <w:tcW w:w="3690" w:type="dxa"/>
          </w:tcPr>
          <w:p w:rsidR="003109F5" w:rsidRPr="004D70DD" w:rsidRDefault="003109F5" w:rsidP="003F38D9">
            <w:pPr>
              <w:tabs>
                <w:tab w:val="left" w:pos="504"/>
                <w:tab w:val="num" w:pos="1260"/>
              </w:tabs>
              <w:rPr>
                <w:rFonts w:ascii="Arial" w:hAnsi="Arial"/>
              </w:rPr>
            </w:pPr>
            <w:r>
              <w:rPr>
                <w:rFonts w:ascii="Arial" w:hAnsi="Arial"/>
              </w:rPr>
              <w:t>Coursework in Leadership in Energy and Environmental Design (LEED)</w:t>
            </w:r>
            <w:r w:rsidRPr="004D70DD">
              <w:rPr>
                <w:rFonts w:ascii="Arial" w:hAnsi="Arial"/>
              </w:rPr>
              <w:t xml:space="preserve"> certification.</w:t>
            </w:r>
          </w:p>
          <w:p w:rsidR="003109F5" w:rsidRPr="0037786D" w:rsidRDefault="003109F5" w:rsidP="0094204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Check1"/>
                  <w:enabled/>
                  <w:calcOnExit w:val="0"/>
                  <w:checkBox>
                    <w:sizeAuto/>
                    <w:default w:val="0"/>
                    <w:checked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tc>
          <w:tcPr>
            <w:tcW w:w="6840" w:type="dxa"/>
          </w:tcPr>
          <w:p w:rsidR="003109F5" w:rsidRDefault="00110057" w:rsidP="00100BD1">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8D352C">
              <w:t xml:space="preserve">The department has created IND 2140 Sustainable Design.  This course is required in the Interior Design Associate's degree.  </w:t>
            </w:r>
            <w:r w:rsidRPr="00DB505A">
              <w:rPr>
                <w:rFonts w:ascii="Arial" w:hAnsi="Arial" w:cs="Arial"/>
                <w:color w:val="000000" w:themeColor="text1"/>
              </w:rPr>
              <w:fldChar w:fldCharType="end"/>
            </w:r>
          </w:p>
        </w:tc>
      </w:tr>
      <w:tr w:rsidR="003109F5" w:rsidTr="003109F5">
        <w:trPr>
          <w:trHeight w:val="1101"/>
        </w:trPr>
        <w:tc>
          <w:tcPr>
            <w:tcW w:w="3690" w:type="dxa"/>
          </w:tcPr>
          <w:p w:rsidR="003109F5" w:rsidRDefault="003109F5" w:rsidP="00EA0B10">
            <w:pPr>
              <w:pStyle w:val="ListParagraph"/>
              <w:ind w:left="0"/>
              <w:rPr>
                <w:rFonts w:ascii="Arial" w:hAnsi="Arial" w:cs="Arial"/>
                <w:color w:val="000000" w:themeColor="text1"/>
              </w:rPr>
            </w:pPr>
          </w:p>
          <w:p w:rsidR="003109F5" w:rsidRPr="004D70DD" w:rsidRDefault="003109F5" w:rsidP="003F38D9">
            <w:pPr>
              <w:tabs>
                <w:tab w:val="left" w:pos="504"/>
                <w:tab w:val="num" w:pos="1260"/>
              </w:tabs>
              <w:rPr>
                <w:rFonts w:ascii="Arial" w:hAnsi="Arial"/>
              </w:rPr>
            </w:pPr>
            <w:r w:rsidRPr="004D70DD">
              <w:rPr>
                <w:rFonts w:ascii="Arial" w:hAnsi="Arial"/>
              </w:rPr>
              <w:t>Investigate which courses already offered could be packaged to create a transferable STC in collaboration with electronic game development programs.</w:t>
            </w:r>
          </w:p>
          <w:p w:rsidR="003109F5" w:rsidRPr="003F38D9" w:rsidRDefault="003109F5" w:rsidP="003F38D9">
            <w:pPr>
              <w:tabs>
                <w:tab w:val="left" w:pos="1245"/>
              </w:tabs>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tc>
        <w:tc>
          <w:tcPr>
            <w:tcW w:w="6840" w:type="dxa"/>
          </w:tcPr>
          <w:p w:rsidR="003109F5" w:rsidRDefault="00110057" w:rsidP="00073502">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100BD1">
              <w:t>Though the concepts used in the graphic design and video gaming industries are similar</w:t>
            </w:r>
            <w:r w:rsidR="009C0C32">
              <w:t>,</w:t>
            </w:r>
            <w:r w:rsidR="00100BD1">
              <w:t xml:space="preserve"> the software applications are very different. Video game creation requires complex computer coding</w:t>
            </w:r>
            <w:r w:rsidR="00FC16E2">
              <w:t xml:space="preserve"> and does not seem a viable opportunity for the department.  The department conducted a smartphone "App" creation workshop </w:t>
            </w:r>
            <w:r w:rsidR="00073502">
              <w:t>that was attended by faculty. Design will approach CIS to discuss a possible partnership</w:t>
            </w:r>
            <w:r w:rsidR="009C0C32">
              <w:t xml:space="preserve"> in that area</w:t>
            </w:r>
            <w:r w:rsidR="00073502">
              <w:t>.</w:t>
            </w:r>
            <w:r w:rsidRPr="00DB505A">
              <w:rPr>
                <w:rFonts w:ascii="Arial" w:hAnsi="Arial" w:cs="Arial"/>
                <w:color w:val="000000" w:themeColor="text1"/>
              </w:rPr>
              <w:fldChar w:fldCharType="end"/>
            </w:r>
          </w:p>
        </w:tc>
      </w:tr>
      <w:tr w:rsidR="003109F5" w:rsidTr="003109F5">
        <w:trPr>
          <w:trHeight w:val="1101"/>
        </w:trPr>
        <w:tc>
          <w:tcPr>
            <w:tcW w:w="3690" w:type="dxa"/>
          </w:tcPr>
          <w:p w:rsidR="003109F5" w:rsidRPr="004D70DD" w:rsidRDefault="003109F5" w:rsidP="003F38D9">
            <w:pPr>
              <w:tabs>
                <w:tab w:val="left" w:pos="504"/>
                <w:tab w:val="num" w:pos="1260"/>
              </w:tabs>
              <w:rPr>
                <w:rFonts w:ascii="Arial" w:hAnsi="Arial"/>
              </w:rPr>
            </w:pPr>
            <w:r w:rsidRPr="004D70DD">
              <w:rPr>
                <w:rFonts w:ascii="Arial" w:hAnsi="Arial"/>
              </w:rPr>
              <w:lastRenderedPageBreak/>
              <w:t>Investigate if courses already offered could be incorporated into Education degree programs.</w:t>
            </w:r>
          </w:p>
          <w:p w:rsidR="003109F5" w:rsidRPr="0037786D" w:rsidRDefault="003109F5" w:rsidP="00EA0B10">
            <w:pPr>
              <w:pStyle w:val="ListParagraph"/>
              <w:ind w:left="0"/>
              <w:rPr>
                <w:rFonts w:ascii="Arial" w:hAnsi="Arial" w:cs="Arial"/>
                <w:color w:val="000000" w:themeColor="text1"/>
              </w:rPr>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110057">
              <w:fldChar w:fldCharType="begin">
                <w:ffData>
                  <w:name w:val="Check1"/>
                  <w:enabled/>
                  <w:calcOnExit w:val="0"/>
                  <w:checkBox>
                    <w:sizeAuto/>
                    <w:default w:val="0"/>
                    <w:checked/>
                  </w:checkBox>
                </w:ffData>
              </w:fldChar>
            </w:r>
            <w:r w:rsidR="004E49B5">
              <w:instrText xml:space="preserve"> FORMCHECKBOX </w:instrText>
            </w:r>
            <w:r w:rsidR="00090E00">
              <w:fldChar w:fldCharType="separate"/>
            </w:r>
            <w:r w:rsidR="00110057">
              <w:fldChar w:fldCharType="end"/>
            </w:r>
            <w:bookmarkEnd w:id="0"/>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tc>
          <w:tcPr>
            <w:tcW w:w="6840" w:type="dxa"/>
          </w:tcPr>
          <w:p w:rsidR="003109F5" w:rsidRDefault="00110057" w:rsidP="005C342A">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5C342A">
              <w:t>The department has no progress on this recommendation.</w:t>
            </w:r>
            <w:r w:rsidRPr="00DA0D9C">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 xml:space="preserve">Validate the perception that students’ failure in entry level courses is because of their lack of understanding of the field and its rigor.  Before pursuing admission requirements, assess more carefully why students may not be succeeding.  Consider </w:t>
            </w:r>
            <w:r>
              <w:rPr>
                <w:rFonts w:ascii="Arial" w:hAnsi="Arial" w:cs="Arial"/>
              </w:rPr>
              <w:t xml:space="preserve">research in conjunction with Research, Analytics and Reporting and </w:t>
            </w:r>
            <w:r w:rsidRPr="003B7341">
              <w:rPr>
                <w:rFonts w:ascii="Arial" w:hAnsi="Arial" w:cs="Arial"/>
              </w:rPr>
              <w:t xml:space="preserve">course-level exit interviews with students in order to understand more fully students’ experiences in these classes. </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
                  <w:enabled/>
                  <w:calcOnExit w:val="0"/>
                  <w:checkBox>
                    <w:sizeAuto/>
                    <w:default w:val="0"/>
                    <w:checked/>
                  </w:checkBox>
                </w:ffData>
              </w:fldChar>
            </w:r>
            <w:r w:rsidR="004E49B5">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tc>
          <w:tcPr>
            <w:tcW w:w="6480" w:type="dxa"/>
          </w:tcPr>
          <w:p w:rsidR="003109F5" w:rsidRDefault="00110057" w:rsidP="009E6AF6">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5C342A">
              <w:t>T</w:t>
            </w:r>
            <w:r w:rsidR="009C1BF4">
              <w:t>he department has not developed an instrument to research student failure, or created course exit surveys</w:t>
            </w:r>
            <w:r w:rsidR="005C342A">
              <w:t xml:space="preserve">.  But we are encouraging students to </w:t>
            </w:r>
            <w:r w:rsidR="009E6AF6">
              <w:t>consider</w:t>
            </w:r>
            <w:r w:rsidR="005C342A">
              <w:t xml:space="preserve"> their readiness </w:t>
            </w:r>
            <w:r w:rsidR="009E6AF6">
              <w:t xml:space="preserve">to complete Design courses </w:t>
            </w:r>
            <w:r w:rsidR="005C342A">
              <w:t>by creating</w:t>
            </w:r>
            <w:r w:rsidR="009C1BF4">
              <w:t xml:space="preserve"> an orientatio</w:t>
            </w:r>
            <w:r w:rsidR="005C342A">
              <w:t xml:space="preserve">n which identifies </w:t>
            </w:r>
            <w:r w:rsidR="009C1BF4">
              <w:t xml:space="preserve"> the types of behaviors</w:t>
            </w:r>
            <w:r w:rsidR="005C342A">
              <w:t>, skills, predispositions</w:t>
            </w:r>
            <w:r w:rsidR="009C1BF4">
              <w:t xml:space="preserve"> and attitudes necssary to succeed in the design field.  The Completion by Design program templates cont</w:t>
            </w:r>
            <w:r w:rsidR="005C342A">
              <w:t>a</w:t>
            </w:r>
            <w:r w:rsidR="00103BEC">
              <w:t>i</w:t>
            </w:r>
            <w:r w:rsidR="009C1BF4">
              <w:t xml:space="preserve">n notes to help students </w:t>
            </w:r>
            <w:r w:rsidR="005C342A">
              <w:t xml:space="preserve">and advisors </w:t>
            </w:r>
            <w:r w:rsidR="009C1BF4">
              <w:t>ma</w:t>
            </w:r>
            <w:r w:rsidR="005C342A">
              <w:t>ke</w:t>
            </w:r>
            <w:r w:rsidR="009C1BF4">
              <w:t xml:space="preserve"> informed choices about the degree plans.   </w:t>
            </w:r>
            <w:r w:rsidRPr="00DA0D9C">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 xml:space="preserve">Validate the presumed relationship between grade point average and persistence to graduation and success on the job.  Obtain more information from employers regarding the essential knowledge, skills and abilities needed for the success of entry level designers, and evaluate the curriculum in light of this feedback.  The fast pace of change in the design industry warrants continuing effort to </w:t>
            </w:r>
            <w:r w:rsidRPr="003B7341">
              <w:rPr>
                <w:rFonts w:ascii="Arial" w:hAnsi="Arial" w:cs="Arial"/>
              </w:rPr>
              <w:lastRenderedPageBreak/>
              <w:t xml:space="preserve">identify what employers are seeking in graduates of the program – and key indicators of success in professional practice.  </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
                  <w:enabled/>
                  <w:calcOnExit w:val="0"/>
                  <w:checkBox>
                    <w:sizeAuto/>
                    <w:default w:val="0"/>
                    <w:checked/>
                  </w:checkBox>
                </w:ffData>
              </w:fldChar>
            </w:r>
            <w:r w:rsidR="004E49B5">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tc>
          <w:tcPr>
            <w:tcW w:w="6480" w:type="dxa"/>
          </w:tcPr>
          <w:p w:rsidR="003109F5" w:rsidRDefault="00110057" w:rsidP="009C1BF4">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9C1BF4">
              <w:t>The department has developed an exit survey requiring students to indicate their future plans, that must be completed prior to the student receiving their portfolio show results.  The plan is to use these t</w:t>
            </w:r>
            <w:r w:rsidR="00103BEC">
              <w:t>o</w:t>
            </w:r>
            <w:r w:rsidR="009C1BF4">
              <w:t xml:space="preserve"> correlate student employment with GPA. </w:t>
            </w:r>
            <w:r w:rsidRPr="00DA0D9C">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lastRenderedPageBreak/>
              <w:t>Increase awareness among the region’s employers of the programs in the department and the caliber of Sinclair’s design graduates.</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
                  <w:enabled/>
                  <w:calcOnExit w:val="0"/>
                  <w:checkBox>
                    <w:sizeAuto/>
                    <w:default w:val="0"/>
                    <w:checked/>
                  </w:checkBox>
                </w:ffData>
              </w:fldChar>
            </w:r>
            <w:r w:rsidR="004E49B5">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tc>
          <w:tcPr>
            <w:tcW w:w="6480" w:type="dxa"/>
          </w:tcPr>
          <w:p w:rsidR="003109F5" w:rsidRDefault="00110057" w:rsidP="00206732">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9C1BF4">
              <w:t>The department has created an external website: www.S</w:t>
            </w:r>
            <w:r w:rsidR="00206732">
              <w:t>CC</w:t>
            </w:r>
            <w:r w:rsidR="009C1BF4">
              <w:t xml:space="preserve">Portfolios.com where interested individuals access relevant information about the department.  The plan is to post student work on this site as well.  The annual portfolio show showcases the student work to area employers.    </w:t>
            </w:r>
            <w:r w:rsidRPr="00DA0D9C">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Consider whether preparing students for transfer should be an explicit part of the department’s mission statement and an increasing aspect of the department’s work with students.  With the continuing evolution of the design fields and the growing emphasis on the baccalaureate degree as an important credential in design, the department may need to increase its attention to facilitating the transfer of students, including the development of articulation agreements with more four-year institutions.</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
                  <w:enabled/>
                  <w:calcOnExit w:val="0"/>
                  <w:checkBox>
                    <w:sizeAuto/>
                    <w:default w:val="0"/>
                  </w:checkBox>
                </w:ffData>
              </w:fldChar>
            </w:r>
            <w:r w:rsidR="004E49B5">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tc>
        <w:tc>
          <w:tcPr>
            <w:tcW w:w="6480" w:type="dxa"/>
          </w:tcPr>
          <w:p w:rsidR="003109F5" w:rsidRDefault="00110057" w:rsidP="00103BEC">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2D7CA1">
              <w:t>As AAS degrees</w:t>
            </w:r>
            <w:r w:rsidR="00206732">
              <w:t>,</w:t>
            </w:r>
            <w:r w:rsidR="002D7CA1">
              <w:t xml:space="preserve"> both the IND and VIS programs must con</w:t>
            </w:r>
            <w:r w:rsidR="00103BEC">
              <w:t>tain</w:t>
            </w:r>
            <w:r w:rsidR="002D7CA1">
              <w:t xml:space="preserve"> "advanced" coursework to provide students with the knowledge</w:t>
            </w:r>
            <w:r w:rsidR="00103BEC">
              <w:t>-</w:t>
            </w:r>
            <w:r w:rsidR="002D7CA1">
              <w:t>base and skills to enter the workforce as productive employees.  Few baccaluareate programs will accept this upper level coursework for transfer.  If we were to create a transfer program, which eliminated this upper-level coursework for students choosing to transfer,  th</w:t>
            </w:r>
            <w:r w:rsidR="00103BEC">
              <w:t>e</w:t>
            </w:r>
            <w:r w:rsidR="002D7CA1">
              <w:t>n the number of students in these upper level classes would be smaller, allowing for fewer student options.</w:t>
            </w:r>
            <w:r w:rsidR="009C1BF4">
              <w:t xml:space="preserve">  There would also be fewer students in courses designed specifically for transferring students (courses provding more depth and less breadth.)  Basically, the department would be less efficient as we would need more courses and they would be serving fewer students.</w:t>
            </w:r>
            <w:r w:rsidR="002D7CA1">
              <w:t xml:space="preserve"> </w:t>
            </w:r>
            <w:r w:rsidRPr="00DA0D9C">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 xml:space="preserve">Explore offering non-credit continuing education for </w:t>
            </w:r>
            <w:r w:rsidRPr="003B7341">
              <w:rPr>
                <w:rFonts w:ascii="Arial" w:hAnsi="Arial" w:cs="Arial"/>
              </w:rPr>
              <w:lastRenderedPageBreak/>
              <w:t>practicing designers.</w:t>
            </w:r>
          </w:p>
          <w:p w:rsidR="003109F5" w:rsidRPr="00654C15" w:rsidRDefault="003109F5" w:rsidP="00D07030">
            <w:pPr>
              <w:pStyle w:val="ListParagraph"/>
              <w:ind w:left="0"/>
              <w:rPr>
                <w:rFonts w:ascii="Arial" w:hAnsi="Arial" w:cs="Arial"/>
                <w:color w:val="000000" w:themeColor="text1"/>
              </w:rPr>
            </w:pPr>
          </w:p>
        </w:tc>
        <w:tc>
          <w:tcPr>
            <w:tcW w:w="2700" w:type="dxa"/>
          </w:tcPr>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D07030">
            <w:pPr>
              <w:pStyle w:val="ListParagraph"/>
              <w:ind w:left="0"/>
              <w:rPr>
                <w:rFonts w:ascii="Arial" w:hAnsi="Arial" w:cs="Arial"/>
                <w:color w:val="000000" w:themeColor="text1"/>
              </w:rPr>
            </w:pPr>
          </w:p>
          <w:p w:rsidR="003109F5" w:rsidRPr="0037786D"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tc>
        <w:tc>
          <w:tcPr>
            <w:tcW w:w="6480" w:type="dxa"/>
          </w:tcPr>
          <w:p w:rsidR="00290774" w:rsidRDefault="00110057" w:rsidP="00290774">
            <w:r w:rsidRPr="00BD62DE">
              <w:rPr>
                <w:rFonts w:ascii="Arial" w:hAnsi="Arial" w:cs="Arial"/>
                <w:color w:val="000000" w:themeColor="text1"/>
              </w:rPr>
              <w:lastRenderedPageBreak/>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6B4807">
              <w:t xml:space="preserve">The new course </w:t>
            </w:r>
            <w:r w:rsidR="00290774">
              <w:t xml:space="preserve">VIS 2160, </w:t>
            </w:r>
            <w:r w:rsidR="006B4807">
              <w:t xml:space="preserve">Design Applications II has been developed to give students additional experience in using </w:t>
            </w:r>
            <w:r w:rsidR="006B4807">
              <w:lastRenderedPageBreak/>
              <w:t>interactive media software and to introduce concepts of information de</w:t>
            </w:r>
            <w:r w:rsidR="00073502">
              <w:t>si</w:t>
            </w:r>
            <w:r w:rsidR="006B4807">
              <w:t xml:space="preserve">gn.  This course will be marketed to professionals who are looking to expand their portfolios into the area of interactive and information design.  This course is required in the semester VIS.AAS </w:t>
            </w:r>
            <w:r w:rsidR="00290774">
              <w:t>and is therefore a for-credit course which is more cost effective for the college.</w:t>
            </w:r>
          </w:p>
          <w:p w:rsidR="00290774" w:rsidRDefault="00290774" w:rsidP="00290774"/>
          <w:p w:rsidR="003109F5" w:rsidRDefault="00290774" w:rsidP="00073502">
            <w:r>
              <w:t>IND 2140, Sustainable Design</w:t>
            </w:r>
            <w:r w:rsidR="00073502">
              <w:t>,</w:t>
            </w:r>
            <w:r>
              <w:t xml:space="preserve"> </w:t>
            </w:r>
            <w:r w:rsidR="00073502">
              <w:t xml:space="preserve"> 4 credit hours, </w:t>
            </w:r>
            <w:r>
              <w:t>will be marketed to professional interior designers who are increasingly being asked to consider sustainability by their clients.</w:t>
            </w:r>
            <w:r w:rsidR="00110057"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lastRenderedPageBreak/>
              <w:t>Improve graduate follow-up, and regularly incorporate their feedback in improving the program.</w:t>
            </w:r>
          </w:p>
          <w:p w:rsidR="003109F5" w:rsidRPr="00654C15" w:rsidRDefault="003109F5" w:rsidP="00D07030">
            <w:pPr>
              <w:pStyle w:val="ListParagraph"/>
              <w:ind w:left="0"/>
              <w:rPr>
                <w:rFonts w:ascii="Arial" w:hAnsi="Arial" w:cs="Arial"/>
                <w:color w:val="000000" w:themeColor="text1"/>
              </w:rPr>
            </w:pPr>
          </w:p>
        </w:tc>
        <w:tc>
          <w:tcPr>
            <w:tcW w:w="2700" w:type="dxa"/>
          </w:tcPr>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
                  <w:enabled/>
                  <w:calcOnExit w:val="0"/>
                  <w:checkBox>
                    <w:sizeAuto/>
                    <w:default w:val="0"/>
                    <w:checked/>
                  </w:checkBox>
                </w:ffData>
              </w:fldChar>
            </w:r>
            <w:r w:rsidR="004E49B5">
              <w:instrText xml:space="preserve"> FORMCHECKBOX </w:instrText>
            </w:r>
            <w:r w:rsidR="00090E00">
              <w:fldChar w:fldCharType="separate"/>
            </w:r>
            <w:r w:rsidR="00110057">
              <w:fldChar w:fldCharType="end"/>
            </w:r>
          </w:p>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ed w:val="0"/>
                  </w:checkBox>
                </w:ffData>
              </w:fldChar>
            </w:r>
            <w:r>
              <w:instrText xml:space="preserve"> FORMCHECKBOX </w:instrText>
            </w:r>
            <w:r w:rsidR="00090E00">
              <w:fldChar w:fldCharType="separate"/>
            </w:r>
            <w:r w:rsidR="00110057">
              <w:fldChar w:fldCharType="end"/>
            </w:r>
          </w:p>
          <w:p w:rsidR="003109F5" w:rsidRDefault="003109F5" w:rsidP="00D07030">
            <w:pPr>
              <w:pStyle w:val="ListParagraph"/>
              <w:ind w:left="0"/>
              <w:rPr>
                <w:rFonts w:ascii="Arial" w:hAnsi="Arial" w:cs="Arial"/>
                <w:color w:val="000000" w:themeColor="text1"/>
              </w:rPr>
            </w:pPr>
          </w:p>
          <w:p w:rsidR="003109F5" w:rsidRPr="0037786D"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tc>
          <w:tcPr>
            <w:tcW w:w="6480" w:type="dxa"/>
          </w:tcPr>
          <w:p w:rsidR="003109F5" w:rsidRDefault="00110057" w:rsidP="00206732">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2D7CA1">
              <w:t>The department has created a brief exit survey that students must complete prior to rec</w:t>
            </w:r>
            <w:r w:rsidR="00206732">
              <w:t>e</w:t>
            </w:r>
            <w:r w:rsidR="002D7CA1">
              <w:t xml:space="preserve">iving their results from the </w:t>
            </w:r>
            <w:r w:rsidR="00206732">
              <w:t>P</w:t>
            </w:r>
            <w:r w:rsidR="002D7CA1">
              <w:t>ortfolio Show.  This should allow us to better track our graduates.  we are also in the process of creating a Sinclair Design Depart</w:t>
            </w:r>
            <w:r w:rsidR="00103BEC">
              <w:t>m</w:t>
            </w:r>
            <w:r w:rsidR="002D7CA1">
              <w:t xml:space="preserve">ent Facebook page. </w:t>
            </w:r>
            <w:r w:rsidRPr="00DA0D9C">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Consider whether the first year assessment, reported as helping students succeed, should be required and whether it should be made available at a defined juncture in students’ progress in the program rather than only during the spring term.</w:t>
            </w:r>
          </w:p>
          <w:p w:rsidR="003109F5" w:rsidRPr="00654C15" w:rsidRDefault="003109F5" w:rsidP="00D73E22">
            <w:pPr>
              <w:spacing w:after="200" w:line="276" w:lineRule="auto"/>
              <w:rPr>
                <w:rFonts w:ascii="Arial" w:hAnsi="Arial" w:cs="Arial"/>
                <w:color w:val="000000" w:themeColor="text1"/>
              </w:rPr>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
                  <w:enabled/>
                  <w:calcOnExit w:val="0"/>
                  <w:checkBox>
                    <w:sizeAuto/>
                    <w:default w:val="0"/>
                  </w:checkBox>
                </w:ffData>
              </w:fldChar>
            </w:r>
            <w:r w:rsidR="004E49B5">
              <w:instrText xml:space="preserve"> FORMCHECKBOX </w:instrText>
            </w:r>
            <w:r w:rsidR="00090E00">
              <w:fldChar w:fldCharType="separate"/>
            </w:r>
            <w:r w:rsidR="00110057">
              <w:fldChar w:fldCharType="end"/>
            </w:r>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tc>
          <w:tcPr>
            <w:tcW w:w="6480" w:type="dxa"/>
          </w:tcPr>
          <w:p w:rsidR="003109F5" w:rsidRDefault="00110057" w:rsidP="00103BEC">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2D7CA1">
              <w:t>The first year assessm</w:t>
            </w:r>
            <w:r w:rsidR="00103BEC">
              <w:t>e</w:t>
            </w:r>
            <w:r w:rsidR="002D7CA1">
              <w:t>nt is required for all students prior to registering for VIS 2110 or IND 1230.</w:t>
            </w:r>
            <w:r w:rsidRPr="00DA0D9C">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Explore requiring an internship, either a component of a course or a separate course in lieu of another requirement.</w:t>
            </w:r>
          </w:p>
          <w:p w:rsidR="003109F5" w:rsidRPr="00654C15" w:rsidRDefault="003109F5" w:rsidP="00EA0B10">
            <w:pPr>
              <w:spacing w:after="200" w:line="276" w:lineRule="auto"/>
              <w:rPr>
                <w:rFonts w:ascii="Arial" w:hAnsi="Arial" w:cs="Arial"/>
                <w:color w:val="000000" w:themeColor="text1"/>
              </w:rPr>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r w:rsidR="00110057">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110057">
              <w:fldChar w:fldCharType="begin">
                <w:ffData>
                  <w:name w:val="Check1"/>
                  <w:enabled/>
                  <w:calcOnExit w:val="0"/>
                  <w:checkBox>
                    <w:sizeAuto/>
                    <w:default w:val="0"/>
                    <w:checked/>
                  </w:checkBox>
                </w:ffData>
              </w:fldChar>
            </w:r>
            <w:r>
              <w:instrText xml:space="preserve"> FORMCHECKBOX </w:instrText>
            </w:r>
            <w:r w:rsidR="00090E00">
              <w:fldChar w:fldCharType="separate"/>
            </w:r>
            <w:r w:rsidR="00110057">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10057">
              <w:lastRenderedPageBreak/>
              <w:fldChar w:fldCharType="begin">
                <w:ffData>
                  <w:name w:val="Check1"/>
                  <w:enabled/>
                  <w:calcOnExit w:val="0"/>
                  <w:checkBox>
                    <w:sizeAuto/>
                    <w:default w:val="0"/>
                  </w:checkBox>
                </w:ffData>
              </w:fldChar>
            </w:r>
            <w:r>
              <w:instrText xml:space="preserve"> FORMCHECKBOX </w:instrText>
            </w:r>
            <w:r w:rsidR="00090E00">
              <w:fldChar w:fldCharType="separate"/>
            </w:r>
            <w:r w:rsidR="00110057">
              <w:fldChar w:fldCharType="end"/>
            </w:r>
          </w:p>
        </w:tc>
        <w:bookmarkStart w:id="1" w:name="_GoBack"/>
        <w:tc>
          <w:tcPr>
            <w:tcW w:w="6480" w:type="dxa"/>
          </w:tcPr>
          <w:p w:rsidR="006B4807" w:rsidRDefault="00110057" w:rsidP="006B4807">
            <w:r w:rsidRPr="00BD62DE">
              <w:rPr>
                <w:rFonts w:ascii="Arial" w:hAnsi="Arial" w:cs="Arial"/>
                <w:color w:val="000000" w:themeColor="text1"/>
              </w:rPr>
              <w:lastRenderedPageBreak/>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3A1D2D">
              <w:t>The department has standardized the process for which design employers and students are paired for internships, but this process is not supported by the college.  (Cynthia Cully has performed the role of internship coordinator</w:t>
            </w:r>
            <w:r w:rsidR="006B4807">
              <w:t xml:space="preserve"> and matched many students and employers, yet rec</w:t>
            </w:r>
            <w:r w:rsidR="00290774">
              <w:t>e</w:t>
            </w:r>
            <w:r w:rsidR="006B4807">
              <w:t>ives no compen</w:t>
            </w:r>
            <w:r w:rsidR="006F00E3">
              <w:t>s</w:t>
            </w:r>
            <w:r w:rsidR="006B4807">
              <w:t xml:space="preserve">ation for this work.)  </w:t>
            </w:r>
          </w:p>
          <w:p w:rsidR="006B4807" w:rsidRDefault="006B4807" w:rsidP="006B4807"/>
          <w:p w:rsidR="003109F5" w:rsidRDefault="006B4807" w:rsidP="006F00E3">
            <w:r>
              <w:t xml:space="preserve">The department doesn't feel that the Design industry could support 60+ interns per year without a dedicated professional who could develop internships by reaching out to industry </w:t>
            </w:r>
            <w:r w:rsidR="006F00E3">
              <w:t xml:space="preserve">to </w:t>
            </w:r>
            <w:r>
              <w:t>demonstrat</w:t>
            </w:r>
            <w:r w:rsidR="006F00E3">
              <w:t>e</w:t>
            </w:r>
            <w:r>
              <w:t xml:space="preserve"> the benefits of hiring an intern to potential employers.</w:t>
            </w:r>
            <w:r w:rsidR="00110057" w:rsidRPr="00BD62DE">
              <w:rPr>
                <w:rFonts w:ascii="Arial" w:hAnsi="Arial" w:cs="Arial"/>
                <w:color w:val="000000" w:themeColor="text1"/>
              </w:rPr>
              <w:fldChar w:fldCharType="end"/>
            </w:r>
            <w:bookmarkEnd w:id="1"/>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3692"/>
        <w:gridCol w:w="1742"/>
        <w:gridCol w:w="1430"/>
        <w:gridCol w:w="2250"/>
        <w:gridCol w:w="4028"/>
      </w:tblGrid>
      <w:tr w:rsidR="00B34F9E" w:rsidRPr="004C52FC" w:rsidTr="004E49B5">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E49B5">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AA5740" w:rsidRDefault="00110057" w:rsidP="001D736E">
            <w:pPr>
              <w:ind w:left="72"/>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AA5740">
              <w:t>Annual Spring Portfolio Show for IND and VIS.</w:t>
            </w:r>
          </w:p>
          <w:p w:rsidR="00B34F9E" w:rsidRDefault="00AA5740" w:rsidP="001D736E">
            <w:pPr>
              <w:ind w:left="72"/>
              <w:rPr>
                <w:rFonts w:asciiTheme="minorHAnsi" w:hAnsiTheme="minorHAnsi" w:cs="Arial"/>
                <w:color w:val="000000" w:themeColor="text1"/>
              </w:rPr>
            </w:pPr>
            <w:r>
              <w:t>First year Assessment for IND</w:t>
            </w:r>
            <w:r w:rsidR="00110057" w:rsidRPr="00DA0D9C">
              <w:rPr>
                <w:rFonts w:ascii="Arial" w:hAnsi="Arial" w:cs="Arial"/>
                <w:color w:val="000000" w:themeColor="text1"/>
              </w:rPr>
              <w:fldChar w:fldCharType="end"/>
            </w:r>
          </w:p>
          <w:p w:rsidR="004E49B5" w:rsidRPr="004C52FC" w:rsidRDefault="004E49B5" w:rsidP="001D736E">
            <w:pPr>
              <w:ind w:left="72"/>
              <w:rPr>
                <w:rFonts w:asciiTheme="minorHAnsi" w:hAnsiTheme="minorHAnsi" w:cs="Arial"/>
                <w:color w:val="000000" w:themeColor="text1"/>
              </w:rPr>
            </w:pPr>
          </w:p>
        </w:tc>
        <w:tc>
          <w:tcPr>
            <w:tcW w:w="4028" w:type="dxa"/>
            <w:shd w:val="clear" w:color="auto" w:fill="auto"/>
          </w:tcPr>
          <w:p w:rsidR="00634418" w:rsidRDefault="00110057" w:rsidP="00634418">
            <w:pPr>
              <w:ind w:left="72"/>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634418">
              <w:t xml:space="preserve">For VIS portfolio students the aggregate result for "critical thinking" in 2013 was 4.19 on a 5 point scale.  This is down slightly from a nine year average of 4.23. </w:t>
            </w:r>
          </w:p>
          <w:p w:rsidR="00634418" w:rsidRDefault="00634418" w:rsidP="00634418">
            <w:pPr>
              <w:ind w:left="72"/>
            </w:pPr>
          </w:p>
          <w:p w:rsidR="00634418" w:rsidRDefault="00634418" w:rsidP="00634418">
            <w:pPr>
              <w:ind w:left="72"/>
            </w:pPr>
            <w:r>
              <w:t xml:space="preserve">For IND portfolio students the aggregate result </w:t>
            </w:r>
            <w:r w:rsidR="00A72AEF">
              <w:t>for</w:t>
            </w:r>
            <w:r>
              <w:t xml:space="preserve"> "critical thinking" in 2013 was 4.33 on a 5 point scale.  This was down slightly from a nine year average of 4.46.</w:t>
            </w:r>
          </w:p>
          <w:p w:rsidR="00634418" w:rsidRDefault="00634418" w:rsidP="00634418">
            <w:pPr>
              <w:ind w:left="72"/>
            </w:pPr>
          </w:p>
          <w:p w:rsidR="00634418" w:rsidRDefault="00634418" w:rsidP="00634418">
            <w:pPr>
              <w:ind w:left="72"/>
            </w:pPr>
            <w:r>
              <w:t>For the First Year Assessment, under interior design "problem solving" the aggregate score in 2013 was 2.91 slightly below the nine year average of 3.03.</w:t>
            </w:r>
          </w:p>
          <w:p w:rsidR="00B34F9E" w:rsidRPr="004C52FC" w:rsidRDefault="00110057" w:rsidP="00634418">
            <w:pPr>
              <w:ind w:left="72"/>
              <w:rPr>
                <w:rFonts w:asciiTheme="minorHAnsi" w:hAnsiTheme="minorHAnsi" w:cs="Arial"/>
                <w:color w:val="000000" w:themeColor="text1"/>
              </w:rPr>
            </w:pPr>
            <w:r w:rsidRPr="00DA0D9C">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E49B5" w:rsidRPr="004C52FC" w:rsidTr="006C28B1">
        <w:trPr>
          <w:trHeight w:val="274"/>
        </w:trPr>
        <w:tc>
          <w:tcPr>
            <w:tcW w:w="3708" w:type="dxa"/>
            <w:gridSpan w:val="2"/>
            <w:tcBorders>
              <w:right w:val="single" w:sz="4" w:space="0" w:color="auto"/>
            </w:tcBorders>
            <w:shd w:val="clear" w:color="auto" w:fill="FFFFFF"/>
            <w:vAlign w:val="center"/>
          </w:tcPr>
          <w:p w:rsidR="004E49B5" w:rsidRPr="004C52FC" w:rsidRDefault="004E49B5"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E49B5" w:rsidRPr="004C52FC" w:rsidRDefault="004E49B5"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E49B5" w:rsidRPr="004C52FC" w:rsidRDefault="004E49B5"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E49B5" w:rsidRPr="004C52FC" w:rsidRDefault="004E49B5" w:rsidP="001D736E">
            <w:pPr>
              <w:ind w:left="72"/>
              <w:rPr>
                <w:rFonts w:asciiTheme="minorHAnsi" w:hAnsiTheme="minorHAnsi" w:cs="Arial"/>
                <w:color w:val="000000" w:themeColor="text1"/>
              </w:rPr>
            </w:pPr>
          </w:p>
        </w:tc>
        <w:tc>
          <w:tcPr>
            <w:tcW w:w="4028" w:type="dxa"/>
            <w:shd w:val="clear" w:color="auto" w:fill="000000" w:themeFill="text1"/>
          </w:tcPr>
          <w:p w:rsidR="004E49B5" w:rsidRPr="004C52FC" w:rsidRDefault="004E49B5" w:rsidP="001D736E">
            <w:pPr>
              <w:ind w:left="72"/>
              <w:rPr>
                <w:rFonts w:asciiTheme="minorHAnsi" w:hAnsiTheme="minorHAnsi" w:cs="Arial"/>
                <w:color w:val="000000" w:themeColor="text1"/>
              </w:rPr>
            </w:pPr>
          </w:p>
        </w:tc>
      </w:tr>
      <w:tr w:rsidR="004E49B5" w:rsidRPr="004C52FC" w:rsidTr="006C28B1">
        <w:trPr>
          <w:trHeight w:val="274"/>
        </w:trPr>
        <w:tc>
          <w:tcPr>
            <w:tcW w:w="3708" w:type="dxa"/>
            <w:gridSpan w:val="2"/>
            <w:tcBorders>
              <w:right w:val="single" w:sz="4" w:space="0" w:color="auto"/>
            </w:tcBorders>
            <w:shd w:val="clear" w:color="auto" w:fill="FFFFFF"/>
            <w:vAlign w:val="center"/>
          </w:tcPr>
          <w:p w:rsidR="004E49B5" w:rsidRPr="004C52FC" w:rsidRDefault="004E49B5"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E49B5" w:rsidRPr="004C52FC" w:rsidRDefault="004E49B5"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E49B5" w:rsidRPr="004C52FC" w:rsidRDefault="004E49B5"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E49B5" w:rsidRPr="004C52FC" w:rsidRDefault="004E49B5" w:rsidP="001D736E">
            <w:pPr>
              <w:ind w:left="72"/>
              <w:rPr>
                <w:rFonts w:asciiTheme="minorHAnsi" w:hAnsiTheme="minorHAnsi" w:cs="Arial"/>
                <w:color w:val="000000" w:themeColor="text1"/>
              </w:rPr>
            </w:pPr>
          </w:p>
        </w:tc>
        <w:tc>
          <w:tcPr>
            <w:tcW w:w="4028" w:type="dxa"/>
            <w:shd w:val="clear" w:color="auto" w:fill="000000" w:themeFill="text1"/>
          </w:tcPr>
          <w:p w:rsidR="004E49B5" w:rsidRPr="004C52FC" w:rsidRDefault="004E49B5"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lastRenderedPageBreak/>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EA0B10">
            <w:pPr>
              <w:jc w:val="center"/>
              <w:rPr>
                <w:rFonts w:asciiTheme="minorHAnsi" w:hAnsiTheme="minorHAnsi" w:cs="Arial"/>
                <w:color w:val="000000" w:themeColor="text1"/>
                <w:sz w:val="20"/>
              </w:rPr>
            </w:pPr>
          </w:p>
        </w:tc>
        <w:tc>
          <w:tcPr>
            <w:tcW w:w="4028" w:type="dxa"/>
          </w:tcPr>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109F5" w:rsidRPr="004C52FC" w:rsidTr="00EA0B10">
        <w:trPr>
          <w:trHeight w:val="274"/>
        </w:trPr>
        <w:tc>
          <w:tcPr>
            <w:tcW w:w="3708" w:type="dxa"/>
            <w:gridSpan w:val="2"/>
            <w:shd w:val="clear" w:color="auto" w:fill="FFFFFF"/>
            <w:vAlign w:val="center"/>
          </w:tcPr>
          <w:p w:rsidR="003109F5" w:rsidRPr="00814EB1" w:rsidRDefault="003109F5" w:rsidP="00EA0B10">
            <w:pPr>
              <w:rPr>
                <w:rFonts w:ascii="Verdana" w:hAnsi="Verdana"/>
                <w:sz w:val="20"/>
                <w:szCs w:val="20"/>
              </w:rPr>
            </w:pPr>
            <w:r w:rsidRPr="00F83269">
              <w:rPr>
                <w:rFonts w:ascii="Verdana" w:hAnsi="Verdana"/>
                <w:sz w:val="20"/>
                <w:szCs w:val="20"/>
              </w:rPr>
              <w:t xml:space="preserve">Recognize, understand and use the language and jargon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Pr="00AD236A" w:rsidRDefault="003109F5" w:rsidP="00EA0B10">
            <w:pPr>
              <w:rPr>
                <w:rFonts w:ascii="Verdana" w:hAnsi="Verdana"/>
                <w:sz w:val="20"/>
                <w:szCs w:val="20"/>
              </w:rPr>
            </w:pPr>
            <w:r>
              <w:rPr>
                <w:rFonts w:ascii="Verdana" w:hAnsi="Verdana"/>
                <w:sz w:val="20"/>
                <w:szCs w:val="20"/>
              </w:rPr>
              <w:t>IND 2260</w:t>
            </w:r>
          </w:p>
        </w:tc>
        <w:tc>
          <w:tcPr>
            <w:tcW w:w="1430" w:type="dxa"/>
            <w:shd w:val="clear" w:color="auto" w:fill="auto"/>
          </w:tcPr>
          <w:p w:rsidR="003109F5" w:rsidRPr="004C52FC" w:rsidRDefault="00110057"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2012-13</w:t>
            </w:r>
            <w:r w:rsidRPr="00E96263">
              <w:rPr>
                <w:rFonts w:ascii="Arial" w:hAnsi="Arial" w:cs="Arial"/>
                <w:color w:val="000000" w:themeColor="text1"/>
              </w:rPr>
              <w:fldChar w:fldCharType="end"/>
            </w:r>
          </w:p>
        </w:tc>
        <w:tc>
          <w:tcPr>
            <w:tcW w:w="2250" w:type="dxa"/>
          </w:tcPr>
          <w:p w:rsidR="003109F5" w:rsidRDefault="00110057" w:rsidP="006F00E3">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6F00E3">
              <w:t xml:space="preserve"> </w:t>
            </w:r>
            <w:r w:rsidR="00BC5BB9" w:rsidRPr="00BC5BB9">
              <w:t>Annual portfolio show in which industry professionals provide a score of 1-5 based on a review of student co</w:t>
            </w:r>
            <w:r w:rsidR="00BC5BB9">
              <w:t>ursework.</w:t>
            </w:r>
            <w:r w:rsidRPr="00DA0D9C">
              <w:rPr>
                <w:rFonts w:ascii="Arial" w:hAnsi="Arial" w:cs="Arial"/>
                <w:color w:val="000000" w:themeColor="text1"/>
              </w:rPr>
              <w:fldChar w:fldCharType="end"/>
            </w:r>
          </w:p>
        </w:tc>
        <w:tc>
          <w:tcPr>
            <w:tcW w:w="4028" w:type="dxa"/>
          </w:tcPr>
          <w:p w:rsidR="003109F5" w:rsidRDefault="00110057" w:rsidP="00A72AEF">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A72AEF">
              <w:t xml:space="preserve">For IND graduates the </w:t>
            </w:r>
            <w:r w:rsidR="00634418">
              <w:t xml:space="preserve">aggregate average for </w:t>
            </w:r>
            <w:r w:rsidR="00A72AEF">
              <w:t>"</w:t>
            </w:r>
            <w:r w:rsidR="00634418">
              <w:t>verbal communication</w:t>
            </w:r>
            <w:r w:rsidR="00A72AEF">
              <w:t>" was 4.17 down from a nine year average of 4.41. As mentioned previously</w:t>
            </w:r>
            <w:r w:rsidR="006F00E3">
              <w:t>,</w:t>
            </w:r>
            <w:r w:rsidR="00A72AEF">
              <w:t xml:space="preserve"> this set included four students each assessed by three separate reviewers.</w:t>
            </w:r>
            <w:r w:rsidR="00634418">
              <w:t xml:space="preserve"> </w:t>
            </w:r>
            <w:r w:rsidRPr="00DA0D9C">
              <w:rPr>
                <w:rFonts w:ascii="Arial" w:hAnsi="Arial" w:cs="Arial"/>
                <w:color w:val="000000" w:themeColor="text1"/>
              </w:rPr>
              <w:fldChar w:fldCharType="end"/>
            </w:r>
          </w:p>
        </w:tc>
      </w:tr>
      <w:tr w:rsidR="003109F5" w:rsidRPr="004C52FC" w:rsidTr="00EA0B10">
        <w:trPr>
          <w:trHeight w:val="72"/>
        </w:trPr>
        <w:tc>
          <w:tcPr>
            <w:tcW w:w="3708" w:type="dxa"/>
            <w:gridSpan w:val="2"/>
            <w:shd w:val="clear" w:color="auto" w:fill="FFFFFF"/>
            <w:vAlign w:val="center"/>
          </w:tcPr>
          <w:p w:rsidR="003109F5" w:rsidRPr="00814EB1" w:rsidRDefault="003109F5" w:rsidP="00EA0B10">
            <w:pPr>
              <w:rPr>
                <w:rFonts w:ascii="Verdana" w:hAnsi="Verdana"/>
                <w:sz w:val="20"/>
                <w:szCs w:val="20"/>
              </w:rPr>
            </w:pPr>
            <w:r w:rsidRPr="00F83269">
              <w:rPr>
                <w:rFonts w:ascii="Verdana" w:hAnsi="Verdana"/>
                <w:sz w:val="20"/>
                <w:szCs w:val="20"/>
              </w:rPr>
              <w:t xml:space="preserve">Discuss the history, fundamentals and basic theories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VIS 1100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Pr="00AD236A" w:rsidRDefault="003109F5" w:rsidP="00EA0B10">
            <w:pPr>
              <w:rPr>
                <w:rFonts w:ascii="Verdana" w:hAnsi="Verdana"/>
                <w:sz w:val="20"/>
                <w:szCs w:val="20"/>
              </w:rPr>
            </w:pPr>
            <w:r>
              <w:rPr>
                <w:rFonts w:ascii="Verdana" w:hAnsi="Verdana"/>
                <w:sz w:val="20"/>
                <w:szCs w:val="20"/>
              </w:rPr>
              <w:t>IND 2260</w:t>
            </w:r>
          </w:p>
        </w:tc>
        <w:tc>
          <w:tcPr>
            <w:tcW w:w="1430" w:type="dxa"/>
            <w:shd w:val="clear" w:color="auto" w:fill="auto"/>
          </w:tcPr>
          <w:p w:rsidR="003109F5" w:rsidRPr="004C52FC" w:rsidRDefault="003109F5" w:rsidP="00F268E9">
            <w:pPr>
              <w:rPr>
                <w:rFonts w:asciiTheme="minorHAnsi" w:hAnsiTheme="minorHAnsi" w:cs="Arial"/>
                <w:color w:val="000000" w:themeColor="text1"/>
              </w:rPr>
            </w:pPr>
          </w:p>
        </w:tc>
        <w:tc>
          <w:tcPr>
            <w:tcW w:w="2250"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rPr>
          <w:trHeight w:val="72"/>
        </w:trPr>
        <w:tc>
          <w:tcPr>
            <w:tcW w:w="3708" w:type="dxa"/>
            <w:gridSpan w:val="2"/>
            <w:shd w:val="clear" w:color="auto" w:fill="FFFFFF"/>
            <w:vAlign w:val="center"/>
          </w:tcPr>
          <w:p w:rsidR="003109F5" w:rsidRPr="00814EB1" w:rsidRDefault="003109F5" w:rsidP="00EA0B10">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 xml:space="preserve"> solving skills to a variety of </w:t>
            </w:r>
            <w:r>
              <w:rPr>
                <w:rFonts w:ascii="Verdana" w:hAnsi="Verdana"/>
                <w:sz w:val="20"/>
                <w:szCs w:val="20"/>
              </w:rPr>
              <w:t xml:space="preserve">interior </w:t>
            </w:r>
            <w:r w:rsidRPr="00F83269">
              <w:rPr>
                <w:rFonts w:ascii="Verdana" w:hAnsi="Verdana"/>
                <w:sz w:val="20"/>
                <w:szCs w:val="20"/>
              </w:rPr>
              <w:t>design problems.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Pr="00AD236A" w:rsidRDefault="003109F5" w:rsidP="00EA0B10">
            <w:pPr>
              <w:rPr>
                <w:rFonts w:ascii="Verdana" w:hAnsi="Verdana"/>
                <w:sz w:val="20"/>
                <w:szCs w:val="20"/>
              </w:rPr>
            </w:pPr>
            <w:r>
              <w:rPr>
                <w:rFonts w:ascii="Verdana" w:hAnsi="Verdana"/>
                <w:sz w:val="20"/>
                <w:szCs w:val="20"/>
              </w:rPr>
              <w:t>IND 2260</w:t>
            </w:r>
          </w:p>
        </w:tc>
        <w:tc>
          <w:tcPr>
            <w:tcW w:w="1430" w:type="dxa"/>
            <w:shd w:val="clear" w:color="auto" w:fill="auto"/>
          </w:tcPr>
          <w:p w:rsidR="003109F5" w:rsidRPr="00D60B78" w:rsidRDefault="00110057" w:rsidP="00F268E9">
            <w:pPr>
              <w:rPr>
                <w:rFonts w:asciiTheme="minorHAnsi" w:hAnsiTheme="minorHAnsi" w:cs="Arial"/>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F268E9" w:rsidRPr="00D60B78">
              <w:rPr>
                <w:color w:val="FF0000"/>
              </w:rPr>
              <w:t>2011-12</w:t>
            </w:r>
            <w:r w:rsidRPr="00D60B78">
              <w:rPr>
                <w:rFonts w:ascii="Arial" w:hAnsi="Arial" w:cs="Arial"/>
                <w:color w:val="FF0000"/>
              </w:rPr>
              <w:fldChar w:fldCharType="end"/>
            </w:r>
          </w:p>
        </w:tc>
        <w:tc>
          <w:tcPr>
            <w:tcW w:w="2250" w:type="dxa"/>
          </w:tcPr>
          <w:p w:rsidR="003109F5" w:rsidRPr="00D60B78" w:rsidRDefault="00110057" w:rsidP="0051599E">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C5BB9" w:rsidRPr="00D60B78">
              <w:rPr>
                <w:color w:val="FF0000"/>
              </w:rPr>
              <w:t>•</w:t>
            </w:r>
            <w:r w:rsidR="0051599E">
              <w:t xml:space="preserve">  </w:t>
            </w:r>
            <w:r w:rsidR="00BC5BB9" w:rsidRPr="00D60B78">
              <w:rPr>
                <w:color w:val="FF0000"/>
              </w:rPr>
              <w:t>Annual portfolio show in which industry professionals provide a score of 1-5 based on a review of student coursework.</w:t>
            </w:r>
            <w:r w:rsidRPr="00D60B78">
              <w:rPr>
                <w:rFonts w:ascii="Arial" w:hAnsi="Arial" w:cs="Arial"/>
                <w:color w:val="FF0000"/>
              </w:rPr>
              <w:fldChar w:fldCharType="end"/>
            </w:r>
          </w:p>
        </w:tc>
        <w:tc>
          <w:tcPr>
            <w:tcW w:w="4028" w:type="dxa"/>
          </w:tcPr>
          <w:p w:rsidR="003109F5" w:rsidRPr="00D60B78" w:rsidRDefault="00110057" w:rsidP="006C3F43">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25938" w:rsidRPr="00D60B78">
              <w:rPr>
                <w:color w:val="FF0000"/>
              </w:rPr>
              <w:t>Aggregate result w</w:t>
            </w:r>
            <w:r w:rsidR="006C3F43" w:rsidRPr="00D60B78">
              <w:rPr>
                <w:color w:val="FF0000"/>
              </w:rPr>
              <w:t xml:space="preserve">as </w:t>
            </w:r>
            <w:r w:rsidR="00B25938" w:rsidRPr="00D60B78">
              <w:rPr>
                <w:color w:val="FF0000"/>
              </w:rPr>
              <w:t>4.45 for IND students.</w:t>
            </w:r>
            <w:r w:rsidRPr="00D60B78">
              <w:rPr>
                <w:rFonts w:ascii="Arial" w:hAnsi="Arial" w:cs="Arial"/>
                <w:color w:val="FF0000"/>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 xml:space="preserve">Communicate design concepts at various stages of development using the design process, drawing </w:t>
            </w:r>
            <w:r w:rsidRPr="00F83269">
              <w:rPr>
                <w:rFonts w:ascii="Verdana" w:hAnsi="Verdana"/>
                <w:sz w:val="20"/>
                <w:szCs w:val="20"/>
              </w:rPr>
              <w:lastRenderedPageBreak/>
              <w:t>skills and/or appropriate software.</w:t>
            </w:r>
          </w:p>
        </w:tc>
        <w:tc>
          <w:tcPr>
            <w:tcW w:w="1742" w:type="dxa"/>
            <w:vAlign w:val="center"/>
          </w:tcPr>
          <w:p w:rsidR="003109F5" w:rsidRDefault="003109F5" w:rsidP="00EA0B10">
            <w:pPr>
              <w:rPr>
                <w:rFonts w:ascii="Verdana" w:hAnsi="Verdana"/>
                <w:sz w:val="20"/>
                <w:szCs w:val="20"/>
              </w:rPr>
            </w:pPr>
            <w:r>
              <w:rPr>
                <w:rFonts w:ascii="Verdana" w:hAnsi="Verdana"/>
                <w:sz w:val="20"/>
                <w:szCs w:val="20"/>
              </w:rPr>
              <w:lastRenderedPageBreak/>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lastRenderedPageBreak/>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2260</w:t>
            </w:r>
          </w:p>
          <w:p w:rsidR="003109F5" w:rsidRPr="00AD236A" w:rsidRDefault="003109F5" w:rsidP="00EA0B10">
            <w:pPr>
              <w:rPr>
                <w:rFonts w:ascii="Verdana" w:hAnsi="Verdana"/>
                <w:sz w:val="20"/>
                <w:szCs w:val="20"/>
              </w:rPr>
            </w:pPr>
            <w:r>
              <w:rPr>
                <w:rFonts w:ascii="Verdana" w:hAnsi="Verdana"/>
                <w:sz w:val="20"/>
                <w:szCs w:val="20"/>
              </w:rPr>
              <w:t>CAT 1101</w:t>
            </w:r>
          </w:p>
        </w:tc>
        <w:tc>
          <w:tcPr>
            <w:tcW w:w="1430" w:type="dxa"/>
          </w:tcPr>
          <w:p w:rsidR="003109F5" w:rsidRPr="004C52FC" w:rsidRDefault="003109F5" w:rsidP="00F268E9">
            <w:pPr>
              <w:rPr>
                <w:rFonts w:asciiTheme="minorHAnsi" w:hAnsiTheme="minorHAnsi" w:cs="Arial"/>
                <w:color w:val="000000" w:themeColor="text1"/>
              </w:rPr>
            </w:pPr>
          </w:p>
        </w:tc>
        <w:tc>
          <w:tcPr>
            <w:tcW w:w="2250" w:type="dxa"/>
          </w:tcPr>
          <w:p w:rsidR="003109F5" w:rsidRDefault="00110057" w:rsidP="00FD590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D5900">
              <w:t xml:space="preserve">2013-14 </w:t>
            </w:r>
            <w:r w:rsidR="00FD5900" w:rsidRPr="00FD5900">
              <w:t xml:space="preserve">•Annual portfolio show in </w:t>
            </w:r>
            <w:r w:rsidR="00FD5900" w:rsidRPr="00FD5900">
              <w:lastRenderedPageBreak/>
              <w:t>which industry professionals provide a score of 1-5 based on a review of student coursework.</w:t>
            </w:r>
            <w:r w:rsidR="00FD5900">
              <w:t>-</w:t>
            </w:r>
            <w:r w:rsidRPr="00DA0D9C">
              <w:rPr>
                <w:rFonts w:ascii="Arial" w:hAnsi="Arial" w:cs="Arial"/>
                <w:color w:val="000000" w:themeColor="text1"/>
              </w:rPr>
              <w:fldChar w:fldCharType="end"/>
            </w:r>
          </w:p>
        </w:tc>
        <w:tc>
          <w:tcPr>
            <w:tcW w:w="4028" w:type="dxa"/>
          </w:tcPr>
          <w:p w:rsidR="003109F5" w:rsidRDefault="00110057" w:rsidP="00EA0B10">
            <w:r w:rsidRPr="00DA0D9C">
              <w:rPr>
                <w:rFonts w:ascii="Arial" w:hAnsi="Arial" w:cs="Arial"/>
                <w:color w:val="000000" w:themeColor="text1"/>
              </w:rPr>
              <w:lastRenderedPageBreak/>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lastRenderedPageBreak/>
              <w:t xml:space="preserve">Develop </w:t>
            </w:r>
            <w:r>
              <w:rPr>
                <w:rFonts w:ascii="Verdana" w:hAnsi="Verdana"/>
                <w:sz w:val="20"/>
                <w:szCs w:val="20"/>
              </w:rPr>
              <w:t>floor plans, interior views and other relevant design documents using traditional and computer-based methods</w:t>
            </w:r>
            <w:r w:rsidRPr="00F83269">
              <w:rPr>
                <w:rFonts w:ascii="Verdana" w:hAnsi="Verdana"/>
                <w:sz w:val="20"/>
                <w:szCs w:val="20"/>
              </w:rPr>
              <w:t>.</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Default="003109F5" w:rsidP="00EA0B10">
            <w:pPr>
              <w:rPr>
                <w:rFonts w:ascii="Verdana" w:hAnsi="Verdana"/>
                <w:sz w:val="20"/>
                <w:szCs w:val="20"/>
              </w:rPr>
            </w:pPr>
            <w:r>
              <w:rPr>
                <w:rFonts w:ascii="Verdana" w:hAnsi="Verdana"/>
                <w:sz w:val="20"/>
                <w:szCs w:val="20"/>
              </w:rPr>
              <w:t>IND 2260</w:t>
            </w:r>
          </w:p>
          <w:p w:rsidR="003109F5" w:rsidRPr="00AD236A" w:rsidRDefault="003109F5" w:rsidP="00EA0B10">
            <w:pPr>
              <w:rPr>
                <w:rFonts w:ascii="Verdana" w:hAnsi="Verdana"/>
                <w:sz w:val="20"/>
                <w:szCs w:val="20"/>
              </w:rPr>
            </w:pPr>
            <w:r>
              <w:rPr>
                <w:rFonts w:ascii="Verdana" w:hAnsi="Verdana"/>
                <w:sz w:val="20"/>
                <w:szCs w:val="20"/>
              </w:rPr>
              <w:t>CAT 1101</w:t>
            </w:r>
          </w:p>
        </w:tc>
        <w:tc>
          <w:tcPr>
            <w:tcW w:w="1430" w:type="dxa"/>
          </w:tcPr>
          <w:p w:rsidR="003109F5" w:rsidRPr="004C52FC" w:rsidRDefault="003109F5" w:rsidP="00BC5BB9">
            <w:pPr>
              <w:rPr>
                <w:rFonts w:asciiTheme="minorHAnsi" w:hAnsiTheme="minorHAnsi" w:cs="Arial"/>
                <w:color w:val="000000" w:themeColor="text1"/>
              </w:rPr>
            </w:pPr>
          </w:p>
        </w:tc>
        <w:tc>
          <w:tcPr>
            <w:tcW w:w="2250"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Develop professional quality presentations and demonstrate adequate written and oral communication skills.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Default="003109F5" w:rsidP="00EA0B10">
            <w:pPr>
              <w:rPr>
                <w:rFonts w:ascii="Verdana" w:hAnsi="Verdana"/>
                <w:sz w:val="20"/>
                <w:szCs w:val="20"/>
              </w:rPr>
            </w:pPr>
            <w:r>
              <w:rPr>
                <w:rFonts w:ascii="Verdana" w:hAnsi="Verdana"/>
                <w:sz w:val="20"/>
                <w:szCs w:val="20"/>
              </w:rPr>
              <w:t>IND 2260</w:t>
            </w:r>
          </w:p>
          <w:p w:rsidR="003109F5" w:rsidRDefault="003109F5" w:rsidP="00EA0B10">
            <w:pPr>
              <w:rPr>
                <w:rFonts w:ascii="Verdana" w:hAnsi="Verdana"/>
                <w:sz w:val="20"/>
                <w:szCs w:val="20"/>
              </w:rPr>
            </w:pPr>
            <w:r>
              <w:rPr>
                <w:rFonts w:ascii="Verdana" w:hAnsi="Verdana"/>
                <w:sz w:val="20"/>
                <w:szCs w:val="20"/>
              </w:rPr>
              <w:t>ENG 1101</w:t>
            </w:r>
          </w:p>
          <w:p w:rsidR="003109F5" w:rsidRPr="00AD236A" w:rsidRDefault="003109F5" w:rsidP="00EA0B10">
            <w:pPr>
              <w:rPr>
                <w:rFonts w:ascii="Verdana" w:hAnsi="Verdana"/>
                <w:sz w:val="20"/>
                <w:szCs w:val="20"/>
              </w:rPr>
            </w:pPr>
            <w:r>
              <w:rPr>
                <w:rFonts w:ascii="Verdana" w:hAnsi="Verdana"/>
                <w:sz w:val="20"/>
                <w:szCs w:val="20"/>
              </w:rPr>
              <w:t>COM 2206</w:t>
            </w:r>
          </w:p>
        </w:tc>
        <w:tc>
          <w:tcPr>
            <w:tcW w:w="1430" w:type="dxa"/>
          </w:tcPr>
          <w:p w:rsidR="003109F5" w:rsidRPr="00D60B78" w:rsidRDefault="00110057" w:rsidP="00BC5BB9">
            <w:pPr>
              <w:rPr>
                <w:rFonts w:asciiTheme="minorHAnsi" w:hAnsiTheme="minorHAnsi" w:cs="Arial"/>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C5BB9" w:rsidRPr="00D60B78">
              <w:rPr>
                <w:color w:val="FF0000"/>
              </w:rPr>
              <w:t>2011-12</w:t>
            </w:r>
            <w:r w:rsidRPr="00D60B78">
              <w:rPr>
                <w:rFonts w:ascii="Arial" w:hAnsi="Arial" w:cs="Arial"/>
                <w:color w:val="FF0000"/>
              </w:rPr>
              <w:fldChar w:fldCharType="end"/>
            </w:r>
          </w:p>
        </w:tc>
        <w:tc>
          <w:tcPr>
            <w:tcW w:w="2250" w:type="dxa"/>
          </w:tcPr>
          <w:p w:rsidR="00BC5BB9" w:rsidRPr="00D60B78" w:rsidRDefault="00110057" w:rsidP="00BC5BB9">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C5BB9" w:rsidRPr="00D60B78">
              <w:rPr>
                <w:color w:val="FF0000"/>
              </w:rPr>
              <w:t>•</w:t>
            </w:r>
            <w:r w:rsidR="0051599E">
              <w:t xml:space="preserve"> </w:t>
            </w:r>
            <w:r w:rsidR="00BC5BB9" w:rsidRPr="00D60B78">
              <w:rPr>
                <w:color w:val="FF0000"/>
              </w:rPr>
              <w:t>Annual portfolio show in which industry professionals provide a score of 1-5 based on a review of student coursework.</w:t>
            </w:r>
          </w:p>
          <w:p w:rsidR="003109F5" w:rsidRPr="00D60B78" w:rsidRDefault="00110057" w:rsidP="00BC5BB9">
            <w:pPr>
              <w:rPr>
                <w:color w:val="FF0000"/>
              </w:rPr>
            </w:pPr>
            <w:r w:rsidRPr="00D60B78">
              <w:rPr>
                <w:rFonts w:ascii="Arial" w:hAnsi="Arial" w:cs="Arial"/>
                <w:color w:val="FF0000"/>
              </w:rPr>
              <w:fldChar w:fldCharType="end"/>
            </w:r>
          </w:p>
        </w:tc>
        <w:tc>
          <w:tcPr>
            <w:tcW w:w="4028" w:type="dxa"/>
          </w:tcPr>
          <w:p w:rsidR="003109F5" w:rsidRPr="00D60B78" w:rsidRDefault="00110057" w:rsidP="006C3F43">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25938" w:rsidRPr="00D60B78">
              <w:rPr>
                <w:color w:val="FF0000"/>
              </w:rPr>
              <w:t xml:space="preserve">Aggregate result was </w:t>
            </w:r>
            <w:r w:rsidR="006C3F43" w:rsidRPr="00D60B78">
              <w:rPr>
                <w:color w:val="FF0000"/>
              </w:rPr>
              <w:t>4.53</w:t>
            </w:r>
            <w:r w:rsidR="00B25938" w:rsidRPr="00D60B78">
              <w:rPr>
                <w:color w:val="FF0000"/>
              </w:rPr>
              <w:t xml:space="preserve"> for IND students.</w:t>
            </w:r>
            <w:r w:rsidRPr="00D60B78">
              <w:rPr>
                <w:rFonts w:ascii="Arial" w:hAnsi="Arial" w:cs="Arial"/>
                <w:color w:val="FF0000"/>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 xml:space="preserve">Demonstrate an understanding of the business fundamentals of </w:t>
            </w:r>
            <w:r>
              <w:rPr>
                <w:rFonts w:ascii="Verdana" w:hAnsi="Verdana"/>
                <w:sz w:val="20"/>
                <w:szCs w:val="20"/>
              </w:rPr>
              <w:t>interior design</w:t>
            </w:r>
            <w:r w:rsidRPr="00F83269">
              <w:rPr>
                <w:rFonts w:ascii="Verdana" w:hAnsi="Verdana"/>
                <w:sz w:val="20"/>
                <w:szCs w:val="20"/>
              </w:rPr>
              <w:t>.</w:t>
            </w:r>
          </w:p>
        </w:tc>
        <w:tc>
          <w:tcPr>
            <w:tcW w:w="1742" w:type="dxa"/>
            <w:vAlign w:val="center"/>
          </w:tcPr>
          <w:p w:rsidR="003109F5" w:rsidRDefault="003109F5" w:rsidP="00EA0B10">
            <w:pPr>
              <w:rPr>
                <w:rFonts w:ascii="Verdana" w:hAnsi="Verdana"/>
                <w:sz w:val="20"/>
                <w:szCs w:val="20"/>
              </w:rPr>
            </w:pPr>
            <w:r>
              <w:rPr>
                <w:rFonts w:ascii="Verdana" w:hAnsi="Verdana"/>
                <w:sz w:val="20"/>
                <w:szCs w:val="20"/>
              </w:rPr>
              <w:t>IND 2260</w:t>
            </w:r>
          </w:p>
          <w:p w:rsidR="003109F5" w:rsidRDefault="003109F5" w:rsidP="00EA0B10">
            <w:pPr>
              <w:rPr>
                <w:rFonts w:ascii="Verdana" w:hAnsi="Verdana"/>
                <w:sz w:val="20"/>
                <w:szCs w:val="20"/>
              </w:rPr>
            </w:pPr>
            <w:r>
              <w:rPr>
                <w:rFonts w:ascii="Verdana" w:hAnsi="Verdana"/>
                <w:sz w:val="20"/>
                <w:szCs w:val="20"/>
              </w:rPr>
              <w:t>CAT 1101</w:t>
            </w:r>
          </w:p>
          <w:p w:rsidR="003109F5" w:rsidRPr="00AD236A" w:rsidRDefault="003109F5" w:rsidP="00EA0B10">
            <w:pPr>
              <w:rPr>
                <w:rFonts w:ascii="Verdana" w:hAnsi="Verdana"/>
                <w:sz w:val="20"/>
                <w:szCs w:val="20"/>
              </w:rPr>
            </w:pPr>
            <w:r>
              <w:rPr>
                <w:rFonts w:ascii="Verdana" w:hAnsi="Verdana"/>
                <w:sz w:val="20"/>
                <w:szCs w:val="20"/>
              </w:rPr>
              <w:t xml:space="preserve">MRK </w:t>
            </w:r>
          </w:p>
        </w:tc>
        <w:tc>
          <w:tcPr>
            <w:tcW w:w="1430" w:type="dxa"/>
          </w:tcPr>
          <w:p w:rsidR="003109F5" w:rsidRPr="004C52FC" w:rsidRDefault="00110057"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2012-13</w:t>
            </w:r>
            <w:r w:rsidRPr="00E96263">
              <w:rPr>
                <w:rFonts w:ascii="Arial" w:hAnsi="Arial" w:cs="Arial"/>
                <w:color w:val="000000" w:themeColor="text1"/>
              </w:rPr>
              <w:fldChar w:fldCharType="end"/>
            </w:r>
          </w:p>
        </w:tc>
        <w:tc>
          <w:tcPr>
            <w:tcW w:w="2250" w:type="dxa"/>
          </w:tcPr>
          <w:p w:rsidR="00BC5BB9" w:rsidRPr="00BC5BB9" w:rsidRDefault="00110057"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51599E">
              <w:t xml:space="preserve">  </w:t>
            </w:r>
            <w:r w:rsidR="00BC5BB9" w:rsidRPr="00BC5BB9">
              <w:t>Annual portfolio show in which industry professionals provide a score of 1-</w:t>
            </w:r>
            <w:r w:rsidR="00BC5BB9" w:rsidRPr="00BC5BB9">
              <w:lastRenderedPageBreak/>
              <w:t>5 based on a review of student coursework.</w:t>
            </w:r>
          </w:p>
          <w:p w:rsidR="003109F5" w:rsidRDefault="00110057" w:rsidP="00BC5BB9">
            <w:r w:rsidRPr="00DA0D9C">
              <w:rPr>
                <w:rFonts w:ascii="Arial" w:hAnsi="Arial" w:cs="Arial"/>
                <w:color w:val="000000" w:themeColor="text1"/>
              </w:rPr>
              <w:fldChar w:fldCharType="end"/>
            </w:r>
          </w:p>
        </w:tc>
        <w:tc>
          <w:tcPr>
            <w:tcW w:w="4028" w:type="dxa"/>
          </w:tcPr>
          <w:p w:rsidR="003109F5" w:rsidRDefault="00110057" w:rsidP="0051599E">
            <w:r w:rsidRPr="00DA0D9C">
              <w:rPr>
                <w:rFonts w:ascii="Arial" w:hAnsi="Arial" w:cs="Arial"/>
                <w:color w:val="000000" w:themeColor="text1"/>
              </w:rPr>
              <w:lastRenderedPageBreak/>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D5900" w:rsidRPr="00FD5900">
              <w:t>For IND graduates the aggregate average for "</w:t>
            </w:r>
            <w:r w:rsidR="00FD5900">
              <w:t>knowledge o</w:t>
            </w:r>
            <w:r w:rsidR="0051599E">
              <w:t>f p</w:t>
            </w:r>
            <w:r w:rsidR="00FD5900">
              <w:t>ractice</w:t>
            </w:r>
            <w:r w:rsidR="00FD5900" w:rsidRPr="00FD5900">
              <w:t xml:space="preserve">" was </w:t>
            </w:r>
            <w:r w:rsidR="00FD5900">
              <w:t>4.22</w:t>
            </w:r>
            <w:r w:rsidR="0051599E">
              <w:t>,</w:t>
            </w:r>
            <w:r w:rsidR="00FD5900">
              <w:t xml:space="preserve"> up</w:t>
            </w:r>
            <w:r w:rsidR="00FD5900" w:rsidRPr="00FD5900">
              <w:t xml:space="preserve"> from a nine year average of 4.</w:t>
            </w:r>
            <w:r w:rsidR="00FD5900">
              <w:t>15</w:t>
            </w:r>
            <w:r w:rsidR="00FD5900" w:rsidRPr="00FD5900">
              <w:t>. As mentioned previously</w:t>
            </w:r>
            <w:r w:rsidR="0051599E">
              <w:t>,</w:t>
            </w:r>
            <w:r w:rsidR="00FD5900" w:rsidRPr="00FD5900">
              <w:t xml:space="preserve"> this set included four students each </w:t>
            </w:r>
            <w:r w:rsidR="00FD5900" w:rsidRPr="00FD5900">
              <w:lastRenderedPageBreak/>
              <w:t xml:space="preserve">assessed by three separate reviewers. </w:t>
            </w:r>
            <w:r w:rsidRPr="00DA0D9C">
              <w:rPr>
                <w:rFonts w:ascii="Arial" w:hAnsi="Arial" w:cs="Arial"/>
                <w:color w:val="000000" w:themeColor="text1"/>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814EB1" w:rsidRDefault="003109F5" w:rsidP="00EA0B10">
            <w:pPr>
              <w:rPr>
                <w:rFonts w:ascii="Verdana" w:hAnsi="Verdana"/>
                <w:sz w:val="20"/>
                <w:szCs w:val="20"/>
              </w:rPr>
            </w:pPr>
            <w:r w:rsidRPr="00F83269">
              <w:rPr>
                <w:rFonts w:ascii="Verdana" w:hAnsi="Verdana"/>
                <w:sz w:val="20"/>
                <w:szCs w:val="20"/>
              </w:rPr>
              <w:lastRenderedPageBreak/>
              <w:t>Recognize, understand and use the language and jargon of 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4C52FC" w:rsidRDefault="00110057"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2012-13</w:t>
            </w:r>
            <w:r w:rsidRPr="00E96263">
              <w:rPr>
                <w:rFonts w:ascii="Arial" w:hAnsi="Arial" w:cs="Arial"/>
                <w:color w:val="000000" w:themeColor="text1"/>
              </w:rPr>
              <w:fldChar w:fldCharType="end"/>
            </w:r>
          </w:p>
        </w:tc>
        <w:tc>
          <w:tcPr>
            <w:tcW w:w="2250" w:type="dxa"/>
          </w:tcPr>
          <w:p w:rsidR="00BC5BB9" w:rsidRPr="00BC5BB9" w:rsidRDefault="00110057"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51599E">
              <w:t xml:space="preserve">  </w:t>
            </w:r>
            <w:r w:rsidR="00BC5BB9" w:rsidRPr="00BC5BB9">
              <w:t>Annual portfolio show in which industry professionals provide a score of 1-5 based on a review of student coursework.</w:t>
            </w:r>
          </w:p>
          <w:p w:rsidR="003109F5" w:rsidRDefault="00110057" w:rsidP="00BC5BB9">
            <w:r w:rsidRPr="00DA0D9C">
              <w:rPr>
                <w:rFonts w:ascii="Arial" w:hAnsi="Arial" w:cs="Arial"/>
                <w:color w:val="000000" w:themeColor="text1"/>
              </w:rPr>
              <w:fldChar w:fldCharType="end"/>
            </w:r>
          </w:p>
        </w:tc>
        <w:tc>
          <w:tcPr>
            <w:tcW w:w="4028" w:type="dxa"/>
          </w:tcPr>
          <w:p w:rsidR="003109F5" w:rsidRDefault="00110057" w:rsidP="0051599E">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D5900" w:rsidRPr="00FD5900">
              <w:t xml:space="preserve">For </w:t>
            </w:r>
            <w:r w:rsidR="00FD5900">
              <w:t>VIS</w:t>
            </w:r>
            <w:r w:rsidR="00FD5900" w:rsidRPr="00FD5900">
              <w:t xml:space="preserve"> graduates the aggregate average for "verbal communication" was </w:t>
            </w:r>
            <w:r w:rsidR="00FD5900">
              <w:t>4.06</w:t>
            </w:r>
            <w:r w:rsidR="0051599E">
              <w:t>,</w:t>
            </w:r>
            <w:r w:rsidR="00FD5900" w:rsidRPr="00FD5900">
              <w:t xml:space="preserve"> down from a nine year average of 4.</w:t>
            </w:r>
            <w:r w:rsidR="00FD5900">
              <w:t>17</w:t>
            </w:r>
            <w:r w:rsidR="00FD5900" w:rsidRPr="00FD5900">
              <w:t>.</w:t>
            </w:r>
            <w:r w:rsidRPr="00DA0D9C">
              <w:rPr>
                <w:rFonts w:ascii="Arial" w:hAnsi="Arial" w:cs="Arial"/>
                <w:color w:val="000000" w:themeColor="text1"/>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814EB1" w:rsidRDefault="003109F5" w:rsidP="00EA0B10">
            <w:pPr>
              <w:rPr>
                <w:rFonts w:ascii="Verdana" w:hAnsi="Verdana"/>
                <w:sz w:val="20"/>
                <w:szCs w:val="20"/>
              </w:rPr>
            </w:pPr>
            <w:r w:rsidRPr="00F83269">
              <w:rPr>
                <w:rFonts w:ascii="Verdana" w:hAnsi="Verdana"/>
                <w:sz w:val="20"/>
                <w:szCs w:val="20"/>
              </w:rPr>
              <w:t>Discuss the history, fundamentals and basic theories of 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VIS 1100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Pr="00AD236A" w:rsidRDefault="003109F5" w:rsidP="00EA0B10">
            <w:pPr>
              <w:rPr>
                <w:rFonts w:ascii="Verdana" w:hAnsi="Verdana"/>
                <w:sz w:val="20"/>
                <w:szCs w:val="20"/>
              </w:rPr>
            </w:pPr>
            <w:r>
              <w:rPr>
                <w:rFonts w:ascii="Verdana" w:hAnsi="Verdana"/>
                <w:sz w:val="20"/>
                <w:szCs w:val="20"/>
              </w:rPr>
              <w:t>VIS 2160</w:t>
            </w:r>
          </w:p>
        </w:tc>
        <w:tc>
          <w:tcPr>
            <w:tcW w:w="1430" w:type="dxa"/>
          </w:tcPr>
          <w:p w:rsidR="003109F5" w:rsidRPr="004C52FC" w:rsidRDefault="003109F5" w:rsidP="00BC5BB9">
            <w:pPr>
              <w:rPr>
                <w:rFonts w:asciiTheme="minorHAnsi" w:hAnsiTheme="minorHAnsi" w:cs="Arial"/>
                <w:color w:val="000000" w:themeColor="text1"/>
              </w:rPr>
            </w:pPr>
          </w:p>
        </w:tc>
        <w:tc>
          <w:tcPr>
            <w:tcW w:w="2250"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814EB1" w:rsidRDefault="003109F5" w:rsidP="00EA0B10">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solving skills to a variety of design problems.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D60B78" w:rsidRDefault="00110057" w:rsidP="00BC5BB9">
            <w:pPr>
              <w:rPr>
                <w:rFonts w:asciiTheme="minorHAnsi" w:hAnsiTheme="minorHAnsi" w:cs="Arial"/>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C5BB9" w:rsidRPr="00D60B78">
              <w:rPr>
                <w:color w:val="FF0000"/>
              </w:rPr>
              <w:t>2011-12</w:t>
            </w:r>
            <w:r w:rsidRPr="00D60B78">
              <w:rPr>
                <w:rFonts w:ascii="Arial" w:hAnsi="Arial" w:cs="Arial"/>
                <w:color w:val="FF0000"/>
              </w:rPr>
              <w:fldChar w:fldCharType="end"/>
            </w:r>
          </w:p>
        </w:tc>
        <w:tc>
          <w:tcPr>
            <w:tcW w:w="2250" w:type="dxa"/>
          </w:tcPr>
          <w:p w:rsidR="00BC5BB9" w:rsidRPr="00D60B78" w:rsidRDefault="00110057" w:rsidP="00BC5BB9">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C5BB9" w:rsidRPr="00D60B78">
              <w:rPr>
                <w:color w:val="FF0000"/>
              </w:rPr>
              <w:t>•</w:t>
            </w:r>
            <w:r w:rsidR="0051599E">
              <w:t xml:space="preserve">  </w:t>
            </w:r>
            <w:r w:rsidR="00BC5BB9" w:rsidRPr="00D60B78">
              <w:rPr>
                <w:color w:val="FF0000"/>
              </w:rPr>
              <w:t>Annual portfolio show in which industry professionals provide a score of 1-5 based on a review of student coursework.</w:t>
            </w:r>
          </w:p>
          <w:p w:rsidR="003109F5" w:rsidRPr="00D60B78" w:rsidRDefault="00110057" w:rsidP="00BC5BB9">
            <w:pPr>
              <w:rPr>
                <w:color w:val="FF0000"/>
              </w:rPr>
            </w:pPr>
            <w:r w:rsidRPr="00D60B78">
              <w:rPr>
                <w:rFonts w:ascii="Arial" w:hAnsi="Arial" w:cs="Arial"/>
                <w:color w:val="FF0000"/>
              </w:rPr>
              <w:fldChar w:fldCharType="end"/>
            </w:r>
          </w:p>
        </w:tc>
        <w:tc>
          <w:tcPr>
            <w:tcW w:w="4028" w:type="dxa"/>
          </w:tcPr>
          <w:p w:rsidR="003109F5" w:rsidRPr="00D60B78" w:rsidRDefault="00110057" w:rsidP="006C3F43">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6C3F43" w:rsidRPr="00D60B78">
              <w:rPr>
                <w:color w:val="FF0000"/>
              </w:rPr>
              <w:t xml:space="preserve">Aggregate result was 4.13 for VIS students. </w:t>
            </w:r>
            <w:r w:rsidRPr="00D60B78">
              <w:rPr>
                <w:rFonts w:ascii="Arial" w:hAnsi="Arial" w:cs="Arial"/>
                <w:color w:val="FF0000"/>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Communicate design concepts at various stages of development using the design process, drawing skills and/or appropriate software.</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lastRenderedPageBreak/>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4C52FC" w:rsidRDefault="003109F5" w:rsidP="00BC5BB9">
            <w:pPr>
              <w:rPr>
                <w:rFonts w:asciiTheme="minorHAnsi" w:hAnsiTheme="minorHAnsi" w:cs="Arial"/>
                <w:color w:val="000000" w:themeColor="text1"/>
              </w:rPr>
            </w:pPr>
          </w:p>
        </w:tc>
        <w:tc>
          <w:tcPr>
            <w:tcW w:w="2250" w:type="dxa"/>
          </w:tcPr>
          <w:p w:rsidR="003109F5" w:rsidRDefault="00110057" w:rsidP="00FD590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D5900">
              <w:t>2013-14-</w:t>
            </w:r>
            <w:r w:rsidR="00FD5900" w:rsidRPr="00FD5900">
              <w:t>•Annual portfolio show in which industry professionals provide a score of 1-</w:t>
            </w:r>
            <w:r w:rsidR="00FD5900" w:rsidRPr="00FD5900">
              <w:lastRenderedPageBreak/>
              <w:t>5 based on a review of student coursework.</w:t>
            </w:r>
            <w:r w:rsidRPr="00DA0D9C">
              <w:rPr>
                <w:rFonts w:ascii="Arial" w:hAnsi="Arial" w:cs="Arial"/>
                <w:color w:val="000000" w:themeColor="text1"/>
              </w:rPr>
              <w:fldChar w:fldCharType="end"/>
            </w:r>
          </w:p>
        </w:tc>
        <w:tc>
          <w:tcPr>
            <w:tcW w:w="4028" w:type="dxa"/>
          </w:tcPr>
          <w:p w:rsidR="003109F5" w:rsidRDefault="00110057" w:rsidP="00EA0B10">
            <w:r w:rsidRPr="00DA0D9C">
              <w:rPr>
                <w:rFonts w:ascii="Arial" w:hAnsi="Arial" w:cs="Arial"/>
                <w:color w:val="000000" w:themeColor="text1"/>
              </w:rPr>
              <w:lastRenderedPageBreak/>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lastRenderedPageBreak/>
              <w:t>Develop print, animation and new media concepts using traditional and computer-based design tools.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4C52FC" w:rsidRDefault="003109F5" w:rsidP="00BC5BB9">
            <w:pPr>
              <w:rPr>
                <w:rFonts w:asciiTheme="minorHAnsi" w:hAnsiTheme="minorHAnsi" w:cs="Arial"/>
                <w:color w:val="000000" w:themeColor="text1"/>
              </w:rPr>
            </w:pPr>
          </w:p>
        </w:tc>
        <w:tc>
          <w:tcPr>
            <w:tcW w:w="2250"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110057"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Develop professional quality presentations and demonstrate adequate written and oral communication skills.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Default="003109F5" w:rsidP="00EA0B10">
            <w:pPr>
              <w:rPr>
                <w:rFonts w:ascii="Verdana" w:hAnsi="Verdana"/>
                <w:sz w:val="20"/>
                <w:szCs w:val="20"/>
              </w:rPr>
            </w:pPr>
            <w:r>
              <w:rPr>
                <w:rFonts w:ascii="Verdana" w:hAnsi="Verdana"/>
                <w:sz w:val="20"/>
                <w:szCs w:val="20"/>
              </w:rPr>
              <w:t>VIS 2260</w:t>
            </w:r>
          </w:p>
          <w:p w:rsidR="003109F5" w:rsidRDefault="003109F5" w:rsidP="00EA0B10">
            <w:pPr>
              <w:rPr>
                <w:rFonts w:ascii="Verdana" w:hAnsi="Verdana"/>
                <w:sz w:val="20"/>
                <w:szCs w:val="20"/>
              </w:rPr>
            </w:pPr>
            <w:r>
              <w:rPr>
                <w:rFonts w:ascii="Verdana" w:hAnsi="Verdana"/>
                <w:sz w:val="20"/>
                <w:szCs w:val="20"/>
              </w:rPr>
              <w:t>ENG 1101</w:t>
            </w:r>
          </w:p>
          <w:p w:rsidR="003109F5" w:rsidRPr="00AD236A" w:rsidRDefault="003109F5" w:rsidP="00EA0B10">
            <w:pPr>
              <w:rPr>
                <w:rFonts w:ascii="Verdana" w:hAnsi="Verdana"/>
                <w:sz w:val="20"/>
                <w:szCs w:val="20"/>
              </w:rPr>
            </w:pPr>
            <w:r>
              <w:rPr>
                <w:rFonts w:ascii="Verdana" w:hAnsi="Verdana"/>
                <w:sz w:val="20"/>
                <w:szCs w:val="20"/>
              </w:rPr>
              <w:t>COM 2206</w:t>
            </w:r>
          </w:p>
        </w:tc>
        <w:tc>
          <w:tcPr>
            <w:tcW w:w="1430" w:type="dxa"/>
          </w:tcPr>
          <w:p w:rsidR="003109F5" w:rsidRPr="00D60B78" w:rsidRDefault="00110057" w:rsidP="00BC5BB9">
            <w:pPr>
              <w:rPr>
                <w:rFonts w:asciiTheme="minorHAnsi" w:hAnsiTheme="minorHAnsi" w:cs="Arial"/>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C5BB9" w:rsidRPr="00D60B78">
              <w:rPr>
                <w:color w:val="FF0000"/>
              </w:rPr>
              <w:t>2011-12</w:t>
            </w:r>
            <w:r w:rsidRPr="00D60B78">
              <w:rPr>
                <w:rFonts w:ascii="Arial" w:hAnsi="Arial" w:cs="Arial"/>
                <w:color w:val="FF0000"/>
              </w:rPr>
              <w:fldChar w:fldCharType="end"/>
            </w:r>
          </w:p>
        </w:tc>
        <w:tc>
          <w:tcPr>
            <w:tcW w:w="2250" w:type="dxa"/>
          </w:tcPr>
          <w:p w:rsidR="00BC5BB9" w:rsidRPr="00D60B78" w:rsidRDefault="00110057" w:rsidP="00BC5BB9">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BC5BB9" w:rsidRPr="00D60B78">
              <w:rPr>
                <w:color w:val="FF0000"/>
              </w:rPr>
              <w:t>•</w:t>
            </w:r>
            <w:r w:rsidR="0051599E">
              <w:t xml:space="preserve">  </w:t>
            </w:r>
            <w:r w:rsidR="00BC5BB9" w:rsidRPr="00D60B78">
              <w:rPr>
                <w:color w:val="FF0000"/>
              </w:rPr>
              <w:t>Annual portfolio show in which industry professionals provide a score of 1-5 based on a review of student coursework.</w:t>
            </w:r>
          </w:p>
          <w:p w:rsidR="003109F5" w:rsidRPr="00D60B78" w:rsidRDefault="00110057" w:rsidP="00BC5BB9">
            <w:pPr>
              <w:rPr>
                <w:color w:val="FF0000"/>
              </w:rPr>
            </w:pPr>
            <w:r w:rsidRPr="00D60B78">
              <w:rPr>
                <w:rFonts w:ascii="Arial" w:hAnsi="Arial" w:cs="Arial"/>
                <w:color w:val="FF0000"/>
              </w:rPr>
              <w:fldChar w:fldCharType="end"/>
            </w:r>
          </w:p>
        </w:tc>
        <w:tc>
          <w:tcPr>
            <w:tcW w:w="4028" w:type="dxa"/>
          </w:tcPr>
          <w:p w:rsidR="003109F5" w:rsidRPr="00D60B78" w:rsidRDefault="00110057" w:rsidP="006C3F43">
            <w:pPr>
              <w:rPr>
                <w:color w:val="FF0000"/>
              </w:rPr>
            </w:pPr>
            <w:r w:rsidRPr="00D60B78">
              <w:rPr>
                <w:rFonts w:ascii="Arial" w:hAnsi="Arial" w:cs="Arial"/>
                <w:color w:val="FF0000"/>
              </w:rPr>
              <w:fldChar w:fldCharType="begin">
                <w:ffData>
                  <w:name w:val="Text1"/>
                  <w:enabled/>
                  <w:calcOnExit w:val="0"/>
                  <w:textInput/>
                </w:ffData>
              </w:fldChar>
            </w:r>
            <w:r w:rsidR="003109F5" w:rsidRPr="00D60B78">
              <w:rPr>
                <w:rFonts w:ascii="Arial" w:hAnsi="Arial" w:cs="Arial"/>
                <w:color w:val="FF0000"/>
              </w:rPr>
              <w:instrText xml:space="preserve"> FORMTEXT </w:instrText>
            </w:r>
            <w:r w:rsidRPr="00D60B78">
              <w:rPr>
                <w:rFonts w:ascii="Arial" w:hAnsi="Arial" w:cs="Arial"/>
                <w:color w:val="FF0000"/>
              </w:rPr>
            </w:r>
            <w:r w:rsidRPr="00D60B78">
              <w:rPr>
                <w:rFonts w:ascii="Arial" w:hAnsi="Arial" w:cs="Arial"/>
                <w:color w:val="FF0000"/>
              </w:rPr>
              <w:fldChar w:fldCharType="separate"/>
            </w:r>
            <w:r w:rsidR="006C3F43" w:rsidRPr="00D60B78">
              <w:rPr>
                <w:color w:val="FF0000"/>
              </w:rPr>
              <w:t>Aggregate result was 4.24 for VIS students.</w:t>
            </w:r>
            <w:r w:rsidRPr="00D60B78">
              <w:rPr>
                <w:rFonts w:ascii="Arial" w:hAnsi="Arial" w:cs="Arial"/>
                <w:color w:val="FF0000"/>
              </w:rPr>
              <w:fldChar w:fldCharType="end"/>
            </w:r>
          </w:p>
        </w:tc>
      </w:tr>
      <w:tr w:rsidR="003109F5" w:rsidRPr="004C52FC" w:rsidTr="00EA0B10">
        <w:tblPrEx>
          <w:shd w:val="clear" w:color="auto" w:fill="auto"/>
          <w:tblLook w:val="04A0" w:firstRow="1" w:lastRow="0" w:firstColumn="1" w:lastColumn="0" w:noHBand="0" w:noVBand="1"/>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Demonstrate an understanding of the business fundamentals of visual communications.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VIS 2260</w:t>
            </w:r>
          </w:p>
          <w:p w:rsidR="003109F5" w:rsidRPr="00AD236A" w:rsidRDefault="003109F5" w:rsidP="00EA0B10">
            <w:pPr>
              <w:rPr>
                <w:rFonts w:ascii="Verdana" w:hAnsi="Verdana"/>
                <w:sz w:val="20"/>
                <w:szCs w:val="20"/>
              </w:rPr>
            </w:pPr>
            <w:r>
              <w:rPr>
                <w:rFonts w:ascii="Verdana" w:hAnsi="Verdana"/>
                <w:sz w:val="20"/>
                <w:szCs w:val="20"/>
              </w:rPr>
              <w:t>MRK 2102</w:t>
            </w:r>
          </w:p>
        </w:tc>
        <w:tc>
          <w:tcPr>
            <w:tcW w:w="1430" w:type="dxa"/>
          </w:tcPr>
          <w:p w:rsidR="003109F5" w:rsidRPr="004C52FC" w:rsidRDefault="003109F5" w:rsidP="00BC5BB9">
            <w:pPr>
              <w:rPr>
                <w:rFonts w:asciiTheme="minorHAnsi" w:hAnsiTheme="minorHAnsi" w:cs="Arial"/>
                <w:color w:val="000000" w:themeColor="text1"/>
              </w:rPr>
            </w:pPr>
          </w:p>
        </w:tc>
        <w:tc>
          <w:tcPr>
            <w:tcW w:w="2250" w:type="dxa"/>
          </w:tcPr>
          <w:p w:rsidR="00BC5BB9" w:rsidRPr="00BC5BB9" w:rsidRDefault="00110057"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51599E">
              <w:t xml:space="preserve">  </w:t>
            </w:r>
            <w:r w:rsidR="00BC5BB9" w:rsidRPr="00BC5BB9">
              <w:t xml:space="preserve">Annual portfolio show in which industry professionals provide a score of 1-5 based on a review of student </w:t>
            </w:r>
            <w:r w:rsidR="00BC5BB9" w:rsidRPr="00BC5BB9">
              <w:lastRenderedPageBreak/>
              <w:t>coursework.</w:t>
            </w:r>
          </w:p>
          <w:p w:rsidR="003109F5" w:rsidRDefault="00110057" w:rsidP="00BC5BB9">
            <w:r w:rsidRPr="00DA0D9C">
              <w:rPr>
                <w:rFonts w:ascii="Arial" w:hAnsi="Arial" w:cs="Arial"/>
                <w:color w:val="000000" w:themeColor="text1"/>
              </w:rPr>
              <w:fldChar w:fldCharType="end"/>
            </w:r>
          </w:p>
        </w:tc>
        <w:tc>
          <w:tcPr>
            <w:tcW w:w="4028" w:type="dxa"/>
          </w:tcPr>
          <w:p w:rsidR="003109F5" w:rsidRDefault="00110057" w:rsidP="00FD5900">
            <w:r w:rsidRPr="00DA0D9C">
              <w:rPr>
                <w:rFonts w:ascii="Arial" w:hAnsi="Arial" w:cs="Arial"/>
                <w:color w:val="000000" w:themeColor="text1"/>
              </w:rPr>
              <w:lastRenderedPageBreak/>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D5900" w:rsidRPr="00FD5900">
              <w:t xml:space="preserve">For </w:t>
            </w:r>
            <w:r w:rsidR="00FD5900">
              <w:t>VIS</w:t>
            </w:r>
            <w:r w:rsidR="00FD5900" w:rsidRPr="00FD5900">
              <w:t xml:space="preserve"> graduates</w:t>
            </w:r>
            <w:r w:rsidR="0051599E">
              <w:t>,</w:t>
            </w:r>
            <w:r w:rsidR="00FD5900" w:rsidRPr="00FD5900">
              <w:t xml:space="preserve"> the aggregate average for "</w:t>
            </w:r>
            <w:r w:rsidR="00FD5900">
              <w:t>knowledge of business practices</w:t>
            </w:r>
            <w:r w:rsidR="00FD5900" w:rsidRPr="00FD5900">
              <w:t xml:space="preserve">" was </w:t>
            </w:r>
            <w:r w:rsidR="00FD5900">
              <w:t>3.92</w:t>
            </w:r>
            <w:r w:rsidR="00FD5900" w:rsidRPr="00FD5900">
              <w:t xml:space="preserve"> down from a nine year average of 4.</w:t>
            </w:r>
            <w:r w:rsidR="00FD5900">
              <w:t>02</w:t>
            </w:r>
            <w:r w:rsidR="00FD5900" w:rsidRPr="00FD5900">
              <w:t xml:space="preserve">.  </w:t>
            </w:r>
            <w:r w:rsidRPr="00DA0D9C">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110057" w:rsidP="003E791C">
      <w:pPr>
        <w:pStyle w:val="ListParagraph"/>
        <w:tabs>
          <w:tab w:val="left" w:pos="5040"/>
        </w:tabs>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426F19">
        <w:t>Currenlty no changes are planned as a result of the general education outcomes assessment.</w:t>
      </w:r>
      <w:r w:rsidRPr="00DA0D9C">
        <w:rPr>
          <w:rFonts w:ascii="Arial" w:hAnsi="Arial" w:cs="Arial"/>
          <w:color w:val="000000" w:themeColor="text1"/>
        </w:rPr>
        <w:fldChar w:fldCharType="end"/>
      </w:r>
    </w:p>
    <w:p w:rsidR="008405C3" w:rsidRDefault="008405C3"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8405C3">
      <w:pPr>
        <w:tabs>
          <w:tab w:val="left" w:pos="5040"/>
        </w:tabs>
        <w:rPr>
          <w:rFonts w:ascii="Arial" w:hAnsi="Arial" w:cs="Arial"/>
          <w:color w:val="000000" w:themeColor="text1"/>
        </w:rPr>
      </w:pPr>
    </w:p>
    <w:p w:rsidR="008405C3" w:rsidRDefault="00110057" w:rsidP="008405C3">
      <w:pPr>
        <w:tabs>
          <w:tab w:val="left" w:pos="5040"/>
        </w:tabs>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426F19">
        <w:t xml:space="preserve">We will continue to use the two assessment pieces that are in place for the </w:t>
      </w:r>
      <w:r w:rsidR="0087704B">
        <w:t>programs.</w:t>
      </w:r>
      <w:r w:rsidRPr="00DA0D9C">
        <w:rPr>
          <w:rFonts w:ascii="Arial" w:hAnsi="Arial" w:cs="Arial"/>
          <w:color w:val="000000" w:themeColor="text1"/>
        </w:rPr>
        <w:fldChar w:fldCharType="end"/>
      </w:r>
    </w:p>
    <w:p w:rsidR="003109F5" w:rsidRPr="003109F5" w:rsidRDefault="003109F5" w:rsidP="003109F5">
      <w:pPr>
        <w:tabs>
          <w:tab w:val="left" w:pos="5040"/>
        </w:tabs>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110057">
      <w:pPr>
        <w:pStyle w:val="ListParagraph"/>
        <w:tabs>
          <w:tab w:val="left" w:pos="5040"/>
        </w:tabs>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426F19">
        <w:t>There are no changes planned as a result of the current assessment of program outcomes</w:t>
      </w:r>
      <w:r w:rsidR="009E6AF6">
        <w:t xml:space="preserve"> and we </w:t>
      </w:r>
      <w:r w:rsidR="00426F19">
        <w:t xml:space="preserve">will continue to assess the outcomes </w:t>
      </w:r>
      <w:r w:rsidR="0087704B">
        <w:t xml:space="preserve">to determine if changes should be made in the future.  </w:t>
      </w:r>
      <w:r w:rsidR="009E6AF6">
        <w:t>However, w</w:t>
      </w:r>
      <w:r w:rsidR="0087704B">
        <w:t>e do plan to assess the relevance of the current program outcomes.</w:t>
      </w:r>
      <w:r w:rsidRPr="00DA0D9C">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3109F5" w:rsidRDefault="00110057" w:rsidP="003109F5">
      <w:pPr>
        <w:tabs>
          <w:tab w:val="left" w:pos="5040"/>
        </w:tabs>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7704B">
        <w:t>We will continue to use the two assessment pieces that are in place for the programs.</w:t>
      </w:r>
      <w:r w:rsidRPr="00DA0D9C">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C2424E" w:rsidRDefault="00110057" w:rsidP="00EE3042">
      <w:pPr>
        <w:tabs>
          <w:tab w:val="left" w:pos="5040"/>
        </w:tabs>
      </w:pPr>
      <w:r w:rsidRPr="00DA0D9C">
        <w:rPr>
          <w:rFonts w:ascii="Arial" w:hAnsi="Arial" w:cs="Arial"/>
          <w:color w:val="000000" w:themeColor="text1"/>
        </w:rPr>
        <w:fldChar w:fldCharType="begin">
          <w:ffData>
            <w:name w:val="Text1"/>
            <w:enabled/>
            <w:calcOnExit w:val="0"/>
            <w:textInput/>
          </w:ffData>
        </w:fldChar>
      </w:r>
      <w:r w:rsidR="008405C3"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C2424E">
        <w:t>Work is on-going on the</w:t>
      </w:r>
      <w:r w:rsidR="00C2424E" w:rsidRPr="00C2424E">
        <w:t xml:space="preserve"> visual rubric for the First Year Assessment</w:t>
      </w:r>
      <w:r w:rsidR="00C2424E">
        <w:t xml:space="preserve">. </w:t>
      </w:r>
      <w:r w:rsidR="00C2424E" w:rsidRPr="00C2424E">
        <w:t xml:space="preserve">   </w:t>
      </w:r>
    </w:p>
    <w:p w:rsidR="00C2424E" w:rsidRDefault="00C2424E" w:rsidP="00EE3042">
      <w:pPr>
        <w:tabs>
          <w:tab w:val="left" w:pos="5040"/>
        </w:tabs>
      </w:pPr>
    </w:p>
    <w:p w:rsidR="004C52FC" w:rsidRPr="003109F5" w:rsidRDefault="00C2424E" w:rsidP="00EE3042">
      <w:pPr>
        <w:tabs>
          <w:tab w:val="left" w:pos="5040"/>
        </w:tabs>
        <w:rPr>
          <w:rFonts w:ascii="Arial" w:hAnsi="Arial" w:cs="Arial"/>
          <w:color w:val="000000" w:themeColor="text1"/>
        </w:rPr>
      </w:pPr>
      <w:r w:rsidRPr="00C2424E">
        <w:t xml:space="preserve"> </w:t>
      </w:r>
      <w:r>
        <w:t>T</w:t>
      </w:r>
      <w:r w:rsidRPr="00C2424E">
        <w:t>he Portfolio Show w</w:t>
      </w:r>
      <w:r>
        <w:t>ebsite</w:t>
      </w:r>
      <w:r w:rsidRPr="00C2424E">
        <w:t xml:space="preserve"> provides an easy link for our industry professionals to access the information about</w:t>
      </w:r>
      <w:r>
        <w:t xml:space="preserve"> and to RSVP for</w:t>
      </w:r>
      <w:r w:rsidRPr="00C2424E">
        <w:t xml:space="preserve"> the spring event</w:t>
      </w:r>
      <w:r w:rsidR="0051599E">
        <w:t>.  In</w:t>
      </w:r>
      <w:r>
        <w:t xml:space="preserve"> 2012-13 the website was expanded to provide information about profici</w:t>
      </w:r>
      <w:r w:rsidR="00A822F3">
        <w:t>e</w:t>
      </w:r>
      <w:r>
        <w:t>ncy testing and to provide links to real</w:t>
      </w:r>
      <w:r w:rsidR="0051599E">
        <w:t>a</w:t>
      </w:r>
      <w:r>
        <w:t xml:space="preserve">ted professional association pages.  </w:t>
      </w:r>
      <w:r w:rsidRPr="00C2424E">
        <w:t xml:space="preserve">  </w:t>
      </w:r>
      <w:r w:rsidR="00110057" w:rsidRPr="00DA0D9C">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A201E2" w:rsidRDefault="00A201E2" w:rsidP="00D5246D">
      <w:pPr>
        <w:spacing w:after="200" w:line="276" w:lineRule="auto"/>
        <w:rPr>
          <w:rFonts w:ascii="Arial" w:hAnsi="Arial" w:cs="Arial"/>
          <w:color w:val="000000" w:themeColor="text1"/>
        </w:rPr>
      </w:pPr>
    </w:p>
    <w:p w:rsidR="00C2424E" w:rsidRPr="00C2424E" w:rsidRDefault="00110057" w:rsidP="00C2424E">
      <w:r w:rsidRPr="008405C3">
        <w:rPr>
          <w:rFonts w:ascii="Arial" w:hAnsi="Arial" w:cs="Arial"/>
          <w:color w:val="000000" w:themeColor="text1"/>
        </w:rPr>
        <w:fldChar w:fldCharType="begin">
          <w:ffData>
            <w:name w:val="Text1"/>
            <w:enabled/>
            <w:calcOnExit w:val="0"/>
            <w:textInput/>
          </w:ffData>
        </w:fldChar>
      </w:r>
      <w:r w:rsidR="008405C3" w:rsidRPr="008405C3">
        <w:rPr>
          <w:rFonts w:ascii="Arial" w:hAnsi="Arial" w:cs="Arial"/>
          <w:color w:val="000000" w:themeColor="text1"/>
        </w:rPr>
        <w:instrText xml:space="preserve"> FORMTEXT </w:instrText>
      </w:r>
      <w:r w:rsidRPr="008405C3">
        <w:rPr>
          <w:rFonts w:ascii="Arial" w:hAnsi="Arial" w:cs="Arial"/>
          <w:color w:val="000000" w:themeColor="text1"/>
        </w:rPr>
      </w:r>
      <w:r w:rsidRPr="008405C3">
        <w:rPr>
          <w:rFonts w:ascii="Arial" w:hAnsi="Arial" w:cs="Arial"/>
          <w:color w:val="000000" w:themeColor="text1"/>
        </w:rPr>
        <w:fldChar w:fldCharType="separate"/>
      </w:r>
      <w:r w:rsidR="00C2424E">
        <w:t>The department developed clear standards for prof</w:t>
      </w:r>
      <w:r w:rsidR="00A822F3">
        <w:t>ic</w:t>
      </w:r>
      <w:r w:rsidR="00C2424E">
        <w:t xml:space="preserve">iency/portfolio testing for students wishing to use prior learning experience for course credit.  The department plans to further refine course compentencies and create rubrics for the evaluation of prior learning experience. </w:t>
      </w:r>
    </w:p>
    <w:p w:rsidR="00C2424E" w:rsidRPr="00C2424E" w:rsidRDefault="00C2424E" w:rsidP="00C2424E"/>
    <w:p w:rsidR="004E49B5" w:rsidRPr="008405C3" w:rsidRDefault="00110057" w:rsidP="00C2424E">
      <w:pPr>
        <w:tabs>
          <w:tab w:val="left" w:pos="5040"/>
        </w:tabs>
        <w:rPr>
          <w:rFonts w:ascii="Arial" w:hAnsi="Arial" w:cs="Arial"/>
          <w:b/>
          <w:color w:val="000000" w:themeColor="text1"/>
        </w:rPr>
        <w:sectPr w:rsidR="004E49B5" w:rsidRPr="008405C3" w:rsidSect="00A201E2">
          <w:pgSz w:w="12240" w:h="15840"/>
          <w:pgMar w:top="1152" w:right="1440" w:bottom="1152" w:left="1440" w:header="720" w:footer="288" w:gutter="0"/>
          <w:cols w:space="720"/>
          <w:docGrid w:linePitch="360"/>
        </w:sectPr>
      </w:pPr>
      <w:r w:rsidRPr="008405C3">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E49B5" w:rsidRDefault="004E49B5"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31"/>
        <w:gridCol w:w="3220"/>
        <w:gridCol w:w="2320"/>
        <w:gridCol w:w="860"/>
        <w:gridCol w:w="860"/>
        <w:gridCol w:w="860"/>
        <w:gridCol w:w="860"/>
        <w:gridCol w:w="960"/>
        <w:gridCol w:w="960"/>
      </w:tblGrid>
      <w:tr w:rsidR="004E49B5" w:rsidRPr="004E49B5" w:rsidTr="004E49B5">
        <w:trPr>
          <w:trHeight w:val="600"/>
        </w:trPr>
        <w:tc>
          <w:tcPr>
            <w:tcW w:w="960" w:type="dxa"/>
            <w:tcBorders>
              <w:top w:val="nil"/>
              <w:left w:val="nil"/>
              <w:bottom w:val="nil"/>
              <w:right w:val="nil"/>
            </w:tcBorders>
            <w:shd w:val="clear" w:color="auto" w:fill="auto"/>
            <w:noWrap/>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Division</w:t>
            </w:r>
          </w:p>
        </w:tc>
        <w:tc>
          <w:tcPr>
            <w:tcW w:w="1240" w:type="dxa"/>
            <w:tcBorders>
              <w:top w:val="nil"/>
              <w:left w:val="nil"/>
              <w:bottom w:val="nil"/>
              <w:right w:val="nil"/>
            </w:tcBorders>
            <w:shd w:val="clear" w:color="auto" w:fill="auto"/>
            <w:noWrap/>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noWrap/>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Department Name</w:t>
            </w:r>
          </w:p>
        </w:tc>
        <w:tc>
          <w:tcPr>
            <w:tcW w:w="2320" w:type="dxa"/>
            <w:tcBorders>
              <w:top w:val="nil"/>
              <w:left w:val="nil"/>
              <w:bottom w:val="nil"/>
              <w:right w:val="nil"/>
            </w:tcBorders>
            <w:shd w:val="clear" w:color="auto" w:fill="auto"/>
            <w:noWrap/>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Program</w:t>
            </w:r>
          </w:p>
        </w:tc>
        <w:tc>
          <w:tcPr>
            <w:tcW w:w="86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FY 10-11</w:t>
            </w:r>
          </w:p>
        </w:tc>
        <w:tc>
          <w:tcPr>
            <w:tcW w:w="96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FY 12-13</w:t>
            </w:r>
          </w:p>
        </w:tc>
      </w:tr>
      <w:tr w:rsidR="004E49B5" w:rsidRPr="004E49B5" w:rsidTr="004E49B5">
        <w:trPr>
          <w:trHeight w:val="300"/>
        </w:trPr>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DP.STC</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201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64</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38</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58</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17</w:t>
            </w:r>
          </w:p>
        </w:tc>
      </w:tr>
      <w:tr w:rsidR="004E49B5" w:rsidRPr="004E49B5" w:rsidTr="004E49B5">
        <w:trPr>
          <w:trHeight w:val="300"/>
        </w:trPr>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DPP.STC</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DPT.STC</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w:t>
            </w:r>
          </w:p>
        </w:tc>
      </w:tr>
      <w:tr w:rsidR="004E49B5" w:rsidRPr="004E49B5" w:rsidTr="004E49B5">
        <w:trPr>
          <w:trHeight w:val="300"/>
        </w:trPr>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IND.AAS</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24</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22</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17</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14</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13</w:t>
            </w:r>
          </w:p>
        </w:tc>
      </w:tr>
      <w:tr w:rsidR="004E49B5" w:rsidRPr="004E49B5" w:rsidTr="004E49B5">
        <w:trPr>
          <w:trHeight w:val="300"/>
        </w:trPr>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MLM.STC</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26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28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23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15</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11</w:t>
            </w:r>
          </w:p>
        </w:tc>
      </w:tr>
      <w:tr w:rsidR="004E49B5" w:rsidRPr="004E49B5" w:rsidTr="004E49B5">
        <w:trPr>
          <w:trHeight w:val="300"/>
        </w:trPr>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PRT.AAS</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VIDO.AAS</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VIS.AAS</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55</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43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49</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50</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68</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47</w:t>
            </w:r>
          </w:p>
        </w:tc>
      </w:tr>
      <w:tr w:rsidR="004E49B5" w:rsidRPr="004E49B5" w:rsidTr="004E49B5">
        <w:trPr>
          <w:trHeight w:val="300"/>
        </w:trPr>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23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VIS.S.AAS</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w:t>
            </w:r>
          </w:p>
        </w:tc>
      </w:tr>
    </w:tbl>
    <w:p w:rsidR="004E49B5" w:rsidRDefault="004E49B5" w:rsidP="00B61D81">
      <w:pPr>
        <w:rPr>
          <w:rFonts w:ascii="Arial" w:hAnsi="Arial" w:cs="Arial"/>
          <w:b/>
          <w:color w:val="000000" w:themeColor="text1"/>
        </w:rPr>
      </w:pPr>
    </w:p>
    <w:p w:rsidR="004E49B5" w:rsidRDefault="004E49B5" w:rsidP="00B61D81">
      <w:pPr>
        <w:rPr>
          <w:rFonts w:ascii="Arial" w:hAnsi="Arial" w:cs="Arial"/>
          <w:b/>
          <w:color w:val="000000" w:themeColor="text1"/>
        </w:rPr>
      </w:pPr>
    </w:p>
    <w:p w:rsidR="004E49B5" w:rsidRDefault="004E49B5" w:rsidP="00B61D81">
      <w:pPr>
        <w:rPr>
          <w:rFonts w:ascii="Arial" w:hAnsi="Arial" w:cs="Arial"/>
          <w:b/>
          <w:color w:val="000000" w:themeColor="text1"/>
        </w:rPr>
      </w:pPr>
    </w:p>
    <w:p w:rsidR="00B61D81" w:rsidRDefault="00B61D81" w:rsidP="004E49B5">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4E49B5" w:rsidRPr="004E49B5" w:rsidTr="004E49B5">
        <w:trPr>
          <w:trHeight w:val="600"/>
        </w:trPr>
        <w:tc>
          <w:tcPr>
            <w:tcW w:w="142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4E49B5" w:rsidRPr="004E49B5" w:rsidRDefault="004E49B5" w:rsidP="004E49B5">
            <w:pPr>
              <w:rPr>
                <w:rFonts w:ascii="Calibri" w:hAnsi="Calibri" w:cs="Calibri"/>
                <w:b/>
                <w:bCs/>
                <w:color w:val="000000"/>
              </w:rPr>
            </w:pPr>
            <w:r w:rsidRPr="004E49B5">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4E49B5" w:rsidRPr="004E49B5" w:rsidRDefault="004E49B5" w:rsidP="004E49B5">
            <w:pPr>
              <w:jc w:val="right"/>
              <w:rPr>
                <w:rFonts w:ascii="Calibri" w:hAnsi="Calibri" w:cs="Calibri"/>
                <w:b/>
                <w:bCs/>
                <w:color w:val="000000"/>
              </w:rPr>
            </w:pPr>
            <w:r w:rsidRPr="004E49B5">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4E49B5" w:rsidRPr="004E49B5" w:rsidRDefault="004E49B5" w:rsidP="004E49B5">
            <w:pPr>
              <w:jc w:val="right"/>
              <w:rPr>
                <w:rFonts w:ascii="Calibri" w:hAnsi="Calibri" w:cs="Calibri"/>
                <w:b/>
                <w:bCs/>
                <w:color w:val="000000"/>
              </w:rPr>
            </w:pPr>
            <w:r w:rsidRPr="004E49B5">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4E49B5" w:rsidRPr="004E49B5" w:rsidRDefault="004E49B5" w:rsidP="004E49B5">
            <w:pPr>
              <w:jc w:val="right"/>
              <w:rPr>
                <w:rFonts w:ascii="Calibri" w:hAnsi="Calibri" w:cs="Calibri"/>
                <w:b/>
                <w:bCs/>
                <w:color w:val="000000"/>
              </w:rPr>
            </w:pPr>
            <w:r w:rsidRPr="004E49B5">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4E49B5" w:rsidRPr="004E49B5" w:rsidRDefault="004E49B5" w:rsidP="004E49B5">
            <w:pPr>
              <w:jc w:val="right"/>
              <w:rPr>
                <w:rFonts w:ascii="Calibri" w:hAnsi="Calibri" w:cs="Calibri"/>
                <w:b/>
                <w:bCs/>
                <w:color w:val="000000"/>
              </w:rPr>
            </w:pPr>
            <w:r w:rsidRPr="004E49B5">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4E49B5" w:rsidRPr="004E49B5" w:rsidRDefault="004E49B5" w:rsidP="004E49B5">
            <w:pPr>
              <w:jc w:val="right"/>
              <w:rPr>
                <w:rFonts w:ascii="Calibri" w:hAnsi="Calibri" w:cs="Calibri"/>
                <w:b/>
                <w:bCs/>
                <w:color w:val="000000"/>
              </w:rPr>
            </w:pPr>
            <w:r w:rsidRPr="004E49B5">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4E49B5" w:rsidRPr="004E49B5" w:rsidRDefault="004E49B5" w:rsidP="004E49B5">
            <w:pPr>
              <w:jc w:val="right"/>
              <w:rPr>
                <w:rFonts w:ascii="Calibri" w:hAnsi="Calibri" w:cs="Calibri"/>
                <w:b/>
                <w:bCs/>
                <w:color w:val="000000"/>
              </w:rPr>
            </w:pPr>
            <w:r w:rsidRPr="004E49B5">
              <w:rPr>
                <w:rFonts w:ascii="Calibri" w:hAnsi="Calibri" w:cs="Calibri"/>
                <w:b/>
                <w:bCs/>
                <w:color w:val="000000"/>
                <w:sz w:val="22"/>
                <w:szCs w:val="22"/>
              </w:rPr>
              <w:t>FY 12-13</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IND-1180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78.6%</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IND-1230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83.3%</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IND-1234</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81.8%</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IND-1240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91.3%</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IND-131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73.8%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82.1%</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75.9%</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IND-132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88.6%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88.0%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91.3%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87.5%</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84.2%</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IND-133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93.8%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95.7%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95.2%</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IND-134</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88.5%</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65.2%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84.2%</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89.5%</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IND-135</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75.0%</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lastRenderedPageBreak/>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IND-2130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66.7%</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IND-2140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75.0%</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IND-2260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IND-231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89.5%</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IND-232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95.7%</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92.9%</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96.7%</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IND-233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94.7%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93.3%</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IND-240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89.7%</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93.3%</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88.9%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70.9%</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72.9%</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VIS-104</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70.6%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VIS-105</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76.4%</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80.5%</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79.6%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78.5%</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75.2%</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66.3%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73.3%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68.9%</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66.4%</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58.5%</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VIS-107</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64.9%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73.3%</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58.9%</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52.4%</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58.8%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59.2%</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51.4%</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VIS-109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73.3%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75.4%</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79.3%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77.9%</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65.7%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64.0%</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60.9%</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VIS-1100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61.7%</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VIS-1110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57.1%</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VIS-114</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70.0%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71.8%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69.4%</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67.0%</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84.9%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VIS-1140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59.0%</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VIS-115</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87.9%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95.9%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81.3%</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93.9%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76.1%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77.6%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81.2%</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91.3%</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73.2%</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VIS-117</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71.8%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66.1%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69.4%</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72.6%</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69.1%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69.7%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78.0%</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68.6%</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VIS-1180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60.9%</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VIS-1208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81.8%</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VIS-1218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65.2%</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VIS-1250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87.8%</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VIS-146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75.7%</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69.2%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74.3%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74.6%</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71.9%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VIS-147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68.4%</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72.4%</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62.3%</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71.0%</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VIS-148</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79.2%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76.1%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70.2%</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78.4%</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64.7%</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lastRenderedPageBreak/>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VIS-150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88.7%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83.1%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77.5%</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81.7%</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VIS-151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93.0%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97.6%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97.9%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80.5%</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VIS-180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73.6%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70.1%</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70.3%</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VIS-201</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84.4%</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77.9%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79.6%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94.1%</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90.5%</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78.6%</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VIS-202</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80.0%</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78.6%</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VIS-206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80.3%</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91.2%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94.2%</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91.2%</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VIS-207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90.6%</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89.4%</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VIS-2110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83.0%</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VIS-2120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83.0%</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VIS-2260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97.4%</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VIS-2270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VIS-236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92.9%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89.7%</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87.9%</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VIS-237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89.7%</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94.2%</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87.9%</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93.8%</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VIS-265</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81.0%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VIS-270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VIS-276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95.9%</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96.2%</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98.5%</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96.1%</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96.4%</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VIS-278</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94.2%</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96.2%</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98.0%</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98.4%</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89.2%</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VIS-297</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55.6%</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50.0%</w:t>
            </w:r>
          </w:p>
        </w:tc>
        <w:tc>
          <w:tcPr>
            <w:tcW w:w="86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w:t>
            </w:r>
          </w:p>
        </w:tc>
      </w:tr>
      <w:tr w:rsidR="004E49B5" w:rsidRPr="004E49B5" w:rsidTr="004E49B5">
        <w:trPr>
          <w:trHeight w:val="300"/>
        </w:trPr>
        <w:tc>
          <w:tcPr>
            <w:tcW w:w="14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0220</w:t>
            </w:r>
          </w:p>
        </w:tc>
        <w:tc>
          <w:tcPr>
            <w:tcW w:w="322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Design</w:t>
            </w:r>
          </w:p>
        </w:tc>
        <w:tc>
          <w:tcPr>
            <w:tcW w:w="1760" w:type="dxa"/>
            <w:tcBorders>
              <w:top w:val="nil"/>
              <w:left w:val="nil"/>
              <w:bottom w:val="nil"/>
              <w:right w:val="nil"/>
            </w:tcBorders>
            <w:shd w:val="clear" w:color="auto" w:fill="auto"/>
            <w:noWrap/>
            <w:vAlign w:val="bottom"/>
            <w:hideMark/>
          </w:tcPr>
          <w:p w:rsidR="004E49B5" w:rsidRPr="004E49B5" w:rsidRDefault="004E49B5" w:rsidP="004E49B5">
            <w:pPr>
              <w:rPr>
                <w:rFonts w:ascii="Calibri" w:hAnsi="Calibri" w:cs="Calibri"/>
                <w:color w:val="000000"/>
              </w:rPr>
            </w:pPr>
            <w:r w:rsidRPr="004E49B5">
              <w:rPr>
                <w:rFonts w:ascii="Calibri" w:hAnsi="Calibri" w:cs="Calibri"/>
                <w:color w:val="000000"/>
                <w:sz w:val="22"/>
                <w:szCs w:val="22"/>
              </w:rPr>
              <w:t>VIS-9201</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E49B5" w:rsidRPr="004E49B5" w:rsidRDefault="004E49B5" w:rsidP="004E49B5">
            <w:pPr>
              <w:jc w:val="right"/>
              <w:rPr>
                <w:rFonts w:ascii="Calibri" w:hAnsi="Calibri" w:cs="Calibri"/>
                <w:color w:val="000000"/>
              </w:rPr>
            </w:pPr>
            <w:r w:rsidRPr="004E49B5">
              <w:rPr>
                <w:rFonts w:ascii="Calibri" w:hAnsi="Calibri" w:cs="Calibri"/>
                <w:color w:val="000000"/>
                <w:sz w:val="22"/>
                <w:szCs w:val="22"/>
              </w:rPr>
              <w:t>66.7%</w:t>
            </w:r>
          </w:p>
        </w:tc>
      </w:tr>
    </w:tbl>
    <w:p w:rsidR="004E49B5" w:rsidRDefault="004E49B5" w:rsidP="004E49B5">
      <w:pPr>
        <w:spacing w:after="200" w:line="276" w:lineRule="auto"/>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4E49B5">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2CB" w:rsidRDefault="009B52CB" w:rsidP="0094204C">
      <w:r>
        <w:separator/>
      </w:r>
    </w:p>
  </w:endnote>
  <w:endnote w:type="continuationSeparator" w:id="0">
    <w:p w:rsidR="009B52CB" w:rsidRDefault="009B52CB"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7C2B54" w:rsidRDefault="007C2B54">
        <w:pPr>
          <w:pStyle w:val="Footer"/>
          <w:jc w:val="right"/>
        </w:pPr>
        <w:r>
          <w:fldChar w:fldCharType="begin"/>
        </w:r>
        <w:r>
          <w:instrText xml:space="preserve"> PAGE   \* MERGEFORMAT </w:instrText>
        </w:r>
        <w:r>
          <w:fldChar w:fldCharType="separate"/>
        </w:r>
        <w:r w:rsidR="00090E00">
          <w:rPr>
            <w:noProof/>
          </w:rPr>
          <w:t>11</w:t>
        </w:r>
        <w:r>
          <w:rPr>
            <w:noProof/>
          </w:rPr>
          <w:fldChar w:fldCharType="end"/>
        </w:r>
      </w:p>
    </w:sdtContent>
  </w:sdt>
  <w:p w:rsidR="007C2B54" w:rsidRDefault="007C2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2CB" w:rsidRDefault="009B52CB" w:rsidP="0094204C">
      <w:r>
        <w:separator/>
      </w:r>
    </w:p>
  </w:footnote>
  <w:footnote w:type="continuationSeparator" w:id="0">
    <w:p w:rsidR="009B52CB" w:rsidRDefault="009B52CB"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7C7CD2"/>
    <w:multiLevelType w:val="hybridMultilevel"/>
    <w:tmpl w:val="8C2CD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0">
    <w:nsid w:val="542554D8"/>
    <w:multiLevelType w:val="hybridMultilevel"/>
    <w:tmpl w:val="6FF0B934"/>
    <w:lvl w:ilvl="0" w:tplc="39C463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2"/>
  </w:num>
  <w:num w:numId="6">
    <w:abstractNumId w:val="5"/>
  </w:num>
  <w:num w:numId="7">
    <w:abstractNumId w:val="12"/>
  </w:num>
  <w:num w:numId="8">
    <w:abstractNumId w:val="9"/>
  </w:num>
  <w:num w:numId="9">
    <w:abstractNumId w:val="1"/>
  </w:num>
  <w:num w:numId="10">
    <w:abstractNumId w:val="13"/>
  </w:num>
  <w:num w:numId="11">
    <w:abstractNumId w:val="0"/>
  </w:num>
  <w:num w:numId="12">
    <w:abstractNumId w:val="11"/>
  </w:num>
  <w:num w:numId="13">
    <w:abstractNumId w:val="7"/>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3E79"/>
    <w:rsid w:val="0002278D"/>
    <w:rsid w:val="000279EB"/>
    <w:rsid w:val="000337E6"/>
    <w:rsid w:val="00034CE6"/>
    <w:rsid w:val="00036DF9"/>
    <w:rsid w:val="000449A9"/>
    <w:rsid w:val="00045C35"/>
    <w:rsid w:val="00054BFD"/>
    <w:rsid w:val="00056964"/>
    <w:rsid w:val="000616F3"/>
    <w:rsid w:val="00063778"/>
    <w:rsid w:val="00065129"/>
    <w:rsid w:val="00073502"/>
    <w:rsid w:val="000738FE"/>
    <w:rsid w:val="00074BD5"/>
    <w:rsid w:val="00080933"/>
    <w:rsid w:val="00090E00"/>
    <w:rsid w:val="00097843"/>
    <w:rsid w:val="000A089D"/>
    <w:rsid w:val="000A2A44"/>
    <w:rsid w:val="000A4EE0"/>
    <w:rsid w:val="000B0D23"/>
    <w:rsid w:val="000B261C"/>
    <w:rsid w:val="000D1111"/>
    <w:rsid w:val="000D3A39"/>
    <w:rsid w:val="000E4EFE"/>
    <w:rsid w:val="000F0AF3"/>
    <w:rsid w:val="000F154F"/>
    <w:rsid w:val="000F1823"/>
    <w:rsid w:val="000F21F2"/>
    <w:rsid w:val="000F2F76"/>
    <w:rsid w:val="000F4249"/>
    <w:rsid w:val="00100BD1"/>
    <w:rsid w:val="0010227C"/>
    <w:rsid w:val="001026AA"/>
    <w:rsid w:val="00103BEC"/>
    <w:rsid w:val="00110057"/>
    <w:rsid w:val="00115E77"/>
    <w:rsid w:val="001201D5"/>
    <w:rsid w:val="00120277"/>
    <w:rsid w:val="00120E81"/>
    <w:rsid w:val="001240D0"/>
    <w:rsid w:val="00130442"/>
    <w:rsid w:val="001324D2"/>
    <w:rsid w:val="00142776"/>
    <w:rsid w:val="001532B7"/>
    <w:rsid w:val="001533B9"/>
    <w:rsid w:val="001628B1"/>
    <w:rsid w:val="001723E7"/>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06732"/>
    <w:rsid w:val="002105E7"/>
    <w:rsid w:val="00210FF3"/>
    <w:rsid w:val="002245AB"/>
    <w:rsid w:val="0022692B"/>
    <w:rsid w:val="00227BE0"/>
    <w:rsid w:val="002315EE"/>
    <w:rsid w:val="00253AD5"/>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0774"/>
    <w:rsid w:val="00292078"/>
    <w:rsid w:val="002922CE"/>
    <w:rsid w:val="00293D8D"/>
    <w:rsid w:val="002A1D8C"/>
    <w:rsid w:val="002C1797"/>
    <w:rsid w:val="002C56AC"/>
    <w:rsid w:val="002D1DFE"/>
    <w:rsid w:val="002D2748"/>
    <w:rsid w:val="002D3CAD"/>
    <w:rsid w:val="002D428E"/>
    <w:rsid w:val="002D7CA1"/>
    <w:rsid w:val="002E175B"/>
    <w:rsid w:val="002E28B0"/>
    <w:rsid w:val="002E548B"/>
    <w:rsid w:val="002E6B01"/>
    <w:rsid w:val="002F63A2"/>
    <w:rsid w:val="00303041"/>
    <w:rsid w:val="003041DD"/>
    <w:rsid w:val="00305AE1"/>
    <w:rsid w:val="0030733F"/>
    <w:rsid w:val="00307A43"/>
    <w:rsid w:val="003109F5"/>
    <w:rsid w:val="00315CE8"/>
    <w:rsid w:val="00320CDE"/>
    <w:rsid w:val="00320DF3"/>
    <w:rsid w:val="003233E7"/>
    <w:rsid w:val="003254BC"/>
    <w:rsid w:val="00325B6A"/>
    <w:rsid w:val="00330692"/>
    <w:rsid w:val="00337A3A"/>
    <w:rsid w:val="003454F6"/>
    <w:rsid w:val="00350D53"/>
    <w:rsid w:val="003641BA"/>
    <w:rsid w:val="00372B02"/>
    <w:rsid w:val="0037786D"/>
    <w:rsid w:val="00377D40"/>
    <w:rsid w:val="003A1D2D"/>
    <w:rsid w:val="003A298D"/>
    <w:rsid w:val="003B2034"/>
    <w:rsid w:val="003B5176"/>
    <w:rsid w:val="003B5F45"/>
    <w:rsid w:val="003B6EA6"/>
    <w:rsid w:val="003C1C8E"/>
    <w:rsid w:val="003C2FE2"/>
    <w:rsid w:val="003D2587"/>
    <w:rsid w:val="003D6946"/>
    <w:rsid w:val="003D6D6E"/>
    <w:rsid w:val="003E5D31"/>
    <w:rsid w:val="003E791C"/>
    <w:rsid w:val="003F2993"/>
    <w:rsid w:val="003F38D9"/>
    <w:rsid w:val="00404810"/>
    <w:rsid w:val="00414645"/>
    <w:rsid w:val="00417BEA"/>
    <w:rsid w:val="00424E5D"/>
    <w:rsid w:val="00425F46"/>
    <w:rsid w:val="00426F19"/>
    <w:rsid w:val="00430366"/>
    <w:rsid w:val="00432584"/>
    <w:rsid w:val="00434F56"/>
    <w:rsid w:val="004359FC"/>
    <w:rsid w:val="004467C4"/>
    <w:rsid w:val="00455833"/>
    <w:rsid w:val="004604FB"/>
    <w:rsid w:val="00461386"/>
    <w:rsid w:val="00462D00"/>
    <w:rsid w:val="004712EB"/>
    <w:rsid w:val="00476425"/>
    <w:rsid w:val="0048088F"/>
    <w:rsid w:val="00480BB2"/>
    <w:rsid w:val="004818E1"/>
    <w:rsid w:val="00481A7E"/>
    <w:rsid w:val="0048427F"/>
    <w:rsid w:val="00491680"/>
    <w:rsid w:val="00495C9D"/>
    <w:rsid w:val="004B7492"/>
    <w:rsid w:val="004C2B30"/>
    <w:rsid w:val="004C52FC"/>
    <w:rsid w:val="004C7DB2"/>
    <w:rsid w:val="004D14C2"/>
    <w:rsid w:val="004D3BE1"/>
    <w:rsid w:val="004D3C8C"/>
    <w:rsid w:val="004E47AA"/>
    <w:rsid w:val="004E49B5"/>
    <w:rsid w:val="004E4BD6"/>
    <w:rsid w:val="004F41D5"/>
    <w:rsid w:val="0051294F"/>
    <w:rsid w:val="0051599E"/>
    <w:rsid w:val="00516463"/>
    <w:rsid w:val="00520FBE"/>
    <w:rsid w:val="0052152C"/>
    <w:rsid w:val="0054350A"/>
    <w:rsid w:val="005453FE"/>
    <w:rsid w:val="005531E8"/>
    <w:rsid w:val="005634CE"/>
    <w:rsid w:val="005674F9"/>
    <w:rsid w:val="00573ECD"/>
    <w:rsid w:val="00585766"/>
    <w:rsid w:val="00585A4B"/>
    <w:rsid w:val="005863ED"/>
    <w:rsid w:val="005864A4"/>
    <w:rsid w:val="005918B2"/>
    <w:rsid w:val="00597F85"/>
    <w:rsid w:val="005A06D4"/>
    <w:rsid w:val="005C342A"/>
    <w:rsid w:val="005D19D9"/>
    <w:rsid w:val="005F5F7E"/>
    <w:rsid w:val="005F6B5B"/>
    <w:rsid w:val="005F7377"/>
    <w:rsid w:val="006002EF"/>
    <w:rsid w:val="0061454F"/>
    <w:rsid w:val="00615250"/>
    <w:rsid w:val="0061712A"/>
    <w:rsid w:val="00624906"/>
    <w:rsid w:val="00634418"/>
    <w:rsid w:val="006368CC"/>
    <w:rsid w:val="00637591"/>
    <w:rsid w:val="00640611"/>
    <w:rsid w:val="00643904"/>
    <w:rsid w:val="00651CF2"/>
    <w:rsid w:val="006532D6"/>
    <w:rsid w:val="0065453B"/>
    <w:rsid w:val="00654C15"/>
    <w:rsid w:val="006551C4"/>
    <w:rsid w:val="00660080"/>
    <w:rsid w:val="0066285F"/>
    <w:rsid w:val="0066607A"/>
    <w:rsid w:val="00667E67"/>
    <w:rsid w:val="00677703"/>
    <w:rsid w:val="006835C1"/>
    <w:rsid w:val="006865D6"/>
    <w:rsid w:val="00690A3D"/>
    <w:rsid w:val="006A2AA3"/>
    <w:rsid w:val="006B4807"/>
    <w:rsid w:val="006B5D02"/>
    <w:rsid w:val="006B6194"/>
    <w:rsid w:val="006C142B"/>
    <w:rsid w:val="006C28B1"/>
    <w:rsid w:val="006C3F43"/>
    <w:rsid w:val="006C4C0B"/>
    <w:rsid w:val="006C4F5E"/>
    <w:rsid w:val="006D67EB"/>
    <w:rsid w:val="006E3463"/>
    <w:rsid w:val="006E3686"/>
    <w:rsid w:val="006F00E3"/>
    <w:rsid w:val="006F0183"/>
    <w:rsid w:val="006F1477"/>
    <w:rsid w:val="00716A26"/>
    <w:rsid w:val="00740D35"/>
    <w:rsid w:val="00746675"/>
    <w:rsid w:val="00751FC5"/>
    <w:rsid w:val="00756E1A"/>
    <w:rsid w:val="007621F7"/>
    <w:rsid w:val="00781DA4"/>
    <w:rsid w:val="007825CC"/>
    <w:rsid w:val="007856A2"/>
    <w:rsid w:val="0078669D"/>
    <w:rsid w:val="00786F00"/>
    <w:rsid w:val="00791FF2"/>
    <w:rsid w:val="0079281D"/>
    <w:rsid w:val="00794EA2"/>
    <w:rsid w:val="007A43CE"/>
    <w:rsid w:val="007C1FEF"/>
    <w:rsid w:val="007C2B54"/>
    <w:rsid w:val="007C46D3"/>
    <w:rsid w:val="007C74F5"/>
    <w:rsid w:val="007D285C"/>
    <w:rsid w:val="007E36F4"/>
    <w:rsid w:val="007F45E6"/>
    <w:rsid w:val="007F66F9"/>
    <w:rsid w:val="0080292B"/>
    <w:rsid w:val="008034BE"/>
    <w:rsid w:val="008056C5"/>
    <w:rsid w:val="00805C23"/>
    <w:rsid w:val="00807113"/>
    <w:rsid w:val="00817DDA"/>
    <w:rsid w:val="00821011"/>
    <w:rsid w:val="008258DA"/>
    <w:rsid w:val="00827AE5"/>
    <w:rsid w:val="00831417"/>
    <w:rsid w:val="008405C3"/>
    <w:rsid w:val="008419CE"/>
    <w:rsid w:val="00847243"/>
    <w:rsid w:val="008642E1"/>
    <w:rsid w:val="00866C2F"/>
    <w:rsid w:val="00875A7C"/>
    <w:rsid w:val="0087704B"/>
    <w:rsid w:val="00877383"/>
    <w:rsid w:val="00880686"/>
    <w:rsid w:val="008836F4"/>
    <w:rsid w:val="008860C1"/>
    <w:rsid w:val="008909D4"/>
    <w:rsid w:val="008942FA"/>
    <w:rsid w:val="00897A68"/>
    <w:rsid w:val="008B52A0"/>
    <w:rsid w:val="008D352C"/>
    <w:rsid w:val="008D4D55"/>
    <w:rsid w:val="008E063A"/>
    <w:rsid w:val="008F3D47"/>
    <w:rsid w:val="008F41A6"/>
    <w:rsid w:val="009108ED"/>
    <w:rsid w:val="00915CDA"/>
    <w:rsid w:val="00925394"/>
    <w:rsid w:val="0092540D"/>
    <w:rsid w:val="009268A3"/>
    <w:rsid w:val="00936A3F"/>
    <w:rsid w:val="0094204C"/>
    <w:rsid w:val="00952FA6"/>
    <w:rsid w:val="00963DD8"/>
    <w:rsid w:val="0097245B"/>
    <w:rsid w:val="00981D62"/>
    <w:rsid w:val="009866BA"/>
    <w:rsid w:val="009A2F4E"/>
    <w:rsid w:val="009A616E"/>
    <w:rsid w:val="009A69F0"/>
    <w:rsid w:val="009A7EB6"/>
    <w:rsid w:val="009B52CB"/>
    <w:rsid w:val="009C0C32"/>
    <w:rsid w:val="009C1092"/>
    <w:rsid w:val="009C1BF4"/>
    <w:rsid w:val="009D4970"/>
    <w:rsid w:val="009D73CE"/>
    <w:rsid w:val="009E2519"/>
    <w:rsid w:val="009E6AF6"/>
    <w:rsid w:val="009F2769"/>
    <w:rsid w:val="009F71F8"/>
    <w:rsid w:val="00A03C1A"/>
    <w:rsid w:val="00A11155"/>
    <w:rsid w:val="00A14B89"/>
    <w:rsid w:val="00A201E2"/>
    <w:rsid w:val="00A21E6E"/>
    <w:rsid w:val="00A279B7"/>
    <w:rsid w:val="00A316A8"/>
    <w:rsid w:val="00A341DF"/>
    <w:rsid w:val="00A36DEE"/>
    <w:rsid w:val="00A412D1"/>
    <w:rsid w:val="00A51345"/>
    <w:rsid w:val="00A54831"/>
    <w:rsid w:val="00A6078F"/>
    <w:rsid w:val="00A62968"/>
    <w:rsid w:val="00A63ACE"/>
    <w:rsid w:val="00A72AEF"/>
    <w:rsid w:val="00A77623"/>
    <w:rsid w:val="00A822F3"/>
    <w:rsid w:val="00A8476F"/>
    <w:rsid w:val="00AA5740"/>
    <w:rsid w:val="00AC0386"/>
    <w:rsid w:val="00AC62F8"/>
    <w:rsid w:val="00AD4FA7"/>
    <w:rsid w:val="00AD6A7D"/>
    <w:rsid w:val="00AE4AD2"/>
    <w:rsid w:val="00AE5F43"/>
    <w:rsid w:val="00AF1271"/>
    <w:rsid w:val="00AF6A23"/>
    <w:rsid w:val="00B11F28"/>
    <w:rsid w:val="00B25938"/>
    <w:rsid w:val="00B27095"/>
    <w:rsid w:val="00B31728"/>
    <w:rsid w:val="00B34F9E"/>
    <w:rsid w:val="00B42C55"/>
    <w:rsid w:val="00B44B23"/>
    <w:rsid w:val="00B4625A"/>
    <w:rsid w:val="00B608D5"/>
    <w:rsid w:val="00B61D81"/>
    <w:rsid w:val="00B623D5"/>
    <w:rsid w:val="00B700A5"/>
    <w:rsid w:val="00B71307"/>
    <w:rsid w:val="00B73ECD"/>
    <w:rsid w:val="00B75DD0"/>
    <w:rsid w:val="00B764F8"/>
    <w:rsid w:val="00B81607"/>
    <w:rsid w:val="00B8227E"/>
    <w:rsid w:val="00B90F20"/>
    <w:rsid w:val="00B91F1E"/>
    <w:rsid w:val="00B92B7D"/>
    <w:rsid w:val="00BA3246"/>
    <w:rsid w:val="00BA411F"/>
    <w:rsid w:val="00BA527A"/>
    <w:rsid w:val="00BB272C"/>
    <w:rsid w:val="00BB28CF"/>
    <w:rsid w:val="00BB4ABC"/>
    <w:rsid w:val="00BB4C9F"/>
    <w:rsid w:val="00BB5574"/>
    <w:rsid w:val="00BC12BF"/>
    <w:rsid w:val="00BC2827"/>
    <w:rsid w:val="00BC5BB9"/>
    <w:rsid w:val="00BC5FF1"/>
    <w:rsid w:val="00BC6C11"/>
    <w:rsid w:val="00BD2C4F"/>
    <w:rsid w:val="00BD3EF3"/>
    <w:rsid w:val="00BE51FF"/>
    <w:rsid w:val="00BF3561"/>
    <w:rsid w:val="00BF556C"/>
    <w:rsid w:val="00C05015"/>
    <w:rsid w:val="00C05EFD"/>
    <w:rsid w:val="00C17F67"/>
    <w:rsid w:val="00C22083"/>
    <w:rsid w:val="00C2424E"/>
    <w:rsid w:val="00C32DEA"/>
    <w:rsid w:val="00C45053"/>
    <w:rsid w:val="00C52D74"/>
    <w:rsid w:val="00C5365F"/>
    <w:rsid w:val="00C56C48"/>
    <w:rsid w:val="00C616FD"/>
    <w:rsid w:val="00C63428"/>
    <w:rsid w:val="00C63B58"/>
    <w:rsid w:val="00C662BE"/>
    <w:rsid w:val="00C7001F"/>
    <w:rsid w:val="00C71D43"/>
    <w:rsid w:val="00C71F16"/>
    <w:rsid w:val="00C77723"/>
    <w:rsid w:val="00C800A9"/>
    <w:rsid w:val="00C80222"/>
    <w:rsid w:val="00C86826"/>
    <w:rsid w:val="00C86D2C"/>
    <w:rsid w:val="00C90C76"/>
    <w:rsid w:val="00C9344C"/>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44CDB"/>
    <w:rsid w:val="00D44D7D"/>
    <w:rsid w:val="00D5246D"/>
    <w:rsid w:val="00D52978"/>
    <w:rsid w:val="00D57E53"/>
    <w:rsid w:val="00D60B78"/>
    <w:rsid w:val="00D60F74"/>
    <w:rsid w:val="00D632DC"/>
    <w:rsid w:val="00D708C3"/>
    <w:rsid w:val="00D72CCC"/>
    <w:rsid w:val="00D73E22"/>
    <w:rsid w:val="00D9642E"/>
    <w:rsid w:val="00DA5E37"/>
    <w:rsid w:val="00DA7FA2"/>
    <w:rsid w:val="00DB041B"/>
    <w:rsid w:val="00DB17B2"/>
    <w:rsid w:val="00DB4C9A"/>
    <w:rsid w:val="00DC0672"/>
    <w:rsid w:val="00DC5CEE"/>
    <w:rsid w:val="00DD42DB"/>
    <w:rsid w:val="00DF5973"/>
    <w:rsid w:val="00DF7501"/>
    <w:rsid w:val="00E12A67"/>
    <w:rsid w:val="00E12E4F"/>
    <w:rsid w:val="00E13C55"/>
    <w:rsid w:val="00E14C90"/>
    <w:rsid w:val="00E16205"/>
    <w:rsid w:val="00E254D9"/>
    <w:rsid w:val="00E25ACC"/>
    <w:rsid w:val="00E26193"/>
    <w:rsid w:val="00E47A53"/>
    <w:rsid w:val="00E501C6"/>
    <w:rsid w:val="00E55AD1"/>
    <w:rsid w:val="00E642B3"/>
    <w:rsid w:val="00E66EBA"/>
    <w:rsid w:val="00E7049B"/>
    <w:rsid w:val="00E727F2"/>
    <w:rsid w:val="00E73A43"/>
    <w:rsid w:val="00E749F1"/>
    <w:rsid w:val="00E87116"/>
    <w:rsid w:val="00E90F22"/>
    <w:rsid w:val="00E96021"/>
    <w:rsid w:val="00E97968"/>
    <w:rsid w:val="00EA0B10"/>
    <w:rsid w:val="00EA7AFE"/>
    <w:rsid w:val="00EB3C20"/>
    <w:rsid w:val="00EC0B9E"/>
    <w:rsid w:val="00EC1EB5"/>
    <w:rsid w:val="00EC6B80"/>
    <w:rsid w:val="00ED0C45"/>
    <w:rsid w:val="00ED4142"/>
    <w:rsid w:val="00EE3042"/>
    <w:rsid w:val="00EF15CD"/>
    <w:rsid w:val="00EF6E21"/>
    <w:rsid w:val="00F0239E"/>
    <w:rsid w:val="00F07EFD"/>
    <w:rsid w:val="00F1164D"/>
    <w:rsid w:val="00F1200D"/>
    <w:rsid w:val="00F154DF"/>
    <w:rsid w:val="00F17C08"/>
    <w:rsid w:val="00F22BC4"/>
    <w:rsid w:val="00F268E9"/>
    <w:rsid w:val="00F27D5C"/>
    <w:rsid w:val="00F340B8"/>
    <w:rsid w:val="00F37373"/>
    <w:rsid w:val="00F43F29"/>
    <w:rsid w:val="00F509AE"/>
    <w:rsid w:val="00F60941"/>
    <w:rsid w:val="00F60C52"/>
    <w:rsid w:val="00F60FAC"/>
    <w:rsid w:val="00F7110B"/>
    <w:rsid w:val="00F72582"/>
    <w:rsid w:val="00F81080"/>
    <w:rsid w:val="00F8191D"/>
    <w:rsid w:val="00F86156"/>
    <w:rsid w:val="00F90760"/>
    <w:rsid w:val="00F920EB"/>
    <w:rsid w:val="00F938A3"/>
    <w:rsid w:val="00F94D4D"/>
    <w:rsid w:val="00F95896"/>
    <w:rsid w:val="00FA24D1"/>
    <w:rsid w:val="00FA7DDB"/>
    <w:rsid w:val="00FB0E89"/>
    <w:rsid w:val="00FB231A"/>
    <w:rsid w:val="00FB4AA9"/>
    <w:rsid w:val="00FC1435"/>
    <w:rsid w:val="00FC16E2"/>
    <w:rsid w:val="00FC3417"/>
    <w:rsid w:val="00FC45CA"/>
    <w:rsid w:val="00FC49AB"/>
    <w:rsid w:val="00FC518B"/>
    <w:rsid w:val="00FC7F0C"/>
    <w:rsid w:val="00FD4866"/>
    <w:rsid w:val="00FD5900"/>
    <w:rsid w:val="00FE084D"/>
    <w:rsid w:val="00FE33F3"/>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39579714">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8970648">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39222731">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77E-2"/>
        </c:manualLayout>
      </c:layout>
      <c:overlay val="0"/>
    </c:title>
    <c:autoTitleDeleted val="0"/>
    <c:plotArea>
      <c:layout/>
      <c:barChart>
        <c:barDir val="col"/>
        <c:grouping val="clustered"/>
        <c:varyColors val="0"/>
        <c:ser>
          <c:idx val="0"/>
          <c:order val="0"/>
          <c:tx>
            <c:strRef>
              <c:f>'CHART FOR COMPLETIONS'!$K$6</c:f>
              <c:strCache>
                <c:ptCount val="1"/>
                <c:pt idx="0">
                  <c:v>0220 - Design</c:v>
                </c:pt>
              </c:strCache>
            </c:strRef>
          </c:tx>
          <c:invertIfNegative val="0"/>
          <c:dLbls>
            <c:showLegendKey val="0"/>
            <c:showVal val="1"/>
            <c:showCatName val="0"/>
            <c:showSerName val="0"/>
            <c:showPercent val="0"/>
            <c:showBubbleSize val="0"/>
            <c:showLeaderLines val="0"/>
          </c:dLbls>
          <c:cat>
            <c:strRef>
              <c:f>'CHART FOR COMPLETIONS'!$E$5:$I$5</c:f>
              <c:strCache>
                <c:ptCount val="5"/>
                <c:pt idx="0">
                  <c:v>FY 07-08</c:v>
                </c:pt>
                <c:pt idx="1">
                  <c:v>FY 08-09</c:v>
                </c:pt>
                <c:pt idx="2">
                  <c:v>FY 09-10</c:v>
                </c:pt>
                <c:pt idx="3">
                  <c:v>FY 10-11</c:v>
                </c:pt>
                <c:pt idx="4">
                  <c:v>FY 11-12</c:v>
                </c:pt>
              </c:strCache>
            </c:strRef>
          </c:cat>
          <c:val>
            <c:numRef>
              <c:f>'CHART FOR COMPLETIONS'!$E$6:$I$6</c:f>
              <c:numCache>
                <c:formatCode>#,##0</c:formatCode>
                <c:ptCount val="5"/>
                <c:pt idx="0">
                  <c:v>314</c:v>
                </c:pt>
                <c:pt idx="1">
                  <c:v>166</c:v>
                </c:pt>
                <c:pt idx="2">
                  <c:v>166</c:v>
                </c:pt>
                <c:pt idx="3">
                  <c:v>119</c:v>
                </c:pt>
                <c:pt idx="4" formatCode="General">
                  <c:v>161</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COMPLETIONS'!$E$5:$I$5</c:f>
              <c:strCache>
                <c:ptCount val="5"/>
                <c:pt idx="0">
                  <c:v>FY 07-08</c:v>
                </c:pt>
                <c:pt idx="1">
                  <c:v>FY 08-09</c:v>
                </c:pt>
                <c:pt idx="2">
                  <c:v>FY 09-10</c:v>
                </c:pt>
                <c:pt idx="3">
                  <c:v>FY 10-11</c:v>
                </c:pt>
                <c:pt idx="4">
                  <c:v>FY 11-12</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229494144"/>
        <c:axId val="229495936"/>
      </c:barChart>
      <c:catAx>
        <c:axId val="229494144"/>
        <c:scaling>
          <c:orientation val="minMax"/>
        </c:scaling>
        <c:delete val="0"/>
        <c:axPos val="b"/>
        <c:majorTickMark val="out"/>
        <c:minorTickMark val="none"/>
        <c:tickLblPos val="nextTo"/>
        <c:crossAx val="229495936"/>
        <c:crosses val="autoZero"/>
        <c:auto val="1"/>
        <c:lblAlgn val="ctr"/>
        <c:lblOffset val="100"/>
        <c:noMultiLvlLbl val="0"/>
      </c:catAx>
      <c:valAx>
        <c:axId val="22949593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29494144"/>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0220 - Design</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RATES'!$D$6:$I$6</c:f>
              <c:numCache>
                <c:formatCode>0.0%</c:formatCode>
                <c:ptCount val="6"/>
                <c:pt idx="0">
                  <c:v>0.7780000000000008</c:v>
                </c:pt>
                <c:pt idx="1">
                  <c:v>0.76900000000000068</c:v>
                </c:pt>
                <c:pt idx="2">
                  <c:v>0.76500000000000068</c:v>
                </c:pt>
                <c:pt idx="3">
                  <c:v>0.75500000000000056</c:v>
                </c:pt>
                <c:pt idx="4">
                  <c:v>0.75200000000000056</c:v>
                </c:pt>
                <c:pt idx="5">
                  <c:v>0.68799999999999994</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RATES'!$D$7:$I$7</c:f>
              <c:numCache>
                <c:formatCode>0.0%</c:formatCode>
                <c:ptCount val="6"/>
                <c:pt idx="0">
                  <c:v>0.70200000000000051</c:v>
                </c:pt>
                <c:pt idx="1">
                  <c:v>0.69399999999999995</c:v>
                </c:pt>
                <c:pt idx="2">
                  <c:v>0.68600000000000005</c:v>
                </c:pt>
                <c:pt idx="3">
                  <c:v>0.67600000000000082</c:v>
                </c:pt>
                <c:pt idx="4">
                  <c:v>0.6900000000000005</c:v>
                </c:pt>
                <c:pt idx="5">
                  <c:v>0.67300000000000082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RATES'!$D$8:$I$8</c:f>
              <c:numCache>
                <c:formatCode>0.0%</c:formatCode>
                <c:ptCount val="6"/>
                <c:pt idx="0">
                  <c:v>0.71700000000000053</c:v>
                </c:pt>
                <c:pt idx="1">
                  <c:v>0.71000000000000052</c:v>
                </c:pt>
                <c:pt idx="2">
                  <c:v>0.70200000000000051</c:v>
                </c:pt>
                <c:pt idx="3">
                  <c:v>0.6900000000000005</c:v>
                </c:pt>
                <c:pt idx="4">
                  <c:v>0.70600000000000052</c:v>
                </c:pt>
                <c:pt idx="5">
                  <c:v>0.77000000000000068</c:v>
                </c:pt>
              </c:numCache>
            </c:numRef>
          </c:val>
        </c:ser>
        <c:dLbls>
          <c:showLegendKey val="0"/>
          <c:showVal val="0"/>
          <c:showCatName val="0"/>
          <c:showSerName val="0"/>
          <c:showPercent val="0"/>
          <c:showBubbleSize val="0"/>
        </c:dLbls>
        <c:gapWidth val="150"/>
        <c:axId val="229518720"/>
        <c:axId val="229532800"/>
      </c:barChart>
      <c:catAx>
        <c:axId val="229518720"/>
        <c:scaling>
          <c:orientation val="minMax"/>
        </c:scaling>
        <c:delete val="0"/>
        <c:axPos val="b"/>
        <c:numFmt formatCode="0.0%" sourceLinked="1"/>
        <c:majorTickMark val="none"/>
        <c:minorTickMark val="none"/>
        <c:tickLblPos val="nextTo"/>
        <c:crossAx val="229532800"/>
        <c:crosses val="autoZero"/>
        <c:auto val="1"/>
        <c:lblAlgn val="ctr"/>
        <c:lblOffset val="100"/>
        <c:noMultiLvlLbl val="0"/>
      </c:catAx>
      <c:valAx>
        <c:axId val="22953280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29518720"/>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522F-D00C-44CE-82E4-34131319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4387</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4</cp:revision>
  <cp:lastPrinted>2013-10-16T17:16:00Z</cp:lastPrinted>
  <dcterms:created xsi:type="dcterms:W3CDTF">2013-10-16T20:20:00Z</dcterms:created>
  <dcterms:modified xsi:type="dcterms:W3CDTF">2013-11-04T18:33:00Z</dcterms:modified>
</cp:coreProperties>
</file>