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866C2F">
        <w:rPr>
          <w:rFonts w:ascii="Arial" w:hAnsi="Arial" w:cs="Arial"/>
          <w:color w:val="000000" w:themeColor="text1"/>
          <w:u w:val="single"/>
        </w:rPr>
        <w:t>220</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866C2F">
        <w:rPr>
          <w:rFonts w:ascii="Arial" w:hAnsi="Arial" w:cs="Arial"/>
          <w:color w:val="000000" w:themeColor="text1"/>
          <w:u w:val="single"/>
        </w:rPr>
        <w:t>Design</w:t>
      </w:r>
      <w:r w:rsidR="00432584">
        <w:rPr>
          <w:rFonts w:ascii="Arial" w:hAnsi="Arial" w:cs="Arial"/>
          <w:color w:val="000000" w:themeColor="text1"/>
          <w:u w:val="single"/>
        </w:rPr>
        <w:t xml:space="preserve"> (IND &amp; VIS)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866C2F">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637591">
        <w:rPr>
          <w:rFonts w:ascii="Arial" w:hAnsi="Arial" w:cs="Arial"/>
          <w:color w:val="000000" w:themeColor="text1"/>
        </w:rPr>
        <w:t>0</w:t>
      </w:r>
      <w:r w:rsidR="00866C2F">
        <w:rPr>
          <w:rFonts w:ascii="Arial" w:hAnsi="Arial" w:cs="Arial"/>
          <w:color w:val="000000" w:themeColor="text1"/>
        </w:rPr>
        <w:t>7</w:t>
      </w:r>
      <w:r>
        <w:rPr>
          <w:rFonts w:ascii="Arial" w:hAnsi="Arial" w:cs="Arial"/>
          <w:color w:val="000000" w:themeColor="text1"/>
        </w:rPr>
        <w:t>-</w:t>
      </w:r>
      <w:r w:rsidR="003109F5">
        <w:rPr>
          <w:rFonts w:ascii="Arial" w:hAnsi="Arial" w:cs="Arial"/>
          <w:color w:val="000000" w:themeColor="text1"/>
        </w:rPr>
        <w:t>20</w:t>
      </w:r>
      <w:r w:rsidR="00637591">
        <w:rPr>
          <w:rFonts w:ascii="Arial" w:hAnsi="Arial" w:cs="Arial"/>
          <w:color w:val="000000" w:themeColor="text1"/>
        </w:rPr>
        <w:t>0</w:t>
      </w:r>
      <w:r w:rsidR="00866C2F">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sidRPr="00866C2F">
        <w:rPr>
          <w:rFonts w:ascii="Arial" w:hAnsi="Arial" w:cs="Arial"/>
          <w:b/>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866C2F">
        <w:rPr>
          <w:rFonts w:ascii="Arial" w:hAnsi="Arial" w:cs="Arial"/>
          <w:color w:val="000000" w:themeColor="text1"/>
        </w:rPr>
        <w:t>4</w:t>
      </w:r>
      <w:r>
        <w:rPr>
          <w:rFonts w:ascii="Arial" w:hAnsi="Arial" w:cs="Arial"/>
          <w:color w:val="000000" w:themeColor="text1"/>
        </w:rPr>
        <w:t>-201</w:t>
      </w:r>
      <w:r w:rsidR="00866C2F">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432584" w:rsidP="00585766">
      <w:pPr>
        <w:rPr>
          <w:rFonts w:ascii="Arial" w:hAnsi="Arial" w:cs="Arial"/>
          <w:noProof/>
          <w:color w:val="000000" w:themeColor="text1"/>
        </w:rPr>
      </w:pPr>
      <w:r w:rsidRPr="00432584">
        <w:rPr>
          <w:rFonts w:ascii="Arial" w:hAnsi="Arial" w:cs="Arial"/>
          <w:noProof/>
          <w:color w:val="000000" w:themeColor="text1"/>
        </w:rPr>
        <w:drawing>
          <wp:inline distT="0" distB="0" distL="0" distR="0">
            <wp:extent cx="4572000" cy="2743200"/>
            <wp:effectExtent l="38100" t="1905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EA0B10" w:rsidRDefault="00615250">
      <w:pPr>
        <w:spacing w:after="200" w:line="276" w:lineRule="auto"/>
        <w:rPr>
          <w:rFonts w:ascii="Arial" w:hAnsi="Arial" w:cs="Arial"/>
          <w:color w:val="000000" w:themeColor="text1"/>
        </w:rPr>
      </w:pPr>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bookmarkStart w:id="0" w:name="_GoBack"/>
      <w:bookmarkEnd w:id="0"/>
      <w:r w:rsidR="00DB4C9A">
        <w:t xml:space="preserve">First note that the figures represented in FY 07-08 include multiple year's worth of STC completers.  It was during this year that the college revised the graduation policy so that students no longer had to "apply" for graduation.  Since all VIS </w:t>
      </w:r>
      <w:r w:rsidR="00A77623">
        <w:t>graduates</w:t>
      </w:r>
      <w:r w:rsidR="00DB4C9A">
        <w:t xml:space="preserve"> </w:t>
      </w:r>
      <w:r w:rsidR="00A77623">
        <w:t xml:space="preserve">also </w:t>
      </w:r>
      <w:r w:rsidR="00DB4C9A">
        <w:t xml:space="preserve">complete the Desktop </w:t>
      </w:r>
      <w:r w:rsidR="00A77623">
        <w:t>P</w:t>
      </w:r>
      <w:r w:rsidR="00DB4C9A">
        <w:t xml:space="preserve">ublishing STC, the policy change resulted in an unusally high number of graduates for that year.  The drop in graduation rates for FY10-11 may be related to the region's economy. </w:t>
      </w:r>
      <w:r w:rsidR="00A77623">
        <w:t xml:space="preserve"> in particular, students are less likely to pursue interior design in a poor economy because of </w:t>
      </w:r>
      <w:r w:rsidR="00A77623">
        <w:lastRenderedPageBreak/>
        <w:t>perc</w:t>
      </w:r>
      <w:r w:rsidR="009866BA">
        <w:t>ei</w:t>
      </w:r>
      <w:r w:rsidR="00A77623">
        <w:t>ved job instability.   Dawn information indicates that FY 11-12 resulted in 161 degree and certificates awarded</w:t>
      </w:r>
      <w:r w:rsidR="009866BA">
        <w:t xml:space="preserve"> which is nearly the same as for FY 08-09 and FY 09-10.  </w:t>
      </w:r>
      <w:r w:rsidR="00A77623">
        <w:t xml:space="preserve"> Also, the department had a number of displaced worker's from the GM plant closing that completed degrees in the 09-1</w:t>
      </w:r>
      <w:r w:rsidR="00FE33F3">
        <w:t>1</w:t>
      </w:r>
      <w:r w:rsidR="00A77623">
        <w:t xml:space="preserve"> time frame</w:t>
      </w:r>
      <w:r w:rsidR="009A7EB6">
        <w:t xml:space="preserve"> which may have resulted in slightly elevated completion rates.</w:t>
      </w:r>
    </w:p>
    <w:p w:rsidR="001723E7" w:rsidRDefault="00A77623">
      <w:pPr>
        <w:spacing w:after="200" w:line="276" w:lineRule="auto"/>
      </w:pPr>
      <w:r>
        <w:t>The department is not curren</w:t>
      </w:r>
      <w:r w:rsidR="00FE33F3">
        <w:t>tl</w:t>
      </w:r>
      <w:r>
        <w:t>y offering Short Term Certificates with the new semester curriculum.  After reviewing the data above</w:t>
      </w:r>
      <w:r w:rsidR="001723E7">
        <w:t>, it has been decided to consult with the advisory committee</w:t>
      </w:r>
      <w:r w:rsidR="009A7EB6">
        <w:t>s</w:t>
      </w:r>
      <w:r w:rsidR="001723E7">
        <w:t xml:space="preserve"> about the possibilty and issues re</w:t>
      </w:r>
      <w:r w:rsidR="009A7EB6">
        <w:t>la</w:t>
      </w:r>
      <w:r w:rsidR="001723E7">
        <w:t xml:space="preserve">ted to creating new short term certificates.  </w:t>
      </w:r>
    </w:p>
    <w:p w:rsidR="00EA0B10" w:rsidRDefault="001723E7">
      <w:pPr>
        <w:spacing w:after="200" w:line="276" w:lineRule="auto"/>
        <w:rPr>
          <w:rFonts w:ascii="Arial" w:hAnsi="Arial" w:cs="Arial"/>
          <w:color w:val="000000" w:themeColor="text1"/>
        </w:rPr>
      </w:pPr>
      <w:r>
        <w:t xml:space="preserve">There has been some increase in Interior Design internships and entry level employment.   The department will refocus recruiting efforts to inform people of these opportunities and that a design degree can lead to variety of </w:t>
      </w:r>
      <w:r w:rsidRPr="001723E7">
        <w:t>viable job possibilities</w:t>
      </w:r>
      <w:r>
        <w:t>.</w:t>
      </w:r>
      <w:r w:rsidRPr="001723E7">
        <w:t xml:space="preserve"> </w:t>
      </w:r>
    </w:p>
    <w:p w:rsidR="004C52FC" w:rsidRDefault="00615250">
      <w:pPr>
        <w:spacing w:after="200" w:line="276" w:lineRule="auto"/>
        <w:rPr>
          <w:rFonts w:ascii="Arial" w:hAnsi="Arial" w:cs="Arial"/>
          <w:b/>
          <w:color w:val="000000" w:themeColor="text1"/>
        </w:rPr>
      </w:pPr>
      <w:r w:rsidRPr="00DB505A">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432584" w:rsidP="00585766">
      <w:pPr>
        <w:rPr>
          <w:rFonts w:ascii="Arial" w:hAnsi="Arial" w:cs="Arial"/>
          <w:color w:val="000000" w:themeColor="text1"/>
        </w:rPr>
      </w:pPr>
      <w:r w:rsidRPr="00432584">
        <w:rPr>
          <w:rFonts w:ascii="Arial" w:hAnsi="Arial" w:cs="Arial"/>
          <w:noProof/>
          <w:color w:val="000000" w:themeColor="text1"/>
        </w:rPr>
        <w:drawing>
          <wp:inline distT="0" distB="0" distL="0" distR="0">
            <wp:extent cx="5600700" cy="27432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EA0B10" w:rsidRDefault="00615250" w:rsidP="003109F5">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F90760" w:rsidRPr="00F90760">
        <w:t>Success rates in Design continue to be strongest for advanced level course</w:t>
      </w:r>
      <w:r w:rsidR="009A7EB6">
        <w:t>s</w:t>
      </w:r>
      <w:r w:rsidR="00F90760" w:rsidRPr="00F90760">
        <w:t>.  Conversely, the lowest success rates are in the entry level courses.  The department believes that many students enter the program without a clear understanding of the profession or the time and dedication necessary to be successful.  Many students withdraw as they discover that Design is a rigorous professional field.</w:t>
      </w:r>
    </w:p>
    <w:p w:rsidR="00F90760" w:rsidRDefault="00F90760" w:rsidP="003109F5"/>
    <w:p w:rsidR="00F90760" w:rsidRPr="00F90760" w:rsidRDefault="00F90760" w:rsidP="00F90760">
      <w:r w:rsidRPr="00F90760">
        <w:t xml:space="preserve">Success rates for </w:t>
      </w:r>
      <w:r w:rsidR="00FE33F3">
        <w:t xml:space="preserve">the </w:t>
      </w:r>
      <w:r w:rsidRPr="00F90760">
        <w:t>highest enrollment courses:</w:t>
      </w:r>
    </w:p>
    <w:p w:rsidR="00F90760" w:rsidRPr="00F90760" w:rsidRDefault="00F90760" w:rsidP="00F90760">
      <w:r w:rsidRPr="00F90760">
        <w:t>Course</w:t>
      </w:r>
      <w:r w:rsidRPr="00F90760">
        <w:tab/>
      </w:r>
      <w:r w:rsidRPr="00F90760">
        <w:tab/>
      </w:r>
      <w:r w:rsidRPr="00F90760">
        <w:tab/>
      </w:r>
      <w:r w:rsidRPr="00F90760">
        <w:tab/>
      </w:r>
      <w:r w:rsidR="005634CE">
        <w:t xml:space="preserve">       </w:t>
      </w:r>
      <w:r w:rsidRPr="00F90760">
        <w:t>seat count</w:t>
      </w:r>
      <w:r w:rsidRPr="00F90760">
        <w:tab/>
      </w:r>
      <w:r>
        <w:t xml:space="preserve">            </w:t>
      </w:r>
      <w:r w:rsidRPr="00F90760">
        <w:t>08/09</w:t>
      </w:r>
      <w:r>
        <w:t xml:space="preserve">   </w:t>
      </w:r>
      <w:r w:rsidRPr="00F90760">
        <w:t>09/10</w:t>
      </w:r>
      <w:r w:rsidRPr="00F90760">
        <w:tab/>
        <w:t>10/11</w:t>
      </w:r>
      <w:r>
        <w:t xml:space="preserve">  11/12</w:t>
      </w:r>
    </w:p>
    <w:p w:rsidR="00F90760" w:rsidRPr="00F90760" w:rsidRDefault="00F90760" w:rsidP="00F90760">
      <w:r w:rsidRPr="00F90760">
        <w:t>VIS 106</w:t>
      </w:r>
      <w:r w:rsidRPr="00F90760">
        <w:tab/>
        <w:t>Design Basics: 2D</w:t>
      </w:r>
      <w:r w:rsidRPr="00F90760">
        <w:tab/>
        <w:t>279</w:t>
      </w:r>
      <w:r w:rsidRPr="00F90760">
        <w:tab/>
      </w:r>
      <w:r w:rsidRPr="00F90760">
        <w:tab/>
        <w:t>73.84</w:t>
      </w:r>
      <w:r w:rsidRPr="00F90760">
        <w:tab/>
        <w:t>68.75</w:t>
      </w:r>
      <w:r w:rsidRPr="00F90760">
        <w:tab/>
        <w:t>65.82</w:t>
      </w:r>
      <w:r>
        <w:t xml:space="preserve">   60.30</w:t>
      </w:r>
    </w:p>
    <w:p w:rsidR="00F90760" w:rsidRDefault="00F90760" w:rsidP="00F90760">
      <w:r w:rsidRPr="00F90760">
        <w:t>VIS 110</w:t>
      </w:r>
      <w:r w:rsidRPr="00F90760">
        <w:tab/>
        <w:t>Des. Lab Orient.</w:t>
      </w:r>
      <w:r w:rsidRPr="00F90760">
        <w:tab/>
        <w:t>332</w:t>
      </w:r>
      <w:r w:rsidRPr="00F90760">
        <w:tab/>
      </w:r>
      <w:r w:rsidRPr="00F90760">
        <w:tab/>
        <w:t>70.32</w:t>
      </w:r>
      <w:r w:rsidRPr="00F90760">
        <w:tab/>
        <w:t>65.68</w:t>
      </w:r>
      <w:r w:rsidRPr="00F90760">
        <w:tab/>
        <w:t>69.13</w:t>
      </w:r>
      <w:r>
        <w:t xml:space="preserve">   60.90</w:t>
      </w:r>
    </w:p>
    <w:p w:rsidR="00F90760" w:rsidRDefault="00F90760" w:rsidP="00F90760"/>
    <w:p w:rsidR="009A7EB6" w:rsidRDefault="00F90760" w:rsidP="00F90760">
      <w:r>
        <w:t>The success rates in most courses haven't changed significantly</w:t>
      </w:r>
      <w:r w:rsidR="005634CE">
        <w:t xml:space="preserve"> over the 5 years studied.  </w:t>
      </w:r>
      <w:r w:rsidR="009A7EB6">
        <w:t xml:space="preserve">although the success rates in the high enrollment courses of VIS 106 and VIS 110 have varied significantly over the last four years.  Students in these entry-level courses are oftentimes learning design skills and design processes for the first time.  Many students determine that the nature of design work is not appropriate for them.  Other students are slow to realize the dedication and rigor necssary to be successful in Design.  </w:t>
      </w:r>
      <w:r w:rsidR="00FC16E2">
        <w:t>The VIS 110 Desgin Lab Orientation course is an entry level computer course orienting student to the Mac lab environment.  The department has seent eh gap between students who have some computer experience and those with no computer skills broaden.  This semester a "bootcamp" is bing offered for two hours every Wednesday to provide additional hlpe for those students that attend.</w:t>
      </w:r>
    </w:p>
    <w:p w:rsidR="009A7EB6" w:rsidRDefault="009A7EB6" w:rsidP="00F90760"/>
    <w:p w:rsidR="00F90760" w:rsidRDefault="005634CE" w:rsidP="00F90760">
      <w:r>
        <w:t>An</w:t>
      </w:r>
      <w:r w:rsidR="009A7EB6">
        <w:t>other</w:t>
      </w:r>
      <w:r>
        <w:t xml:space="preserve"> exception </w:t>
      </w:r>
      <w:r w:rsidR="009A7EB6">
        <w:t xml:space="preserve">to the relatively consistent success rates is </w:t>
      </w:r>
      <w:r>
        <w:t>in VIS 116 Digital animation</w:t>
      </w:r>
      <w:r w:rsidR="009A7EB6">
        <w:t>.</w:t>
      </w:r>
      <w:r>
        <w:t xml:space="preserve"> </w:t>
      </w:r>
      <w:r w:rsidR="009A7EB6" w:rsidRPr="009A7EB6">
        <w:t>in 2010-11</w:t>
      </w:r>
      <w:r w:rsidR="009A7EB6">
        <w:t>, there is</w:t>
      </w:r>
      <w:r>
        <w:t xml:space="preserve"> a spike to 91% success rate over the average of about 75% success rate .  This </w:t>
      </w:r>
      <w:r>
        <w:lastRenderedPageBreak/>
        <w:t xml:space="preserve">may be a result of the department's </w:t>
      </w:r>
      <w:r w:rsidR="00B623D5" w:rsidRPr="00B623D5">
        <w:t>decision</w:t>
      </w:r>
      <w:r>
        <w:t xml:space="preserve"> to discontinue the use of Newtek's Lightwave software in this course.  Google Sketchup and Blender have replaced Lightwave because they are more economical and easier to learn, which may have resulted in higher student success during the software transition. Changes in course assignments in reaction to the change in software have resulted in the success rates returning to the prior average.</w:t>
      </w:r>
    </w:p>
    <w:p w:rsidR="005634CE" w:rsidRDefault="005634CE" w:rsidP="00F90760"/>
    <w:p w:rsidR="005634CE" w:rsidRDefault="005634CE" w:rsidP="00F90760">
      <w:pPr>
        <w:rPr>
          <w:rFonts w:ascii="Arial" w:hAnsi="Arial" w:cs="Arial"/>
          <w:color w:val="000000" w:themeColor="text1"/>
        </w:rPr>
      </w:pPr>
      <w:r>
        <w:t>There are no IND or VIS courses that primarily serve students from outside these majors.</w:t>
      </w:r>
    </w:p>
    <w:p w:rsidR="001D3E1D" w:rsidRPr="003109F5" w:rsidRDefault="00615250" w:rsidP="003109F5">
      <w:pPr>
        <w:rPr>
          <w:rFonts w:ascii="Arial" w:hAnsi="Arial" w:cs="Arial"/>
          <w:color w:val="000000" w:themeColor="text1"/>
        </w:rPr>
      </w:pPr>
      <w:r w:rsidRPr="00DB505A">
        <w:rPr>
          <w:rFonts w:ascii="Arial" w:hAnsi="Arial" w:cs="Arial"/>
          <w:color w:val="000000" w:themeColor="text1"/>
        </w:rPr>
        <w:fldChar w:fldCharType="end"/>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253AD5" w:rsidRPr="00253AD5" w:rsidRDefault="00615250" w:rsidP="00253AD5">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253AD5" w:rsidRPr="00253AD5">
        <w:t>The department continues to perform a formative assessment (entitled the First Year Assessment) for students who have completed the 100 level coursework. The aggregate score averages from the past three years on a scale of 1-5 follow:</w:t>
      </w:r>
    </w:p>
    <w:p w:rsidR="00253AD5" w:rsidRPr="00253AD5" w:rsidRDefault="00253AD5" w:rsidP="00253AD5"/>
    <w:p w:rsidR="00253AD5" w:rsidRPr="00253AD5" w:rsidRDefault="00253AD5" w:rsidP="00253AD5">
      <w:r w:rsidRPr="00253AD5">
        <w:t>First Year Assessment</w:t>
      </w:r>
      <w:r w:rsidRPr="00253AD5">
        <w:tab/>
      </w:r>
      <w:r w:rsidRPr="00253AD5">
        <w:tab/>
      </w:r>
      <w:r w:rsidRPr="00253AD5">
        <w:tab/>
      </w:r>
      <w:r w:rsidRPr="00253AD5">
        <w:tab/>
        <w:t>09</w:t>
      </w:r>
      <w:r w:rsidRPr="00253AD5">
        <w:tab/>
        <w:t>10</w:t>
      </w:r>
      <w:r w:rsidRPr="00253AD5">
        <w:tab/>
        <w:t>11</w:t>
      </w:r>
      <w:r>
        <w:t xml:space="preserve">        12</w:t>
      </w:r>
    </w:p>
    <w:p w:rsidR="00253AD5" w:rsidRPr="00253AD5" w:rsidRDefault="00253AD5" w:rsidP="00253AD5">
      <w:r w:rsidRPr="00253AD5">
        <w:t>All design majors</w:t>
      </w:r>
      <w:r w:rsidRPr="00253AD5">
        <w:tab/>
      </w:r>
      <w:r w:rsidRPr="00253AD5">
        <w:tab/>
      </w:r>
      <w:r w:rsidRPr="00253AD5">
        <w:tab/>
      </w:r>
      <w:r w:rsidRPr="00253AD5">
        <w:tab/>
        <w:t>2.84</w:t>
      </w:r>
      <w:r w:rsidRPr="00253AD5">
        <w:tab/>
        <w:t>2.86</w:t>
      </w:r>
      <w:r w:rsidRPr="00253AD5">
        <w:tab/>
        <w:t>2.65</w:t>
      </w:r>
      <w:r>
        <w:t xml:space="preserve">     </w:t>
      </w:r>
      <w:r w:rsidR="00FC16E2">
        <w:t>2.44</w:t>
      </w:r>
    </w:p>
    <w:p w:rsidR="00253AD5" w:rsidRPr="00253AD5" w:rsidRDefault="00253AD5" w:rsidP="00253AD5"/>
    <w:p w:rsidR="00253AD5" w:rsidRPr="00253AD5" w:rsidRDefault="00253AD5" w:rsidP="00253AD5"/>
    <w:p w:rsidR="00253AD5" w:rsidRPr="00253AD5" w:rsidRDefault="00253AD5" w:rsidP="00253AD5">
      <w:r w:rsidRPr="00253AD5">
        <w:t>The department also performs a summative assessment (entitled the Portfolio Show) which is conducted by industry professionals.  The aggregate averages for the past five years on a scale of 1-5 follow:</w:t>
      </w:r>
    </w:p>
    <w:p w:rsidR="00253AD5" w:rsidRPr="00253AD5" w:rsidRDefault="00253AD5" w:rsidP="00253AD5">
      <w:r w:rsidRPr="00253AD5">
        <w:tab/>
      </w:r>
      <w:r w:rsidRPr="00253AD5">
        <w:tab/>
      </w:r>
      <w:r w:rsidRPr="00253AD5">
        <w:tab/>
      </w:r>
      <w:r w:rsidRPr="00253AD5">
        <w:tab/>
      </w:r>
      <w:r w:rsidRPr="00253AD5">
        <w:tab/>
      </w:r>
      <w:r w:rsidRPr="00253AD5">
        <w:tab/>
      </w:r>
    </w:p>
    <w:p w:rsidR="00253AD5" w:rsidRPr="00253AD5" w:rsidRDefault="00253AD5" w:rsidP="00253AD5">
      <w:r w:rsidRPr="00253AD5">
        <w:t>Portfolio Show</w:t>
      </w:r>
      <w:r w:rsidRPr="00253AD5">
        <w:tab/>
      </w:r>
      <w:r w:rsidRPr="00253AD5">
        <w:tab/>
      </w:r>
      <w:r w:rsidRPr="00253AD5">
        <w:tab/>
        <w:t>07</w:t>
      </w:r>
      <w:r w:rsidRPr="00253AD5">
        <w:tab/>
        <w:t>08</w:t>
      </w:r>
      <w:r w:rsidRPr="00253AD5">
        <w:tab/>
        <w:t>09</w:t>
      </w:r>
      <w:r w:rsidRPr="00253AD5">
        <w:tab/>
        <w:t>10</w:t>
      </w:r>
      <w:r w:rsidRPr="00253AD5">
        <w:tab/>
        <w:t>11</w:t>
      </w:r>
      <w:r>
        <w:t xml:space="preserve">       12</w:t>
      </w:r>
    </w:p>
    <w:p w:rsidR="00253AD5" w:rsidRPr="00253AD5" w:rsidRDefault="00253AD5" w:rsidP="00253AD5">
      <w:r w:rsidRPr="00253AD5">
        <w:t>Visual Communications</w:t>
      </w:r>
      <w:r w:rsidRPr="00253AD5">
        <w:tab/>
      </w:r>
      <w:r w:rsidRPr="00253AD5">
        <w:tab/>
        <w:t>4.15</w:t>
      </w:r>
      <w:r w:rsidRPr="00253AD5">
        <w:tab/>
        <w:t>4.04</w:t>
      </w:r>
      <w:r w:rsidRPr="00253AD5">
        <w:tab/>
        <w:t>NA*</w:t>
      </w:r>
      <w:r w:rsidRPr="00253AD5">
        <w:tab/>
        <w:t>4.19</w:t>
      </w:r>
      <w:r w:rsidRPr="00253AD5">
        <w:tab/>
        <w:t>4.16</w:t>
      </w:r>
      <w:r>
        <w:t xml:space="preserve">    </w:t>
      </w:r>
      <w:r w:rsidR="00FC16E2">
        <w:t>4.04</w:t>
      </w:r>
    </w:p>
    <w:p w:rsidR="0002278D" w:rsidRDefault="00253AD5" w:rsidP="00253AD5">
      <w:pPr>
        <w:spacing w:after="200" w:line="276" w:lineRule="auto"/>
      </w:pPr>
      <w:r w:rsidRPr="00253AD5">
        <w:t>Interior Design</w:t>
      </w:r>
      <w:r w:rsidRPr="00253AD5">
        <w:tab/>
      </w:r>
      <w:r w:rsidRPr="00253AD5">
        <w:tab/>
      </w:r>
      <w:r w:rsidRPr="00253AD5">
        <w:tab/>
        <w:t>4.36</w:t>
      </w:r>
      <w:r w:rsidRPr="00253AD5">
        <w:tab/>
        <w:t>4.37</w:t>
      </w:r>
      <w:r w:rsidRPr="00253AD5">
        <w:tab/>
        <w:t>4.33</w:t>
      </w:r>
      <w:r w:rsidRPr="00253AD5">
        <w:tab/>
        <w:t>4.51</w:t>
      </w:r>
      <w:r w:rsidRPr="00253AD5">
        <w:tab/>
        <w:t>4.45</w:t>
      </w:r>
      <w:r w:rsidR="00F90760">
        <w:t xml:space="preserve">  </w:t>
      </w:r>
      <w:r>
        <w:t xml:space="preserve"> </w:t>
      </w:r>
      <w:r w:rsidR="00FC16E2">
        <w:t xml:space="preserve"> 4.36</w:t>
      </w:r>
    </w:p>
    <w:p w:rsidR="0002278D" w:rsidRDefault="00FC16E2" w:rsidP="00253AD5">
      <w:pPr>
        <w:spacing w:after="200" w:line="276" w:lineRule="auto"/>
      </w:pPr>
      <w:r>
        <w:t>* Results unavailable for this year.</w:t>
      </w:r>
    </w:p>
    <w:p w:rsidR="003109F5" w:rsidRDefault="0002278D" w:rsidP="00253AD5">
      <w:pPr>
        <w:spacing w:after="200" w:line="276" w:lineRule="auto"/>
        <w:rPr>
          <w:rFonts w:ascii="Arial" w:hAnsi="Arial" w:cs="Arial"/>
          <w:color w:val="000000" w:themeColor="text1"/>
        </w:rPr>
        <w:sectPr w:rsidR="003109F5" w:rsidSect="00D708C3">
          <w:footerReference w:type="default" r:id="rId10"/>
          <w:pgSz w:w="12240" w:h="15840"/>
          <w:pgMar w:top="1152" w:right="1440" w:bottom="1152" w:left="1440" w:header="720" w:footer="288" w:gutter="0"/>
          <w:cols w:space="720"/>
          <w:docGrid w:linePitch="360"/>
        </w:sectPr>
      </w:pPr>
      <w:r>
        <w:t>Th</w:t>
      </w:r>
      <w:r w:rsidR="00FC16E2">
        <w:t>ough the results vary slightly year to year, they generally</w:t>
      </w:r>
      <w:r>
        <w:t xml:space="preserve"> reflect consistency in meeting program and course outcomes.</w:t>
      </w:r>
      <w:r w:rsidR="00FC16E2">
        <w:t xml:space="preserve">  </w:t>
      </w:r>
      <w:r w:rsidR="00615250" w:rsidRPr="00DB505A">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690"/>
        <w:gridCol w:w="2700"/>
        <w:gridCol w:w="6840"/>
      </w:tblGrid>
      <w:tr w:rsidR="004C52FC" w:rsidTr="003109F5">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109F5" w:rsidTr="003109F5">
        <w:trPr>
          <w:trHeight w:val="1399"/>
        </w:trPr>
        <w:tc>
          <w:tcPr>
            <w:tcW w:w="3690" w:type="dxa"/>
          </w:tcPr>
          <w:p w:rsidR="003109F5" w:rsidRPr="00E53C9E" w:rsidRDefault="003109F5" w:rsidP="003F38D9">
            <w:pPr>
              <w:tabs>
                <w:tab w:val="left" w:pos="504"/>
                <w:tab w:val="num" w:pos="1260"/>
              </w:tabs>
              <w:rPr>
                <w:rFonts w:ascii="Arial" w:hAnsi="Arial"/>
              </w:rPr>
            </w:pPr>
            <w:r w:rsidRPr="006F74C8">
              <w:rPr>
                <w:rFonts w:ascii="Arial" w:hAnsi="Arial"/>
              </w:rPr>
              <w:t xml:space="preserve">Expand coursework for the non-designer, similar to </w:t>
            </w:r>
            <w:r w:rsidRPr="00E53C9E">
              <w:rPr>
                <w:rFonts w:ascii="Arial" w:hAnsi="Arial"/>
              </w:rPr>
              <w:t xml:space="preserve">OSU Basic Design Concepts for Non-majors, the department could develop a course that would initiate the non-designer into the creative and design process, involving critical thinking, analysis, synthesis and conjecture possibly </w:t>
            </w:r>
            <w:r>
              <w:rPr>
                <w:rFonts w:ascii="Arial" w:hAnsi="Arial"/>
              </w:rPr>
              <w:t>for engineering</w:t>
            </w:r>
            <w:r w:rsidRPr="00E53C9E">
              <w:rPr>
                <w:rFonts w:ascii="Arial" w:hAnsi="Arial"/>
              </w:rPr>
              <w:t xml:space="preserve"> and </w:t>
            </w:r>
            <w:r>
              <w:rPr>
                <w:rFonts w:ascii="Arial" w:hAnsi="Arial"/>
              </w:rPr>
              <w:t xml:space="preserve">business </w:t>
            </w:r>
            <w:r w:rsidRPr="00E53C9E">
              <w:rPr>
                <w:rFonts w:ascii="Arial" w:hAnsi="Arial"/>
              </w:rPr>
              <w:t xml:space="preserve">students. </w:t>
            </w:r>
            <w:r w:rsidRPr="00E53C9E">
              <w:rPr>
                <w:rFonts w:ascii="Helvetica" w:hAnsi="Helvetica"/>
              </w:rPr>
              <w:t xml:space="preserve"> </w:t>
            </w:r>
            <w:r w:rsidRPr="00E53C9E">
              <w:rPr>
                <w:rFonts w:ascii="Arial" w:hAnsi="Arial"/>
              </w:rPr>
              <w:t xml:space="preserve"> </w:t>
            </w:r>
          </w:p>
          <w:p w:rsidR="003109F5" w:rsidRPr="0037786D" w:rsidRDefault="003109F5" w:rsidP="00D07030">
            <w:pPr>
              <w:spacing w:before="12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tc>
        <w:tc>
          <w:tcPr>
            <w:tcW w:w="6840" w:type="dxa"/>
          </w:tcPr>
          <w:p w:rsidR="003109F5" w:rsidRDefault="00615250" w:rsidP="009C0C32">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9C0C32">
              <w:t xml:space="preserve">Though an interesting concept, </w:t>
            </w:r>
            <w:r w:rsidR="0002278D">
              <w:t>due to current budget considerations, the</w:t>
            </w:r>
            <w:r w:rsidR="009C0C32">
              <w:t xml:space="preserve"> college is discouraging the creation of courses that don't lead to a degree. </w:t>
            </w:r>
            <w:r w:rsidR="0002278D">
              <w:t xml:space="preserve"> </w:t>
            </w:r>
            <w:r w:rsidR="009C0C32">
              <w:t xml:space="preserve"> </w:t>
            </w:r>
            <w:r w:rsidR="00FC16E2">
              <w:t xml:space="preserve">  The department could meet a community need, by providing training in Adobe Photoshop, Illustrator and InDesign but has found that personal interest students and degree seeking students have differing needs</w:t>
            </w:r>
            <w:r w:rsidR="009C0C32">
              <w:t xml:space="preserve"> that one course cannot simultaneously meet</w:t>
            </w:r>
            <w:r w:rsidR="00FC16E2">
              <w:t>.</w:t>
            </w:r>
            <w:r w:rsidRPr="00DB505A">
              <w:rPr>
                <w:rFonts w:ascii="Arial" w:hAnsi="Arial" w:cs="Arial"/>
                <w:color w:val="000000" w:themeColor="text1"/>
              </w:rPr>
              <w:fldChar w:fldCharType="end"/>
            </w:r>
          </w:p>
        </w:tc>
      </w:tr>
      <w:tr w:rsidR="003109F5" w:rsidTr="003109F5">
        <w:trPr>
          <w:trHeight w:val="1399"/>
        </w:trPr>
        <w:tc>
          <w:tcPr>
            <w:tcW w:w="3690" w:type="dxa"/>
          </w:tcPr>
          <w:p w:rsidR="003109F5" w:rsidRPr="006F74C8" w:rsidRDefault="003109F5" w:rsidP="003F38D9">
            <w:pPr>
              <w:tabs>
                <w:tab w:val="left" w:pos="504"/>
                <w:tab w:val="num" w:pos="1260"/>
              </w:tabs>
              <w:rPr>
                <w:rFonts w:ascii="Arial" w:hAnsi="Arial"/>
              </w:rPr>
            </w:pPr>
            <w:r w:rsidRPr="006F74C8">
              <w:rPr>
                <w:rFonts w:ascii="Arial" w:hAnsi="Arial"/>
              </w:rPr>
              <w:t xml:space="preserve">Business and industry are also increasingly realizing that all business professionals need to learn to communicate at a basic level in a visual way.  Access to technology has expanded the use of PowerPoint presentations, all kinds of charts and graphs, desktop publishing and web page design to individuals in all types of business positions.  Possibly offered as an elective for </w:t>
            </w:r>
            <w:r>
              <w:rPr>
                <w:rFonts w:ascii="Arial" w:hAnsi="Arial"/>
              </w:rPr>
              <w:t>business, allied heath and engineering</w:t>
            </w:r>
            <w:r w:rsidRPr="006F74C8">
              <w:rPr>
                <w:rFonts w:ascii="Arial" w:hAnsi="Arial"/>
              </w:rPr>
              <w:t xml:space="preserve"> majors</w:t>
            </w:r>
            <w:r>
              <w:rPr>
                <w:rFonts w:ascii="Arial" w:hAnsi="Arial"/>
              </w:rPr>
              <w:t>,</w:t>
            </w:r>
            <w:r w:rsidRPr="006F74C8">
              <w:rPr>
                <w:rFonts w:ascii="Arial" w:hAnsi="Arial"/>
              </w:rPr>
              <w:t xml:space="preserve"> </w:t>
            </w:r>
            <w:r>
              <w:rPr>
                <w:rFonts w:ascii="Arial" w:hAnsi="Arial"/>
              </w:rPr>
              <w:t xml:space="preserve">the department could develop </w:t>
            </w:r>
            <w:r w:rsidRPr="006F74C8">
              <w:rPr>
                <w:rFonts w:ascii="Arial" w:hAnsi="Arial"/>
              </w:rPr>
              <w:t xml:space="preserve">a course that explores visual communication fundamentals </w:t>
            </w:r>
            <w:r>
              <w:rPr>
                <w:rFonts w:ascii="Arial" w:hAnsi="Arial"/>
              </w:rPr>
              <w:t xml:space="preserve">which </w:t>
            </w:r>
            <w:r w:rsidRPr="006F74C8">
              <w:rPr>
                <w:rFonts w:ascii="Arial" w:hAnsi="Arial"/>
              </w:rPr>
              <w:t xml:space="preserve">could also be </w:t>
            </w:r>
            <w:r w:rsidRPr="006F74C8">
              <w:rPr>
                <w:rFonts w:ascii="Arial" w:hAnsi="Arial"/>
              </w:rPr>
              <w:lastRenderedPageBreak/>
              <w:t xml:space="preserve">tailored as a non-credit workforce development option. </w:t>
            </w:r>
          </w:p>
          <w:p w:rsidR="003109F5" w:rsidRPr="0037786D" w:rsidRDefault="003109F5" w:rsidP="0094204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tc>
        <w:tc>
          <w:tcPr>
            <w:tcW w:w="6840" w:type="dxa"/>
          </w:tcPr>
          <w:p w:rsidR="003109F5" w:rsidRDefault="00615250" w:rsidP="009C0C32">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02278D">
              <w:t xml:space="preserve">The department </w:t>
            </w:r>
            <w:r w:rsidR="009C0C32">
              <w:t xml:space="preserve">does not </w:t>
            </w:r>
            <w:proofErr w:type="spellStart"/>
            <w:r w:rsidR="009C0C32">
              <w:t>hav</w:t>
            </w:r>
            <w:proofErr w:type="spellEnd"/>
            <w:r w:rsidR="009C0C32">
              <w:t xml:space="preserve"> a relationship with the college's workforce development </w:t>
            </w:r>
            <w:proofErr w:type="spellStart"/>
            <w:r w:rsidR="009C0C32">
              <w:t>divison</w:t>
            </w:r>
            <w:proofErr w:type="spellEnd"/>
            <w:r w:rsidR="009C0C32">
              <w:t xml:space="preserve">.  It </w:t>
            </w:r>
            <w:r w:rsidR="0002278D">
              <w:t xml:space="preserve">is not clear </w:t>
            </w:r>
            <w:r w:rsidR="009C0C32">
              <w:t>what</w:t>
            </w:r>
            <w:r w:rsidR="0002278D">
              <w:t xml:space="preserve"> role for-credit classes </w:t>
            </w:r>
            <w:proofErr w:type="gramStart"/>
            <w:r w:rsidR="0002278D">
              <w:t xml:space="preserve">have </w:t>
            </w:r>
            <w:r w:rsidR="008D352C">
              <w:t xml:space="preserve"> and</w:t>
            </w:r>
            <w:proofErr w:type="gramEnd"/>
            <w:r w:rsidR="008D352C">
              <w:t xml:space="preserve"> whether non-credit courses should be developed.  A seminar was given by Amanda Romero and Cynthia Cully a number of years ago through Staff </w:t>
            </w:r>
            <w:r w:rsidR="00FC16E2">
              <w:t>D</w:t>
            </w:r>
            <w:r w:rsidR="008D352C">
              <w:t>evelopment</w:t>
            </w:r>
            <w:r w:rsidR="00FC16E2">
              <w:t xml:space="preserve"> that was well received</w:t>
            </w:r>
            <w:r w:rsidR="009C0C32">
              <w:t xml:space="preserve"> by faculty outside of the Design department.  There has also been some communication with the Communication Art department to provide visual </w:t>
            </w:r>
            <w:proofErr w:type="gramStart"/>
            <w:r w:rsidR="009C0C32">
              <w:t>communications  pointers</w:t>
            </w:r>
            <w:proofErr w:type="gramEnd"/>
            <w:r w:rsidR="009C0C32">
              <w:t xml:space="preserve"> for public speaking students</w:t>
            </w:r>
            <w:r w:rsidR="00FC16E2">
              <w:t>.</w:t>
            </w:r>
            <w:r w:rsidRPr="00DB505A">
              <w:rPr>
                <w:rFonts w:ascii="Arial" w:hAnsi="Arial" w:cs="Arial"/>
                <w:color w:val="000000" w:themeColor="text1"/>
              </w:rPr>
              <w:fldChar w:fldCharType="end"/>
            </w:r>
          </w:p>
        </w:tc>
      </w:tr>
      <w:tr w:rsidR="003109F5" w:rsidTr="003109F5">
        <w:trPr>
          <w:trHeight w:val="1101"/>
        </w:trPr>
        <w:tc>
          <w:tcPr>
            <w:tcW w:w="3690" w:type="dxa"/>
          </w:tcPr>
          <w:p w:rsidR="003109F5" w:rsidRPr="004D70DD" w:rsidRDefault="003109F5" w:rsidP="003F38D9">
            <w:pPr>
              <w:tabs>
                <w:tab w:val="left" w:pos="504"/>
                <w:tab w:val="num" w:pos="1260"/>
              </w:tabs>
              <w:rPr>
                <w:rFonts w:ascii="Arial" w:hAnsi="Arial"/>
              </w:rPr>
            </w:pPr>
            <w:r w:rsidRPr="004D70DD">
              <w:rPr>
                <w:rFonts w:ascii="Arial" w:hAnsi="Arial"/>
              </w:rPr>
              <w:lastRenderedPageBreak/>
              <w:t>VIS 100</w:t>
            </w:r>
            <w:r>
              <w:rPr>
                <w:rFonts w:ascii="Arial" w:hAnsi="Arial"/>
              </w:rPr>
              <w:t>, VIS 114</w:t>
            </w:r>
            <w:r w:rsidRPr="004D70DD">
              <w:rPr>
                <w:rFonts w:ascii="Arial" w:hAnsi="Arial"/>
              </w:rPr>
              <w:t xml:space="preserve"> as a web course or a hybrid</w:t>
            </w:r>
          </w:p>
          <w:p w:rsidR="003109F5" w:rsidRPr="0037786D" w:rsidRDefault="003109F5" w:rsidP="0094204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tc>
        <w:tc>
          <w:tcPr>
            <w:tcW w:w="6840" w:type="dxa"/>
          </w:tcPr>
          <w:p w:rsidR="003109F5" w:rsidRDefault="00615250" w:rsidP="008D352C">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8D352C">
              <w:t>VIS 147 Digital Imaging was offered online for about two years but with low enrollment.  VIS students did not appear to be interested in the online format.</w:t>
            </w:r>
            <w:r w:rsidRPr="00DB505A">
              <w:rPr>
                <w:rFonts w:ascii="Arial" w:hAnsi="Arial" w:cs="Arial"/>
                <w:color w:val="000000" w:themeColor="text1"/>
              </w:rPr>
              <w:fldChar w:fldCharType="end"/>
            </w:r>
          </w:p>
        </w:tc>
      </w:tr>
      <w:tr w:rsidR="003109F5" w:rsidTr="003109F5">
        <w:trPr>
          <w:trHeight w:val="1101"/>
        </w:trPr>
        <w:tc>
          <w:tcPr>
            <w:tcW w:w="3690" w:type="dxa"/>
          </w:tcPr>
          <w:p w:rsidR="003109F5" w:rsidRPr="004D70DD" w:rsidRDefault="003109F5" w:rsidP="003F38D9">
            <w:pPr>
              <w:tabs>
                <w:tab w:val="left" w:pos="504"/>
                <w:tab w:val="num" w:pos="1260"/>
              </w:tabs>
              <w:rPr>
                <w:rFonts w:ascii="Arial" w:hAnsi="Arial"/>
              </w:rPr>
            </w:pPr>
            <w:r>
              <w:rPr>
                <w:rFonts w:ascii="Arial" w:hAnsi="Arial"/>
              </w:rPr>
              <w:t>Coursework in Leadership in Energy and Environmental Design (LEED)</w:t>
            </w:r>
            <w:r w:rsidRPr="004D70DD">
              <w:rPr>
                <w:rFonts w:ascii="Arial" w:hAnsi="Arial"/>
              </w:rPr>
              <w:t xml:space="preserve"> certification.</w:t>
            </w:r>
          </w:p>
          <w:p w:rsidR="003109F5" w:rsidRPr="0037786D" w:rsidRDefault="003109F5" w:rsidP="0094204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840" w:type="dxa"/>
          </w:tcPr>
          <w:p w:rsidR="003109F5" w:rsidRDefault="00615250" w:rsidP="00100BD1">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8D352C">
              <w:t xml:space="preserve">The department has created IND 2140 Sustainable Design.  This course is required in the Interior Design Associate's degree.  </w:t>
            </w:r>
            <w:r w:rsidRPr="00DB505A">
              <w:rPr>
                <w:rFonts w:ascii="Arial" w:hAnsi="Arial" w:cs="Arial"/>
                <w:color w:val="000000" w:themeColor="text1"/>
              </w:rPr>
              <w:fldChar w:fldCharType="end"/>
            </w:r>
          </w:p>
        </w:tc>
      </w:tr>
      <w:tr w:rsidR="003109F5" w:rsidTr="003109F5">
        <w:trPr>
          <w:trHeight w:val="1101"/>
        </w:trPr>
        <w:tc>
          <w:tcPr>
            <w:tcW w:w="3690" w:type="dxa"/>
          </w:tcPr>
          <w:p w:rsidR="003109F5" w:rsidRDefault="003109F5" w:rsidP="00EA0B10">
            <w:pPr>
              <w:pStyle w:val="ListParagraph"/>
              <w:ind w:left="0"/>
              <w:rPr>
                <w:rFonts w:ascii="Arial" w:hAnsi="Arial" w:cs="Arial"/>
                <w:color w:val="000000" w:themeColor="text1"/>
              </w:rPr>
            </w:pPr>
          </w:p>
          <w:p w:rsidR="003109F5" w:rsidRPr="004D70DD" w:rsidRDefault="003109F5" w:rsidP="003F38D9">
            <w:pPr>
              <w:tabs>
                <w:tab w:val="left" w:pos="504"/>
                <w:tab w:val="num" w:pos="1260"/>
              </w:tabs>
              <w:rPr>
                <w:rFonts w:ascii="Arial" w:hAnsi="Arial"/>
              </w:rPr>
            </w:pPr>
            <w:r w:rsidRPr="004D70DD">
              <w:rPr>
                <w:rFonts w:ascii="Arial" w:hAnsi="Arial"/>
              </w:rPr>
              <w:t>Investigate which courses already offered could be packaged to create a transferable STC in collaboration with electronic game development programs.</w:t>
            </w:r>
          </w:p>
          <w:p w:rsidR="003109F5" w:rsidRPr="003F38D9" w:rsidRDefault="003109F5" w:rsidP="003F38D9">
            <w:pPr>
              <w:tabs>
                <w:tab w:val="left" w:pos="1245"/>
              </w:tabs>
            </w:pPr>
          </w:p>
        </w:tc>
        <w:tc>
          <w:tcPr>
            <w:tcW w:w="2700" w:type="dxa"/>
          </w:tcPr>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EA0B10">
            <w:pPr>
              <w:pStyle w:val="ListParagraph"/>
              <w:ind w:left="0"/>
              <w:rPr>
                <w:rFonts w:ascii="Arial" w:hAnsi="Arial" w:cs="Arial"/>
                <w:color w:val="000000" w:themeColor="text1"/>
              </w:rPr>
            </w:pPr>
          </w:p>
          <w:p w:rsidR="003109F5" w:rsidRPr="0037786D"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tc>
        <w:tc>
          <w:tcPr>
            <w:tcW w:w="6840" w:type="dxa"/>
          </w:tcPr>
          <w:p w:rsidR="003109F5" w:rsidRDefault="00615250" w:rsidP="00073502">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100BD1">
              <w:t>Though the concepts used in the graphic design and video gaming industries are similar</w:t>
            </w:r>
            <w:r w:rsidR="009C0C32">
              <w:t>,</w:t>
            </w:r>
            <w:r w:rsidR="00100BD1">
              <w:t xml:space="preserve"> the software applications are very different. Video game creation requires complex computer coding</w:t>
            </w:r>
            <w:r w:rsidR="00FC16E2">
              <w:t xml:space="preserve"> and does not seem a viable opportunity for the department.  The department conducted a smartphone "App" creation workshop </w:t>
            </w:r>
            <w:r w:rsidR="00073502">
              <w:t>that was attended by faculty. Design will approach CIS to discuss a possible partnership</w:t>
            </w:r>
            <w:r w:rsidR="009C0C32">
              <w:t xml:space="preserve"> in that area</w:t>
            </w:r>
            <w:r w:rsidR="00073502">
              <w:t>.</w:t>
            </w:r>
            <w:r w:rsidRPr="00DB505A">
              <w:rPr>
                <w:rFonts w:ascii="Arial" w:hAnsi="Arial" w:cs="Arial"/>
                <w:color w:val="000000" w:themeColor="text1"/>
              </w:rPr>
              <w:fldChar w:fldCharType="end"/>
            </w:r>
          </w:p>
        </w:tc>
      </w:tr>
      <w:tr w:rsidR="003109F5" w:rsidTr="003109F5">
        <w:trPr>
          <w:trHeight w:val="1101"/>
        </w:trPr>
        <w:tc>
          <w:tcPr>
            <w:tcW w:w="3690" w:type="dxa"/>
          </w:tcPr>
          <w:p w:rsidR="003109F5" w:rsidRPr="004D70DD" w:rsidRDefault="003109F5" w:rsidP="003F38D9">
            <w:pPr>
              <w:tabs>
                <w:tab w:val="left" w:pos="504"/>
                <w:tab w:val="num" w:pos="1260"/>
              </w:tabs>
              <w:rPr>
                <w:rFonts w:ascii="Arial" w:hAnsi="Arial"/>
              </w:rPr>
            </w:pPr>
            <w:r w:rsidRPr="004D70DD">
              <w:rPr>
                <w:rFonts w:ascii="Arial" w:hAnsi="Arial"/>
              </w:rPr>
              <w:t>Investigate if courses already offered could be incorporated into Education degree programs.</w:t>
            </w:r>
          </w:p>
          <w:p w:rsidR="003109F5" w:rsidRPr="0037786D" w:rsidRDefault="003109F5" w:rsidP="00EA0B10">
            <w:pPr>
              <w:pStyle w:val="ListParagraph"/>
              <w:ind w:left="0"/>
              <w:rPr>
                <w:rFonts w:ascii="Arial" w:hAnsi="Arial" w:cs="Arial"/>
                <w:color w:val="000000" w:themeColor="text1"/>
              </w:rPr>
            </w:pPr>
          </w:p>
        </w:tc>
        <w:tc>
          <w:tcPr>
            <w:tcW w:w="2700" w:type="dxa"/>
          </w:tcPr>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EA0B10">
            <w:pPr>
              <w:pStyle w:val="ListParagraph"/>
              <w:ind w:left="0"/>
              <w:rPr>
                <w:rFonts w:ascii="Arial" w:hAnsi="Arial" w:cs="Arial"/>
                <w:color w:val="000000" w:themeColor="text1"/>
              </w:rPr>
            </w:pPr>
          </w:p>
          <w:p w:rsidR="003109F5" w:rsidRPr="0037786D"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840" w:type="dxa"/>
          </w:tcPr>
          <w:p w:rsidR="003109F5" w:rsidRDefault="00615250" w:rsidP="00073502">
            <w:r w:rsidRPr="00DB505A">
              <w:rPr>
                <w:rFonts w:ascii="Arial" w:hAnsi="Arial" w:cs="Arial"/>
                <w:color w:val="000000" w:themeColor="text1"/>
              </w:rPr>
              <w:fldChar w:fldCharType="begin">
                <w:ffData>
                  <w:name w:val="Text1"/>
                  <w:enabled/>
                  <w:calcOnExit w:val="0"/>
                  <w:textInput/>
                </w:ffData>
              </w:fldChar>
            </w:r>
            <w:r w:rsidR="003109F5" w:rsidRPr="00DB505A">
              <w:rPr>
                <w:rFonts w:ascii="Arial" w:hAnsi="Arial" w:cs="Arial"/>
                <w:color w:val="000000" w:themeColor="text1"/>
              </w:rPr>
              <w:instrText xml:space="preserve"> FORMTEXT </w:instrText>
            </w:r>
            <w:r w:rsidRPr="00DB505A">
              <w:rPr>
                <w:rFonts w:ascii="Arial" w:hAnsi="Arial" w:cs="Arial"/>
                <w:color w:val="000000" w:themeColor="text1"/>
              </w:rPr>
            </w:r>
            <w:r w:rsidRPr="00DB505A">
              <w:rPr>
                <w:rFonts w:ascii="Arial" w:hAnsi="Arial" w:cs="Arial"/>
                <w:color w:val="000000" w:themeColor="text1"/>
              </w:rPr>
              <w:fldChar w:fldCharType="separate"/>
            </w:r>
            <w:r w:rsidR="00073502">
              <w:t xml:space="preserve">Several years ago, </w:t>
            </w:r>
            <w:r w:rsidR="00100BD1">
              <w:t xml:space="preserve">the department was able to offer a digital imaging and illustration workshop for University of Dayton credit within their graduate education program, </w:t>
            </w:r>
            <w:r w:rsidR="00073502">
              <w:t xml:space="preserve">but </w:t>
            </w:r>
            <w:r w:rsidR="00100BD1">
              <w:t>it is not clear whether this type of coursework is relevant within the first two years of an education degree.</w:t>
            </w:r>
            <w:r w:rsidRPr="00DB505A">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 xml:space="preserve">Validate the perception that students’ failure in entry level courses is because of their lack of understanding of the field and its rigor.  Before pursuing admission requirements, assess more carefully why students may not be succeeding.  Consider </w:t>
            </w:r>
            <w:r>
              <w:rPr>
                <w:rFonts w:ascii="Arial" w:hAnsi="Arial" w:cs="Arial"/>
              </w:rPr>
              <w:t xml:space="preserve">research in conjunction with Research, Analytics and Reporting and </w:t>
            </w:r>
            <w:r w:rsidRPr="003B7341">
              <w:rPr>
                <w:rFonts w:ascii="Arial" w:hAnsi="Arial" w:cs="Arial"/>
              </w:rPr>
              <w:t xml:space="preserve">course-level exit interviews with students in order to understand more fully students’ experiences in these classes. </w:t>
            </w:r>
          </w:p>
          <w:p w:rsidR="003109F5" w:rsidRPr="00654C15" w:rsidRDefault="003109F5" w:rsidP="003E791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480" w:type="dxa"/>
          </w:tcPr>
          <w:p w:rsidR="00130442" w:rsidRDefault="00615250" w:rsidP="00130442">
            <w:r w:rsidRPr="00BD62DE">
              <w:rPr>
                <w:rFonts w:ascii="Arial" w:hAnsi="Arial" w:cs="Arial"/>
                <w:color w:val="000000" w:themeColor="text1"/>
              </w:rPr>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100BD1">
              <w:t xml:space="preserve">The department created "fact sheets" for the advisor's to distribute to VIS and IND majors a few year's ago. </w:t>
            </w:r>
            <w:r w:rsidR="00130442">
              <w:t xml:space="preserve"> Revision and re-printin</w:t>
            </w:r>
            <w:r w:rsidR="00073502">
              <w:t>g of these sheets is planned.</w:t>
            </w:r>
            <w:r w:rsidR="00100BD1">
              <w:t xml:space="preserve"> </w:t>
            </w:r>
          </w:p>
          <w:p w:rsidR="00130442" w:rsidRDefault="00130442" w:rsidP="00130442"/>
          <w:p w:rsidR="00130442" w:rsidRDefault="00130442" w:rsidP="00130442">
            <w:r>
              <w:t xml:space="preserve">The newly developed semester coursework has been designed to introduce students to the design profession at </w:t>
            </w:r>
            <w:r w:rsidR="00073502">
              <w:t>t</w:t>
            </w:r>
            <w:r>
              <w:t xml:space="preserve">he entry point to the program.  The department is considering creating "open houses" or "orientations" that could be used to educate potential students about the </w:t>
            </w:r>
            <w:r w:rsidR="009C0C32">
              <w:t xml:space="preserve">attributes of successful designers.  This would also be an opportunity to discuss the </w:t>
            </w:r>
            <w:proofErr w:type="spellStart"/>
            <w:r w:rsidR="009C0C32">
              <w:t>courswork</w:t>
            </w:r>
            <w:proofErr w:type="spellEnd"/>
            <w:r w:rsidR="009C0C32">
              <w:t xml:space="preserve"> and how it relates to the profession.</w:t>
            </w:r>
          </w:p>
          <w:p w:rsidR="00130442" w:rsidRDefault="00130442" w:rsidP="00130442"/>
          <w:p w:rsidR="003109F5" w:rsidRDefault="00130442" w:rsidP="00130442">
            <w:r>
              <w:t>The department is investigating using the web-site to provide prospective students with information about design and links to related web-sites.</w:t>
            </w:r>
            <w:r w:rsidR="00615250" w:rsidRPr="00BD62DE">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 xml:space="preserve">Validate the presumed relationship between grade point average and persistence to graduation and success on the job.  Obtain more information from employers regarding the essential knowledge, skills and abilities needed for the success of entry level designers, and evaluate the curriculum in light of this feedback.  The fast pace of change in the design industry warrants continuing effort to identify what employers are seeking in graduates of the program – and key indicators of success in professional practice.  </w:t>
            </w:r>
          </w:p>
          <w:p w:rsidR="003109F5" w:rsidRPr="00654C15" w:rsidRDefault="003109F5" w:rsidP="003E791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480" w:type="dxa"/>
          </w:tcPr>
          <w:p w:rsidR="003109F5" w:rsidRDefault="00615250" w:rsidP="009C0C32">
            <w:r w:rsidRPr="00BD62DE">
              <w:rPr>
                <w:rFonts w:ascii="Arial" w:hAnsi="Arial" w:cs="Arial"/>
                <w:color w:val="000000" w:themeColor="text1"/>
              </w:rPr>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C71D43">
              <w:t>The Design department created a simple questionna</w:t>
            </w:r>
            <w:r w:rsidR="00073502">
              <w:t>r</w:t>
            </w:r>
            <w:r w:rsidR="00C71D43">
              <w:t xml:space="preserve">e that was distributed to students who particpated in the 2012 Spring </w:t>
            </w:r>
            <w:r w:rsidR="009C0C32">
              <w:t>P</w:t>
            </w:r>
            <w:r w:rsidR="00C71D43">
              <w:t xml:space="preserve">ortfolio Review, asking them to indicate their future employment or education plans.  </w:t>
            </w:r>
            <w:r w:rsidR="003A1D2D">
              <w:t xml:space="preserve">This data </w:t>
            </w:r>
            <w:r w:rsidR="00073502">
              <w:t>has only been collected for 2012, and prelimiary review does not indicate a relationship between whether a graduate is employed in the field and that student's final GPA.</w:t>
            </w:r>
            <w:r w:rsidRPr="00BD62DE">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lastRenderedPageBreak/>
              <w:t>Increase awareness among the region’s employers of the programs in the department and the caliber of Sinclair’s design graduates.</w:t>
            </w:r>
          </w:p>
          <w:p w:rsidR="003109F5" w:rsidRPr="00654C15" w:rsidRDefault="003109F5" w:rsidP="003E791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480" w:type="dxa"/>
          </w:tcPr>
          <w:p w:rsidR="003109F5" w:rsidRDefault="00615250" w:rsidP="00073502">
            <w:r w:rsidRPr="00BD62DE">
              <w:rPr>
                <w:rFonts w:ascii="Arial" w:hAnsi="Arial" w:cs="Arial"/>
                <w:color w:val="000000" w:themeColor="text1"/>
              </w:rPr>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C71D43">
              <w:t>The department created an external web-site that provide</w:t>
            </w:r>
            <w:r w:rsidR="00073502">
              <w:t>s</w:t>
            </w:r>
            <w:r w:rsidR="00C71D43">
              <w:t xml:space="preserve"> information about the annual portfolio show to the professionals who serve as evaluators. There is discussion about featuring student work on this web-site.  The department is also considering sponsoring a "lecture" series or other event that would cultivate alumni and industry leader interest in the program. </w:t>
            </w:r>
            <w:r w:rsidRPr="00BD62DE">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Consider whether preparing students for transfer should be an explicit part of the department’s mission statement and an increasing aspect of the department’s work with students.  With the continuing evolution of the design fields and the growing emphasis on the baccalaureate degree as an important credential in design, the department may need to increase its attention to facilitating the transfer of students, including the development of articulation agreements with more four-year institutions.</w:t>
            </w:r>
          </w:p>
          <w:p w:rsidR="003109F5" w:rsidRPr="00654C15" w:rsidRDefault="003109F5" w:rsidP="003E791C">
            <w:pPr>
              <w:pStyle w:val="ListParagraph"/>
              <w:ind w:left="0"/>
              <w:rPr>
                <w:rFonts w:ascii="Arial" w:hAnsi="Arial" w:cs="Arial"/>
                <w:color w:val="000000" w:themeColor="text1"/>
              </w:rPr>
            </w:pPr>
          </w:p>
        </w:tc>
        <w:tc>
          <w:tcPr>
            <w:tcW w:w="2700" w:type="dxa"/>
          </w:tcPr>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637591">
            <w:pPr>
              <w:pStyle w:val="ListParagraph"/>
              <w:ind w:left="0"/>
              <w:rPr>
                <w:rFonts w:ascii="Arial" w:hAnsi="Arial" w:cs="Arial"/>
                <w:color w:val="000000" w:themeColor="text1"/>
              </w:rPr>
            </w:pPr>
          </w:p>
          <w:p w:rsidR="003109F5" w:rsidRPr="0037786D" w:rsidRDefault="003109F5"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480" w:type="dxa"/>
          </w:tcPr>
          <w:p w:rsidR="003109F5" w:rsidRDefault="00615250" w:rsidP="006B4807">
            <w:r w:rsidRPr="00BD62DE">
              <w:rPr>
                <w:rFonts w:ascii="Arial" w:hAnsi="Arial" w:cs="Arial"/>
                <w:color w:val="000000" w:themeColor="text1"/>
              </w:rPr>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7D285C">
              <w:t xml:space="preserve">The department has ongoing articulation agreements with Wright Sate University and Franklin University.  Though preparing students for transfer was considered during the semester conversion of classes, since a majority of the students intend to seek jobs after graduation, the curriucla must cover many of the skill sets that would be </w:t>
            </w:r>
            <w:r w:rsidR="006B4807" w:rsidRPr="006B4807">
              <w:t xml:space="preserve">normally </w:t>
            </w:r>
            <w:r w:rsidR="007D285C">
              <w:t xml:space="preserve">taught in the third or fourth year of a baccalaureate program.  The deparment continues to work with individual students seeking transfer and to intiate dialog with potential four-year partners. </w:t>
            </w:r>
            <w:r w:rsidRPr="00BD62DE">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Explore offering non-credit continuing education for practicing designers.</w:t>
            </w:r>
          </w:p>
          <w:p w:rsidR="003109F5" w:rsidRPr="00654C15" w:rsidRDefault="003109F5" w:rsidP="00D07030">
            <w:pPr>
              <w:pStyle w:val="ListParagraph"/>
              <w:ind w:left="0"/>
              <w:rPr>
                <w:rFonts w:ascii="Arial" w:hAnsi="Arial" w:cs="Arial"/>
                <w:color w:val="000000" w:themeColor="text1"/>
              </w:rPr>
            </w:pPr>
          </w:p>
        </w:tc>
        <w:tc>
          <w:tcPr>
            <w:tcW w:w="2700" w:type="dxa"/>
          </w:tcPr>
          <w:p w:rsidR="003109F5" w:rsidRDefault="003109F5" w:rsidP="00D07030">
            <w:pPr>
              <w:pStyle w:val="ListParagraph"/>
              <w:ind w:left="0"/>
              <w:rPr>
                <w:rFonts w:ascii="Arial" w:hAnsi="Arial" w:cs="Arial"/>
                <w:color w:val="000000" w:themeColor="text1"/>
              </w:rPr>
            </w:pPr>
          </w:p>
          <w:p w:rsidR="003109F5"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D07030">
            <w:pPr>
              <w:pStyle w:val="ListParagraph"/>
              <w:ind w:left="0"/>
              <w:rPr>
                <w:rFonts w:ascii="Arial" w:hAnsi="Arial" w:cs="Arial"/>
                <w:color w:val="000000" w:themeColor="text1"/>
              </w:rPr>
            </w:pPr>
          </w:p>
          <w:p w:rsidR="003109F5"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D07030">
            <w:pPr>
              <w:pStyle w:val="ListParagraph"/>
              <w:ind w:left="0"/>
              <w:rPr>
                <w:rFonts w:ascii="Arial" w:hAnsi="Arial" w:cs="Arial"/>
                <w:color w:val="000000" w:themeColor="text1"/>
              </w:rPr>
            </w:pPr>
          </w:p>
          <w:p w:rsidR="003109F5" w:rsidRPr="0037786D"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tc>
        <w:tc>
          <w:tcPr>
            <w:tcW w:w="6480" w:type="dxa"/>
          </w:tcPr>
          <w:p w:rsidR="00290774" w:rsidRDefault="00615250" w:rsidP="00290774">
            <w:r w:rsidRPr="00BD62DE">
              <w:rPr>
                <w:rFonts w:ascii="Arial" w:hAnsi="Arial" w:cs="Arial"/>
                <w:color w:val="000000" w:themeColor="text1"/>
              </w:rPr>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6B4807">
              <w:t xml:space="preserve">The new course </w:t>
            </w:r>
            <w:r w:rsidR="00290774">
              <w:t xml:space="preserve">VIS 2160, </w:t>
            </w:r>
            <w:r w:rsidR="006B4807">
              <w:t>Design Applications II has been developed to give students additional experience in using interactive media software and to introduce concepts of information de</w:t>
            </w:r>
            <w:r w:rsidR="00073502">
              <w:t>si</w:t>
            </w:r>
            <w:r w:rsidR="006B4807">
              <w:t xml:space="preserve">gn.  This course will be marketed to professionals who are looking to expand their portfolios into the area of interactive and information design.  This course is required in the semester VIS.AAS </w:t>
            </w:r>
            <w:r w:rsidR="00290774">
              <w:t>and is therefore a for-credit course which is more cost effective for the college.</w:t>
            </w:r>
          </w:p>
          <w:p w:rsidR="00290774" w:rsidRDefault="00290774" w:rsidP="00290774"/>
          <w:p w:rsidR="003109F5" w:rsidRDefault="00290774" w:rsidP="00073502">
            <w:r>
              <w:t>IND 2140, Sustainable Design</w:t>
            </w:r>
            <w:r w:rsidR="00073502">
              <w:t>,</w:t>
            </w:r>
            <w:r>
              <w:t xml:space="preserve"> </w:t>
            </w:r>
            <w:r w:rsidR="00073502">
              <w:t xml:space="preserve"> 4 credit hours, </w:t>
            </w:r>
            <w:r>
              <w:t>will be marketed to professional interior designers who are increasingly being asked to consider sustainability by their clients.</w:t>
            </w:r>
            <w:r w:rsidR="00615250" w:rsidRPr="00BD62DE">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 xml:space="preserve">Improve graduate follow-up, and regularly incorporate their feedback </w:t>
            </w:r>
            <w:r w:rsidRPr="003B7341">
              <w:rPr>
                <w:rFonts w:ascii="Arial" w:hAnsi="Arial" w:cs="Arial"/>
              </w:rPr>
              <w:lastRenderedPageBreak/>
              <w:t>in improving the program.</w:t>
            </w:r>
          </w:p>
          <w:p w:rsidR="003109F5" w:rsidRPr="00654C15" w:rsidRDefault="003109F5" w:rsidP="00D07030">
            <w:pPr>
              <w:pStyle w:val="ListParagraph"/>
              <w:ind w:left="0"/>
              <w:rPr>
                <w:rFonts w:ascii="Arial" w:hAnsi="Arial" w:cs="Arial"/>
                <w:color w:val="000000" w:themeColor="text1"/>
              </w:rPr>
            </w:pPr>
          </w:p>
        </w:tc>
        <w:tc>
          <w:tcPr>
            <w:tcW w:w="2700" w:type="dxa"/>
          </w:tcPr>
          <w:p w:rsidR="003109F5" w:rsidRDefault="003109F5" w:rsidP="00D07030">
            <w:pPr>
              <w:pStyle w:val="ListParagraph"/>
              <w:ind w:left="0"/>
              <w:rPr>
                <w:rFonts w:ascii="Arial" w:hAnsi="Arial" w:cs="Arial"/>
                <w:color w:val="000000" w:themeColor="text1"/>
              </w:rPr>
            </w:pPr>
          </w:p>
          <w:p w:rsidR="003109F5"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D07030">
            <w:pPr>
              <w:pStyle w:val="ListParagraph"/>
              <w:ind w:left="0"/>
              <w:rPr>
                <w:rFonts w:ascii="Arial" w:hAnsi="Arial" w:cs="Arial"/>
                <w:color w:val="000000" w:themeColor="text1"/>
              </w:rPr>
            </w:pPr>
          </w:p>
          <w:p w:rsidR="003109F5"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D07030">
            <w:pPr>
              <w:pStyle w:val="ListParagraph"/>
              <w:ind w:left="0"/>
              <w:rPr>
                <w:rFonts w:ascii="Arial" w:hAnsi="Arial" w:cs="Arial"/>
                <w:color w:val="000000" w:themeColor="text1"/>
              </w:rPr>
            </w:pPr>
          </w:p>
          <w:p w:rsidR="003109F5" w:rsidRPr="0037786D" w:rsidRDefault="003109F5"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480" w:type="dxa"/>
          </w:tcPr>
          <w:p w:rsidR="003A1D2D" w:rsidRDefault="00615250" w:rsidP="006865D6">
            <w:r w:rsidRPr="00BD62DE">
              <w:rPr>
                <w:rFonts w:ascii="Arial" w:hAnsi="Arial" w:cs="Arial"/>
                <w:color w:val="000000" w:themeColor="text1"/>
              </w:rPr>
              <w:lastRenderedPageBreak/>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6B4807">
              <w:t>A</w:t>
            </w:r>
            <w:r w:rsidR="006865D6">
              <w:t xml:space="preserve">ll graduating students </w:t>
            </w:r>
            <w:r w:rsidR="006B4807">
              <w:t xml:space="preserve">meet with a design faculty member </w:t>
            </w:r>
            <w:r w:rsidR="006865D6">
              <w:t>to discuss the</w:t>
            </w:r>
            <w:r w:rsidR="006B4807">
              <w:t xml:space="preserve"> student's</w:t>
            </w:r>
            <w:r w:rsidR="006865D6">
              <w:t xml:space="preserve"> career goals and portfolio and to </w:t>
            </w:r>
            <w:r w:rsidR="006B4807">
              <w:t xml:space="preserve">provide </w:t>
            </w:r>
            <w:r w:rsidR="006865D6">
              <w:t xml:space="preserve">input about the </w:t>
            </w:r>
            <w:r w:rsidR="006865D6">
              <w:lastRenderedPageBreak/>
              <w:t>IND and VIS program</w:t>
            </w:r>
            <w:r w:rsidR="006B4807">
              <w:t>s</w:t>
            </w:r>
            <w:r w:rsidR="006865D6">
              <w:t xml:space="preserve"> and curricula.  Quantitative data from these interviews is not recorded but the qualitative information is shared with the department and informs the department's decision making. </w:t>
            </w:r>
          </w:p>
          <w:p w:rsidR="003109F5" w:rsidRDefault="003A1D2D" w:rsidP="003A1D2D">
            <w:r>
              <w:t>There are alumni on the VIS and IND advisory committees and alumni also serve as evaluators in the Spring Portfolio review.</w:t>
            </w:r>
            <w:r w:rsidR="00615250" w:rsidRPr="00BD62DE">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lastRenderedPageBreak/>
              <w:t>Consider whether the first year assessment, reported as helping students succeed, should be required and whether it should be made available at a defined juncture in students’ progress in the program rather than only during the spring term.</w:t>
            </w:r>
          </w:p>
          <w:p w:rsidR="003109F5" w:rsidRPr="00654C15" w:rsidRDefault="003109F5" w:rsidP="00D73E22">
            <w:pPr>
              <w:spacing w:after="200" w:line="276" w:lineRule="auto"/>
              <w:rPr>
                <w:rFonts w:ascii="Arial" w:hAnsi="Arial" w:cs="Arial"/>
                <w:color w:val="000000" w:themeColor="text1"/>
              </w:rPr>
            </w:pPr>
          </w:p>
        </w:tc>
        <w:tc>
          <w:tcPr>
            <w:tcW w:w="2700" w:type="dxa"/>
          </w:tcPr>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EA0B10">
            <w:pPr>
              <w:pStyle w:val="ListParagraph"/>
              <w:ind w:left="0"/>
              <w:rPr>
                <w:rFonts w:ascii="Arial" w:hAnsi="Arial" w:cs="Arial"/>
                <w:color w:val="000000" w:themeColor="text1"/>
              </w:rPr>
            </w:pPr>
          </w:p>
          <w:p w:rsidR="003109F5" w:rsidRPr="0037786D"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480" w:type="dxa"/>
          </w:tcPr>
          <w:p w:rsidR="003109F5" w:rsidRDefault="00615250" w:rsidP="003A1D2D">
            <w:r w:rsidRPr="00BD62DE">
              <w:rPr>
                <w:rFonts w:ascii="Arial" w:hAnsi="Arial" w:cs="Arial"/>
                <w:color w:val="000000" w:themeColor="text1"/>
              </w:rPr>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3A1D2D">
              <w:t xml:space="preserve">The department has required students to complete the first year assessment prior to registering for 200 (and now 2000) level classes for the past two years.  As a result, students seem to take the assessment more seriously.  The process and courses assessed are currently being reviewed by the department to ensure that the assessment meets the needs of the students and the department. </w:t>
            </w:r>
            <w:r w:rsidRPr="00BD62DE">
              <w:rPr>
                <w:rFonts w:ascii="Arial" w:hAnsi="Arial" w:cs="Arial"/>
                <w:color w:val="000000" w:themeColor="text1"/>
              </w:rPr>
              <w:fldChar w:fldCharType="end"/>
            </w:r>
          </w:p>
        </w:tc>
      </w:tr>
      <w:tr w:rsidR="003109F5" w:rsidRPr="0037786D" w:rsidTr="00D07030">
        <w:tc>
          <w:tcPr>
            <w:tcW w:w="3708" w:type="dxa"/>
          </w:tcPr>
          <w:p w:rsidR="003109F5" w:rsidRPr="003B7341" w:rsidRDefault="003109F5" w:rsidP="003F38D9">
            <w:pPr>
              <w:rPr>
                <w:rFonts w:ascii="Arial" w:hAnsi="Arial" w:cs="Arial"/>
              </w:rPr>
            </w:pPr>
            <w:r w:rsidRPr="003B7341">
              <w:rPr>
                <w:rFonts w:ascii="Arial" w:hAnsi="Arial" w:cs="Arial"/>
              </w:rPr>
              <w:t>Explore requiring an internship, either a component of a course or a separate course in lieu of another requirement.</w:t>
            </w:r>
          </w:p>
          <w:p w:rsidR="003109F5" w:rsidRPr="00654C15" w:rsidRDefault="003109F5" w:rsidP="00EA0B10">
            <w:pPr>
              <w:spacing w:after="200" w:line="276" w:lineRule="auto"/>
              <w:rPr>
                <w:rFonts w:ascii="Arial" w:hAnsi="Arial" w:cs="Arial"/>
                <w:color w:val="000000" w:themeColor="text1"/>
              </w:rPr>
            </w:pPr>
          </w:p>
        </w:tc>
        <w:tc>
          <w:tcPr>
            <w:tcW w:w="2700" w:type="dxa"/>
          </w:tcPr>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In progress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p w:rsidR="003109F5" w:rsidRDefault="003109F5" w:rsidP="00EA0B10">
            <w:pPr>
              <w:pStyle w:val="ListParagraph"/>
              <w:ind w:left="0"/>
              <w:rPr>
                <w:rFonts w:ascii="Arial" w:hAnsi="Arial" w:cs="Arial"/>
                <w:color w:val="000000" w:themeColor="text1"/>
              </w:rPr>
            </w:pPr>
          </w:p>
          <w:p w:rsidR="003109F5"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Completed </w:t>
            </w:r>
            <w:r w:rsidR="00615250">
              <w:fldChar w:fldCharType="begin">
                <w:ffData>
                  <w:name w:val="Check1"/>
                  <w:enabled/>
                  <w:calcOnExit w:val="0"/>
                  <w:checkBox>
                    <w:sizeAuto/>
                    <w:default w:val="0"/>
                    <w:checked/>
                  </w:checkBox>
                </w:ffData>
              </w:fldChar>
            </w:r>
            <w:r>
              <w:instrText xml:space="preserve"> FORMCHECKBOX </w:instrText>
            </w:r>
            <w:r w:rsidR="00615250">
              <w:fldChar w:fldCharType="separate"/>
            </w:r>
            <w:r w:rsidR="00615250">
              <w:fldChar w:fldCharType="end"/>
            </w:r>
          </w:p>
          <w:p w:rsidR="003109F5" w:rsidRDefault="003109F5" w:rsidP="00EA0B10">
            <w:pPr>
              <w:pStyle w:val="ListParagraph"/>
              <w:ind w:left="0"/>
              <w:rPr>
                <w:rFonts w:ascii="Arial" w:hAnsi="Arial" w:cs="Arial"/>
                <w:color w:val="000000" w:themeColor="text1"/>
              </w:rPr>
            </w:pPr>
          </w:p>
          <w:p w:rsidR="003109F5" w:rsidRPr="0037786D" w:rsidRDefault="003109F5" w:rsidP="00EA0B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15250">
              <w:fldChar w:fldCharType="begin">
                <w:ffData>
                  <w:name w:val="Check1"/>
                  <w:enabled/>
                  <w:calcOnExit w:val="0"/>
                  <w:checkBox>
                    <w:sizeAuto/>
                    <w:default w:val="0"/>
                  </w:checkBox>
                </w:ffData>
              </w:fldChar>
            </w:r>
            <w:r>
              <w:instrText xml:space="preserve"> FORMCHECKBOX </w:instrText>
            </w:r>
            <w:r w:rsidR="00615250">
              <w:fldChar w:fldCharType="separate"/>
            </w:r>
            <w:r w:rsidR="00615250">
              <w:fldChar w:fldCharType="end"/>
            </w:r>
          </w:p>
        </w:tc>
        <w:tc>
          <w:tcPr>
            <w:tcW w:w="6480" w:type="dxa"/>
          </w:tcPr>
          <w:p w:rsidR="006B4807" w:rsidRDefault="00615250" w:rsidP="006B4807">
            <w:r w:rsidRPr="00BD62DE">
              <w:rPr>
                <w:rFonts w:ascii="Arial" w:hAnsi="Arial" w:cs="Arial"/>
                <w:color w:val="000000" w:themeColor="text1"/>
              </w:rPr>
              <w:fldChar w:fldCharType="begin">
                <w:ffData>
                  <w:name w:val="Text1"/>
                  <w:enabled/>
                  <w:calcOnExit w:val="0"/>
                  <w:textInput/>
                </w:ffData>
              </w:fldChar>
            </w:r>
            <w:r w:rsidR="003109F5" w:rsidRPr="00BD62DE">
              <w:rPr>
                <w:rFonts w:ascii="Arial" w:hAnsi="Arial" w:cs="Arial"/>
                <w:color w:val="000000" w:themeColor="text1"/>
              </w:rPr>
              <w:instrText xml:space="preserve"> FORMTEXT </w:instrText>
            </w:r>
            <w:r w:rsidRPr="00BD62DE">
              <w:rPr>
                <w:rFonts w:ascii="Arial" w:hAnsi="Arial" w:cs="Arial"/>
                <w:color w:val="000000" w:themeColor="text1"/>
              </w:rPr>
            </w:r>
            <w:r w:rsidRPr="00BD62DE">
              <w:rPr>
                <w:rFonts w:ascii="Arial" w:hAnsi="Arial" w:cs="Arial"/>
                <w:color w:val="000000" w:themeColor="text1"/>
              </w:rPr>
              <w:fldChar w:fldCharType="separate"/>
            </w:r>
            <w:r w:rsidR="003A1D2D">
              <w:t>The department has standardized the process for which design employers and students are paired for internships, but this process is not supported by the college.  (Cynthia Cully has performed the role of internship coordinator</w:t>
            </w:r>
            <w:r w:rsidR="006B4807">
              <w:t xml:space="preserve"> and matched many students and employers, yet rec</w:t>
            </w:r>
            <w:r w:rsidR="00290774">
              <w:t>e</w:t>
            </w:r>
            <w:r w:rsidR="006B4807">
              <w:t xml:space="preserve">ives no compenation for this work.)  </w:t>
            </w:r>
          </w:p>
          <w:p w:rsidR="006B4807" w:rsidRDefault="006B4807" w:rsidP="006B4807"/>
          <w:p w:rsidR="003109F5" w:rsidRDefault="006B4807" w:rsidP="00290774">
            <w:r>
              <w:t>The department doesn't feel that the Design industry could support 60+ interns per year without a dedicated professional who could develop internships by reaching out to industry, demonstrating the benefits of hiring an intern to potential employers.</w:t>
            </w:r>
            <w:r w:rsidR="00615250" w:rsidRPr="00BD62DE">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tblPr>
      <w:tblGrid>
        <w:gridCol w:w="16"/>
        <w:gridCol w:w="3692"/>
        <w:gridCol w:w="1742"/>
        <w:gridCol w:w="1430"/>
        <w:gridCol w:w="2250"/>
        <w:gridCol w:w="4028"/>
      </w:tblGrid>
      <w:tr w:rsidR="00B34F9E" w:rsidRPr="004C52FC" w:rsidTr="00B34F9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109F5" w:rsidRPr="004C52FC" w:rsidTr="00B34F9E">
        <w:trPr>
          <w:trHeight w:val="274"/>
        </w:trPr>
        <w:tc>
          <w:tcPr>
            <w:tcW w:w="3708" w:type="dxa"/>
            <w:gridSpan w:val="2"/>
            <w:tcBorders>
              <w:right w:val="single" w:sz="4" w:space="0" w:color="auto"/>
            </w:tcBorders>
            <w:shd w:val="clear" w:color="auto" w:fill="FFFFFF"/>
            <w:vAlign w:val="center"/>
          </w:tcPr>
          <w:p w:rsidR="003109F5" w:rsidRPr="004C52FC" w:rsidRDefault="003109F5"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3109F5" w:rsidRPr="004C52FC" w:rsidRDefault="003109F5"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109F5" w:rsidRPr="004C52FC" w:rsidRDefault="003109F5"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3109F5" w:rsidRPr="004C52FC" w:rsidRDefault="003109F5"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3109F5" w:rsidRDefault="00615250" w:rsidP="00290774">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290774">
              <w:t>Item on Spring Portfolio Show assessment form</w:t>
            </w:r>
            <w:r w:rsidRPr="00DA0D9C">
              <w:rPr>
                <w:rFonts w:ascii="Arial" w:hAnsi="Arial" w:cs="Arial"/>
                <w:color w:val="000000" w:themeColor="text1"/>
              </w:rPr>
              <w:fldChar w:fldCharType="end"/>
            </w:r>
          </w:p>
        </w:tc>
        <w:tc>
          <w:tcPr>
            <w:tcW w:w="4028" w:type="dxa"/>
          </w:tcPr>
          <w:p w:rsidR="003109F5" w:rsidRDefault="00615250" w:rsidP="00F268E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073502">
              <w:t xml:space="preserve">The </w:t>
            </w:r>
            <w:r w:rsidR="00F268E9">
              <w:t xml:space="preserve">average </w:t>
            </w:r>
            <w:r w:rsidR="00073502">
              <w:t>results for oral communication as assessed by the evaluators at the Spring Portfolio event continue</w:t>
            </w:r>
            <w:r w:rsidR="00F268E9">
              <w:t>s</w:t>
            </w:r>
            <w:r w:rsidR="00073502">
              <w:t xml:space="preserve"> to </w:t>
            </w:r>
            <w:r w:rsidR="00F268E9">
              <w:t xml:space="preserve">be between4.1 and </w:t>
            </w:r>
            <w:r w:rsidR="00073502">
              <w:t xml:space="preserve"> 4.4 on a 5 point scale.</w:t>
            </w:r>
            <w:r w:rsidRPr="00DA0D9C">
              <w:rPr>
                <w:rFonts w:ascii="Arial" w:hAnsi="Arial" w:cs="Arial"/>
                <w:color w:val="000000" w:themeColor="text1"/>
              </w:rPr>
              <w:fldChar w:fldCharType="end"/>
            </w:r>
          </w:p>
        </w:tc>
      </w:tr>
      <w:tr w:rsidR="003109F5" w:rsidRPr="004C52FC" w:rsidTr="006C28B1">
        <w:trPr>
          <w:trHeight w:val="274"/>
        </w:trPr>
        <w:tc>
          <w:tcPr>
            <w:tcW w:w="3708" w:type="dxa"/>
            <w:gridSpan w:val="2"/>
            <w:tcBorders>
              <w:right w:val="single" w:sz="4" w:space="0" w:color="auto"/>
            </w:tcBorders>
            <w:shd w:val="clear" w:color="auto" w:fill="FFFFFF"/>
            <w:vAlign w:val="center"/>
          </w:tcPr>
          <w:p w:rsidR="003109F5" w:rsidRPr="004C52FC" w:rsidRDefault="003109F5"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3109F5" w:rsidRPr="004C52FC" w:rsidRDefault="003109F5"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109F5" w:rsidRPr="004C52FC" w:rsidRDefault="003109F5"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109F5" w:rsidRPr="004C52FC" w:rsidRDefault="003109F5"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831417" w:rsidRDefault="00615250" w:rsidP="00831417">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831417" w:rsidRPr="00831417">
              <w:t>Item on Spring Portfolio Show assessment form</w:t>
            </w:r>
          </w:p>
          <w:p w:rsidR="003109F5" w:rsidRDefault="00831417" w:rsidP="00831417">
            <w:r>
              <w:t>Grades for papers written in VIS 180</w:t>
            </w:r>
            <w:r w:rsidR="00615250" w:rsidRPr="00DA0D9C">
              <w:rPr>
                <w:rFonts w:ascii="Arial" w:hAnsi="Arial" w:cs="Arial"/>
                <w:color w:val="000000" w:themeColor="text1"/>
              </w:rPr>
              <w:fldChar w:fldCharType="end"/>
            </w:r>
          </w:p>
        </w:tc>
        <w:tc>
          <w:tcPr>
            <w:tcW w:w="4028" w:type="dxa"/>
            <w:tcBorders>
              <w:bottom w:val="single" w:sz="4" w:space="0" w:color="000000" w:themeColor="text1"/>
            </w:tcBorders>
          </w:tcPr>
          <w:p w:rsidR="003109F5" w:rsidRDefault="00615250" w:rsidP="00045C35">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F268E9">
              <w:t xml:space="preserve">Students written communication skills as assessed by the "use of design terminology" question at the Spring portfolio show contniue to be between 3.9 and 4.3.  The grades on student papers in VIS 180 have improved because the </w:t>
            </w:r>
            <w:proofErr w:type="gramStart"/>
            <w:r w:rsidR="00F268E9">
              <w:t>fa</w:t>
            </w:r>
            <w:r w:rsidR="00045C35">
              <w:t>c</w:t>
            </w:r>
            <w:r w:rsidR="00F268E9">
              <w:t>ulty require</w:t>
            </w:r>
            <w:proofErr w:type="gramEnd"/>
            <w:r w:rsidR="00F268E9">
              <w:t xml:space="preserve"> students to submit their writing for a formative assessment prior to the paper being due for the final grade.</w:t>
            </w:r>
            <w:r w:rsidRPr="00DA0D9C">
              <w:rPr>
                <w:rFonts w:ascii="Arial" w:hAnsi="Arial" w:cs="Arial"/>
                <w:color w:val="000000" w:themeColor="text1"/>
              </w:rPr>
              <w:fldChar w:fldCharType="end"/>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EA0B10">
            <w:pPr>
              <w:jc w:val="center"/>
              <w:rPr>
                <w:rFonts w:asciiTheme="minorHAnsi" w:hAnsiTheme="minorHAnsi" w:cs="Arial"/>
                <w:color w:val="000000" w:themeColor="text1"/>
                <w:sz w:val="20"/>
              </w:rPr>
            </w:pPr>
          </w:p>
        </w:tc>
        <w:tc>
          <w:tcPr>
            <w:tcW w:w="4028" w:type="dxa"/>
          </w:tcPr>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EA0B10">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109F5" w:rsidRPr="004C52FC" w:rsidTr="00EA0B10">
        <w:trPr>
          <w:trHeight w:val="274"/>
        </w:trPr>
        <w:tc>
          <w:tcPr>
            <w:tcW w:w="3708" w:type="dxa"/>
            <w:gridSpan w:val="2"/>
            <w:shd w:val="clear" w:color="auto" w:fill="FFFFFF"/>
            <w:vAlign w:val="center"/>
          </w:tcPr>
          <w:p w:rsidR="003109F5" w:rsidRPr="00814EB1" w:rsidRDefault="003109F5" w:rsidP="00EA0B10">
            <w:pPr>
              <w:rPr>
                <w:rFonts w:ascii="Verdana" w:hAnsi="Verdana"/>
                <w:sz w:val="20"/>
                <w:szCs w:val="20"/>
              </w:rPr>
            </w:pPr>
            <w:r w:rsidRPr="00F83269">
              <w:rPr>
                <w:rFonts w:ascii="Verdana" w:hAnsi="Verdana"/>
                <w:sz w:val="20"/>
                <w:szCs w:val="20"/>
              </w:rPr>
              <w:t xml:space="preserve">Recognize, understand and use the language and jargon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lastRenderedPageBreak/>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Pr="00AD236A" w:rsidRDefault="003109F5" w:rsidP="00EA0B10">
            <w:pPr>
              <w:rPr>
                <w:rFonts w:ascii="Verdana" w:hAnsi="Verdana"/>
                <w:sz w:val="20"/>
                <w:szCs w:val="20"/>
              </w:rPr>
            </w:pPr>
            <w:r>
              <w:rPr>
                <w:rFonts w:ascii="Verdana" w:hAnsi="Verdana"/>
                <w:sz w:val="20"/>
                <w:szCs w:val="20"/>
              </w:rPr>
              <w:t>IND 2260</w:t>
            </w:r>
          </w:p>
        </w:tc>
        <w:tc>
          <w:tcPr>
            <w:tcW w:w="1430" w:type="dxa"/>
            <w:shd w:val="clear" w:color="auto" w:fill="auto"/>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lastRenderedPageBreak/>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2012-13</w:t>
            </w:r>
            <w:r w:rsidRPr="00E96263">
              <w:rPr>
                <w:rFonts w:ascii="Arial" w:hAnsi="Arial" w:cs="Arial"/>
                <w:color w:val="000000" w:themeColor="text1"/>
              </w:rPr>
              <w:fldChar w:fldCharType="end"/>
            </w:r>
          </w:p>
        </w:tc>
        <w:tc>
          <w:tcPr>
            <w:tcW w:w="2250" w:type="dxa"/>
          </w:tcPr>
          <w:p w:rsidR="003109F5" w:rsidRDefault="00615250"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BC5BB9" w:rsidRPr="00BC5BB9">
              <w:tab/>
              <w:t xml:space="preserve">Annual portfolio show in which industry professionals provide </w:t>
            </w:r>
            <w:r w:rsidR="00BC5BB9" w:rsidRPr="00BC5BB9">
              <w:lastRenderedPageBreak/>
              <w:t>a score of 1-5 based on a review of student co</w:t>
            </w:r>
            <w:r w:rsidR="00BC5BB9">
              <w:t>ursework.</w:t>
            </w:r>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lastRenderedPageBreak/>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rPr>
          <w:trHeight w:val="72"/>
        </w:trPr>
        <w:tc>
          <w:tcPr>
            <w:tcW w:w="3708" w:type="dxa"/>
            <w:gridSpan w:val="2"/>
            <w:shd w:val="clear" w:color="auto" w:fill="FFFFFF"/>
            <w:vAlign w:val="center"/>
          </w:tcPr>
          <w:p w:rsidR="003109F5" w:rsidRPr="00814EB1" w:rsidRDefault="003109F5" w:rsidP="00EA0B10">
            <w:pPr>
              <w:rPr>
                <w:rFonts w:ascii="Verdana" w:hAnsi="Verdana"/>
                <w:sz w:val="20"/>
                <w:szCs w:val="20"/>
              </w:rPr>
            </w:pPr>
            <w:r w:rsidRPr="00F83269">
              <w:rPr>
                <w:rFonts w:ascii="Verdana" w:hAnsi="Verdana"/>
                <w:sz w:val="20"/>
                <w:szCs w:val="20"/>
              </w:rPr>
              <w:lastRenderedPageBreak/>
              <w:t xml:space="preserve">Discuss the history, fundamentals and basic theories of </w:t>
            </w:r>
            <w:r>
              <w:rPr>
                <w:rFonts w:ascii="Verdana" w:hAnsi="Verdana"/>
                <w:sz w:val="20"/>
                <w:szCs w:val="20"/>
              </w:rPr>
              <w:t xml:space="preserve">interior </w:t>
            </w:r>
            <w:r w:rsidRPr="00F83269">
              <w:rPr>
                <w:rFonts w:ascii="Verdana" w:hAnsi="Verdana"/>
                <w:sz w:val="20"/>
                <w:szCs w:val="20"/>
              </w:rPr>
              <w:t>design.</w:t>
            </w:r>
          </w:p>
        </w:tc>
        <w:tc>
          <w:tcPr>
            <w:tcW w:w="1742" w:type="dxa"/>
            <w:vAlign w:val="center"/>
          </w:tcPr>
          <w:p w:rsidR="003109F5" w:rsidRDefault="003109F5" w:rsidP="00EA0B10">
            <w:pPr>
              <w:rPr>
                <w:rFonts w:ascii="Verdana" w:hAnsi="Verdana"/>
                <w:sz w:val="20"/>
                <w:szCs w:val="20"/>
              </w:rPr>
            </w:pPr>
            <w:r>
              <w:rPr>
                <w:rFonts w:ascii="Verdana" w:hAnsi="Verdana"/>
                <w:sz w:val="20"/>
                <w:szCs w:val="20"/>
              </w:rPr>
              <w:t>VIS 1100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Pr="00AD236A" w:rsidRDefault="003109F5" w:rsidP="00EA0B10">
            <w:pPr>
              <w:rPr>
                <w:rFonts w:ascii="Verdana" w:hAnsi="Verdana"/>
                <w:sz w:val="20"/>
                <w:szCs w:val="20"/>
              </w:rPr>
            </w:pPr>
            <w:r>
              <w:rPr>
                <w:rFonts w:ascii="Verdana" w:hAnsi="Verdana"/>
                <w:sz w:val="20"/>
                <w:szCs w:val="20"/>
              </w:rPr>
              <w:t>IND 2260</w:t>
            </w:r>
          </w:p>
        </w:tc>
        <w:tc>
          <w:tcPr>
            <w:tcW w:w="1430" w:type="dxa"/>
            <w:shd w:val="clear" w:color="auto" w:fill="auto"/>
          </w:tcPr>
          <w:p w:rsidR="003109F5" w:rsidRPr="004C52FC" w:rsidRDefault="00615250" w:rsidP="00F268E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F268E9">
              <w:t>2009-10</w:t>
            </w:r>
            <w:r w:rsidRPr="00E96263">
              <w:rPr>
                <w:rFonts w:ascii="Arial" w:hAnsi="Arial" w:cs="Arial"/>
                <w:color w:val="000000" w:themeColor="text1"/>
              </w:rPr>
              <w:fldChar w:fldCharType="end"/>
            </w:r>
          </w:p>
        </w:tc>
        <w:tc>
          <w:tcPr>
            <w:tcW w:w="2250"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rPr>
          <w:trHeight w:val="72"/>
        </w:trPr>
        <w:tc>
          <w:tcPr>
            <w:tcW w:w="3708" w:type="dxa"/>
            <w:gridSpan w:val="2"/>
            <w:shd w:val="clear" w:color="auto" w:fill="FFFFFF"/>
            <w:vAlign w:val="center"/>
          </w:tcPr>
          <w:p w:rsidR="003109F5" w:rsidRPr="00814EB1" w:rsidRDefault="003109F5" w:rsidP="00EA0B10">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 xml:space="preserve"> solving skills to a variety of </w:t>
            </w:r>
            <w:r>
              <w:rPr>
                <w:rFonts w:ascii="Verdana" w:hAnsi="Verdana"/>
                <w:sz w:val="20"/>
                <w:szCs w:val="20"/>
              </w:rPr>
              <w:t xml:space="preserve">interior </w:t>
            </w:r>
            <w:r w:rsidRPr="00F83269">
              <w:rPr>
                <w:rFonts w:ascii="Verdana" w:hAnsi="Verdana"/>
                <w:sz w:val="20"/>
                <w:szCs w:val="20"/>
              </w:rPr>
              <w:t>design problems.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Pr="00AD236A" w:rsidRDefault="003109F5" w:rsidP="00EA0B10">
            <w:pPr>
              <w:rPr>
                <w:rFonts w:ascii="Verdana" w:hAnsi="Verdana"/>
                <w:sz w:val="20"/>
                <w:szCs w:val="20"/>
              </w:rPr>
            </w:pPr>
            <w:r>
              <w:rPr>
                <w:rFonts w:ascii="Verdana" w:hAnsi="Verdana"/>
                <w:sz w:val="20"/>
                <w:szCs w:val="20"/>
              </w:rPr>
              <w:t>IND 2260</w:t>
            </w:r>
          </w:p>
        </w:tc>
        <w:tc>
          <w:tcPr>
            <w:tcW w:w="1430" w:type="dxa"/>
            <w:shd w:val="clear" w:color="auto" w:fill="auto"/>
          </w:tcPr>
          <w:p w:rsidR="003109F5" w:rsidRPr="004C52FC" w:rsidRDefault="00615250" w:rsidP="00F268E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F268E9">
              <w:t>2011-12</w:t>
            </w:r>
            <w:r w:rsidRPr="00E96263">
              <w:rPr>
                <w:rFonts w:ascii="Arial" w:hAnsi="Arial" w:cs="Arial"/>
                <w:color w:val="000000" w:themeColor="text1"/>
              </w:rPr>
              <w:fldChar w:fldCharType="end"/>
            </w:r>
          </w:p>
        </w:tc>
        <w:tc>
          <w:tcPr>
            <w:tcW w:w="2250" w:type="dxa"/>
          </w:tcPr>
          <w:p w:rsidR="003109F5" w:rsidRDefault="00615250"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BC5BB9" w:rsidRPr="00BC5BB9">
              <w:tab/>
              <w:t>Annual portfolio show in which industry professionals provide a score of 1-5 based on a review of student coursewor</w:t>
            </w:r>
            <w:r w:rsidR="00BC5BB9">
              <w:t>k.</w:t>
            </w:r>
            <w:r w:rsidRPr="00DA0D9C">
              <w:rPr>
                <w:rFonts w:ascii="Arial" w:hAnsi="Arial" w:cs="Arial"/>
                <w:color w:val="000000" w:themeColor="text1"/>
              </w:rPr>
              <w:fldChar w:fldCharType="end"/>
            </w:r>
          </w:p>
        </w:tc>
        <w:tc>
          <w:tcPr>
            <w:tcW w:w="4028" w:type="dxa"/>
          </w:tcPr>
          <w:p w:rsidR="003109F5" w:rsidRDefault="00615250" w:rsidP="006C3F43">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25938">
              <w:t>Aggregate result w</w:t>
            </w:r>
            <w:r w:rsidR="006C3F43">
              <w:t xml:space="preserve">as </w:t>
            </w:r>
            <w:r w:rsidR="00B25938">
              <w:t>4.45 for IND students.</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Communicate design concepts at various stages of development using the design process, drawing skills and/or appropriate software.</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2260</w:t>
            </w:r>
          </w:p>
          <w:p w:rsidR="003109F5" w:rsidRPr="00AD236A" w:rsidRDefault="003109F5" w:rsidP="00EA0B10">
            <w:pPr>
              <w:rPr>
                <w:rFonts w:ascii="Verdana" w:hAnsi="Verdana"/>
                <w:sz w:val="20"/>
                <w:szCs w:val="20"/>
              </w:rPr>
            </w:pPr>
            <w:r>
              <w:rPr>
                <w:rFonts w:ascii="Verdana" w:hAnsi="Verdana"/>
                <w:sz w:val="20"/>
                <w:szCs w:val="20"/>
              </w:rPr>
              <w:t>CAT 1101</w:t>
            </w:r>
          </w:p>
        </w:tc>
        <w:tc>
          <w:tcPr>
            <w:tcW w:w="1430" w:type="dxa"/>
          </w:tcPr>
          <w:p w:rsidR="003109F5" w:rsidRPr="004C52FC" w:rsidRDefault="00615250" w:rsidP="00F268E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F268E9">
              <w:t>2009-10</w:t>
            </w:r>
            <w:r w:rsidRPr="00E96263">
              <w:rPr>
                <w:rFonts w:ascii="Arial" w:hAnsi="Arial" w:cs="Arial"/>
                <w:color w:val="000000" w:themeColor="text1"/>
              </w:rPr>
              <w:fldChar w:fldCharType="end"/>
            </w:r>
          </w:p>
        </w:tc>
        <w:tc>
          <w:tcPr>
            <w:tcW w:w="2250"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 xml:space="preserve">Develop </w:t>
            </w:r>
            <w:r>
              <w:rPr>
                <w:rFonts w:ascii="Verdana" w:hAnsi="Verdana"/>
                <w:sz w:val="20"/>
                <w:szCs w:val="20"/>
              </w:rPr>
              <w:t xml:space="preserve">floor plans, interior views </w:t>
            </w:r>
            <w:r>
              <w:rPr>
                <w:rFonts w:ascii="Verdana" w:hAnsi="Verdana"/>
                <w:sz w:val="20"/>
                <w:szCs w:val="20"/>
              </w:rPr>
              <w:lastRenderedPageBreak/>
              <w:t>and other relevant design documents using traditional and computer-based methods</w:t>
            </w:r>
            <w:r w:rsidRPr="00F83269">
              <w:rPr>
                <w:rFonts w:ascii="Verdana" w:hAnsi="Verdana"/>
                <w:sz w:val="20"/>
                <w:szCs w:val="20"/>
              </w:rPr>
              <w:t>.</w:t>
            </w:r>
          </w:p>
        </w:tc>
        <w:tc>
          <w:tcPr>
            <w:tcW w:w="1742" w:type="dxa"/>
            <w:vAlign w:val="center"/>
          </w:tcPr>
          <w:p w:rsidR="003109F5" w:rsidRDefault="003109F5" w:rsidP="00EA0B10">
            <w:pPr>
              <w:rPr>
                <w:rFonts w:ascii="Verdana" w:hAnsi="Verdana"/>
                <w:sz w:val="20"/>
                <w:szCs w:val="20"/>
              </w:rPr>
            </w:pPr>
            <w:r>
              <w:rPr>
                <w:rFonts w:ascii="Verdana" w:hAnsi="Verdana"/>
                <w:sz w:val="20"/>
                <w:szCs w:val="20"/>
              </w:rPr>
              <w:lastRenderedPageBreak/>
              <w:t xml:space="preserve">VIS 1100 </w:t>
            </w:r>
          </w:p>
          <w:p w:rsidR="003109F5" w:rsidRDefault="003109F5" w:rsidP="00EA0B10">
            <w:pPr>
              <w:rPr>
                <w:rFonts w:ascii="Verdana" w:hAnsi="Verdana"/>
                <w:sz w:val="20"/>
                <w:szCs w:val="20"/>
              </w:rPr>
            </w:pPr>
            <w:r>
              <w:rPr>
                <w:rFonts w:ascii="Verdana" w:hAnsi="Verdana"/>
                <w:sz w:val="20"/>
                <w:szCs w:val="20"/>
              </w:rPr>
              <w:lastRenderedPageBreak/>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Default="003109F5" w:rsidP="00EA0B10">
            <w:pPr>
              <w:rPr>
                <w:rFonts w:ascii="Verdana" w:hAnsi="Verdana"/>
                <w:sz w:val="20"/>
                <w:szCs w:val="20"/>
              </w:rPr>
            </w:pPr>
            <w:r>
              <w:rPr>
                <w:rFonts w:ascii="Verdana" w:hAnsi="Verdana"/>
                <w:sz w:val="20"/>
                <w:szCs w:val="20"/>
              </w:rPr>
              <w:t>IND 2260</w:t>
            </w:r>
          </w:p>
          <w:p w:rsidR="003109F5" w:rsidRPr="00AD236A" w:rsidRDefault="003109F5" w:rsidP="00EA0B10">
            <w:pPr>
              <w:rPr>
                <w:rFonts w:ascii="Verdana" w:hAnsi="Verdana"/>
                <w:sz w:val="20"/>
                <w:szCs w:val="20"/>
              </w:rPr>
            </w:pPr>
            <w:r>
              <w:rPr>
                <w:rFonts w:ascii="Verdana" w:hAnsi="Verdana"/>
                <w:sz w:val="20"/>
                <w:szCs w:val="20"/>
              </w:rPr>
              <w:t>CAT 1101</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lastRenderedPageBreak/>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2009-10</w:t>
            </w:r>
            <w:r w:rsidRPr="00E96263">
              <w:rPr>
                <w:rFonts w:ascii="Arial" w:hAnsi="Arial" w:cs="Arial"/>
                <w:color w:val="000000" w:themeColor="text1"/>
              </w:rPr>
              <w:fldChar w:fldCharType="end"/>
            </w:r>
          </w:p>
        </w:tc>
        <w:tc>
          <w:tcPr>
            <w:tcW w:w="2250"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lastRenderedPageBreak/>
              <w:t>Develop professional quality presentations and demonstrate adequate written and oral communication skills.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IND 1180</w:t>
            </w:r>
          </w:p>
          <w:p w:rsidR="003109F5" w:rsidRDefault="003109F5" w:rsidP="00EA0B10">
            <w:pPr>
              <w:rPr>
                <w:rFonts w:ascii="Verdana" w:hAnsi="Verdana"/>
                <w:sz w:val="20"/>
                <w:szCs w:val="20"/>
              </w:rPr>
            </w:pPr>
            <w:r>
              <w:rPr>
                <w:rFonts w:ascii="Verdana" w:hAnsi="Verdana"/>
                <w:sz w:val="20"/>
                <w:szCs w:val="20"/>
              </w:rPr>
              <w:t>IND 1230</w:t>
            </w:r>
          </w:p>
          <w:p w:rsidR="003109F5" w:rsidRDefault="003109F5" w:rsidP="00EA0B10">
            <w:pPr>
              <w:rPr>
                <w:rFonts w:ascii="Verdana" w:hAnsi="Verdana"/>
                <w:sz w:val="20"/>
                <w:szCs w:val="20"/>
              </w:rPr>
            </w:pPr>
            <w:r>
              <w:rPr>
                <w:rFonts w:ascii="Verdana" w:hAnsi="Verdana"/>
                <w:sz w:val="20"/>
                <w:szCs w:val="20"/>
              </w:rPr>
              <w:t>IND 1234</w:t>
            </w:r>
          </w:p>
          <w:p w:rsidR="003109F5" w:rsidRDefault="003109F5" w:rsidP="00EA0B10">
            <w:pPr>
              <w:rPr>
                <w:rFonts w:ascii="Verdana" w:hAnsi="Verdana"/>
                <w:sz w:val="20"/>
                <w:szCs w:val="20"/>
              </w:rPr>
            </w:pPr>
            <w:r>
              <w:rPr>
                <w:rFonts w:ascii="Verdana" w:hAnsi="Verdana"/>
                <w:sz w:val="20"/>
                <w:szCs w:val="20"/>
              </w:rPr>
              <w:t>IND 1240</w:t>
            </w:r>
          </w:p>
          <w:p w:rsidR="003109F5" w:rsidRDefault="003109F5" w:rsidP="00EA0B10">
            <w:pPr>
              <w:rPr>
                <w:rFonts w:ascii="Verdana" w:hAnsi="Verdana"/>
                <w:sz w:val="20"/>
                <w:szCs w:val="20"/>
              </w:rPr>
            </w:pPr>
            <w:r>
              <w:rPr>
                <w:rFonts w:ascii="Verdana" w:hAnsi="Verdana"/>
                <w:sz w:val="20"/>
                <w:szCs w:val="20"/>
              </w:rPr>
              <w:t>IND 2130</w:t>
            </w:r>
          </w:p>
          <w:p w:rsidR="003109F5" w:rsidRDefault="003109F5" w:rsidP="00EA0B10">
            <w:pPr>
              <w:rPr>
                <w:rFonts w:ascii="Verdana" w:hAnsi="Verdana"/>
                <w:sz w:val="20"/>
                <w:szCs w:val="20"/>
              </w:rPr>
            </w:pPr>
            <w:r>
              <w:rPr>
                <w:rFonts w:ascii="Verdana" w:hAnsi="Verdana"/>
                <w:sz w:val="20"/>
                <w:szCs w:val="20"/>
              </w:rPr>
              <w:t>IND 2135</w:t>
            </w:r>
          </w:p>
          <w:p w:rsidR="003109F5" w:rsidRDefault="003109F5" w:rsidP="00EA0B10">
            <w:pPr>
              <w:rPr>
                <w:rFonts w:ascii="Verdana" w:hAnsi="Verdana"/>
                <w:sz w:val="20"/>
                <w:szCs w:val="20"/>
              </w:rPr>
            </w:pPr>
            <w:r>
              <w:rPr>
                <w:rFonts w:ascii="Verdana" w:hAnsi="Verdana"/>
                <w:sz w:val="20"/>
                <w:szCs w:val="20"/>
              </w:rPr>
              <w:t>IND 2140</w:t>
            </w:r>
          </w:p>
          <w:p w:rsidR="003109F5" w:rsidRDefault="003109F5" w:rsidP="00EA0B10">
            <w:pPr>
              <w:rPr>
                <w:rFonts w:ascii="Verdana" w:hAnsi="Verdana"/>
                <w:sz w:val="20"/>
                <w:szCs w:val="20"/>
              </w:rPr>
            </w:pPr>
            <w:r>
              <w:rPr>
                <w:rFonts w:ascii="Verdana" w:hAnsi="Verdana"/>
                <w:sz w:val="20"/>
                <w:szCs w:val="20"/>
              </w:rPr>
              <w:t>IND 2260</w:t>
            </w:r>
          </w:p>
          <w:p w:rsidR="003109F5" w:rsidRDefault="003109F5" w:rsidP="00EA0B10">
            <w:pPr>
              <w:rPr>
                <w:rFonts w:ascii="Verdana" w:hAnsi="Verdana"/>
                <w:sz w:val="20"/>
                <w:szCs w:val="20"/>
              </w:rPr>
            </w:pPr>
            <w:r>
              <w:rPr>
                <w:rFonts w:ascii="Verdana" w:hAnsi="Verdana"/>
                <w:sz w:val="20"/>
                <w:szCs w:val="20"/>
              </w:rPr>
              <w:t>ENG 1101</w:t>
            </w:r>
          </w:p>
          <w:p w:rsidR="003109F5" w:rsidRPr="00AD236A" w:rsidRDefault="003109F5" w:rsidP="00EA0B10">
            <w:pPr>
              <w:rPr>
                <w:rFonts w:ascii="Verdana" w:hAnsi="Verdana"/>
                <w:sz w:val="20"/>
                <w:szCs w:val="20"/>
              </w:rPr>
            </w:pPr>
            <w:r>
              <w:rPr>
                <w:rFonts w:ascii="Verdana" w:hAnsi="Verdana"/>
                <w:sz w:val="20"/>
                <w:szCs w:val="20"/>
              </w:rPr>
              <w:t>COM 2206</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2011-12</w:t>
            </w:r>
            <w:r w:rsidRPr="00E96263">
              <w:rPr>
                <w:rFonts w:ascii="Arial" w:hAnsi="Arial" w:cs="Arial"/>
                <w:color w:val="000000" w:themeColor="text1"/>
              </w:rPr>
              <w:fldChar w:fldCharType="end"/>
            </w:r>
          </w:p>
        </w:tc>
        <w:tc>
          <w:tcPr>
            <w:tcW w:w="2250" w:type="dxa"/>
          </w:tcPr>
          <w:p w:rsidR="00BC5BB9" w:rsidRPr="00BC5BB9" w:rsidRDefault="00615250"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BC5BB9" w:rsidRPr="00BC5BB9">
              <w:tab/>
              <w:t>Annual portfolio show in which industry professionals provide a score of 1-5 based on a review of student coursework.</w:t>
            </w:r>
          </w:p>
          <w:p w:rsidR="003109F5" w:rsidRDefault="00615250" w:rsidP="00BC5BB9">
            <w:r w:rsidRPr="00DA0D9C">
              <w:rPr>
                <w:rFonts w:ascii="Arial" w:hAnsi="Arial" w:cs="Arial"/>
                <w:color w:val="000000" w:themeColor="text1"/>
              </w:rPr>
              <w:fldChar w:fldCharType="end"/>
            </w:r>
          </w:p>
        </w:tc>
        <w:tc>
          <w:tcPr>
            <w:tcW w:w="4028" w:type="dxa"/>
          </w:tcPr>
          <w:p w:rsidR="003109F5" w:rsidRDefault="00615250" w:rsidP="006C3F43">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25938" w:rsidRPr="00B25938">
              <w:t xml:space="preserve">Aggregate result was </w:t>
            </w:r>
            <w:r w:rsidR="006C3F43">
              <w:t>4.53</w:t>
            </w:r>
            <w:r w:rsidR="00B25938" w:rsidRPr="00B25938">
              <w:t xml:space="preserve"> for IND students.</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 xml:space="preserve">Demonstrate an understanding of the business fundamentals of </w:t>
            </w:r>
            <w:r>
              <w:rPr>
                <w:rFonts w:ascii="Verdana" w:hAnsi="Verdana"/>
                <w:sz w:val="20"/>
                <w:szCs w:val="20"/>
              </w:rPr>
              <w:t>interior design</w:t>
            </w:r>
            <w:r w:rsidRPr="00F83269">
              <w:rPr>
                <w:rFonts w:ascii="Verdana" w:hAnsi="Verdana"/>
                <w:sz w:val="20"/>
                <w:szCs w:val="20"/>
              </w:rPr>
              <w:t>.</w:t>
            </w:r>
          </w:p>
        </w:tc>
        <w:tc>
          <w:tcPr>
            <w:tcW w:w="1742" w:type="dxa"/>
            <w:vAlign w:val="center"/>
          </w:tcPr>
          <w:p w:rsidR="003109F5" w:rsidRDefault="003109F5" w:rsidP="00EA0B10">
            <w:pPr>
              <w:rPr>
                <w:rFonts w:ascii="Verdana" w:hAnsi="Verdana"/>
                <w:sz w:val="20"/>
                <w:szCs w:val="20"/>
              </w:rPr>
            </w:pPr>
            <w:r>
              <w:rPr>
                <w:rFonts w:ascii="Verdana" w:hAnsi="Verdana"/>
                <w:sz w:val="20"/>
                <w:szCs w:val="20"/>
              </w:rPr>
              <w:t>IND 2260</w:t>
            </w:r>
          </w:p>
          <w:p w:rsidR="003109F5" w:rsidRDefault="003109F5" w:rsidP="00EA0B10">
            <w:pPr>
              <w:rPr>
                <w:rFonts w:ascii="Verdana" w:hAnsi="Verdana"/>
                <w:sz w:val="20"/>
                <w:szCs w:val="20"/>
              </w:rPr>
            </w:pPr>
            <w:r>
              <w:rPr>
                <w:rFonts w:ascii="Verdana" w:hAnsi="Verdana"/>
                <w:sz w:val="20"/>
                <w:szCs w:val="20"/>
              </w:rPr>
              <w:t>CAT 1101</w:t>
            </w:r>
          </w:p>
          <w:p w:rsidR="003109F5" w:rsidRPr="00AD236A" w:rsidRDefault="003109F5" w:rsidP="00EA0B10">
            <w:pPr>
              <w:rPr>
                <w:rFonts w:ascii="Verdana" w:hAnsi="Verdana"/>
                <w:sz w:val="20"/>
                <w:szCs w:val="20"/>
              </w:rPr>
            </w:pPr>
            <w:r>
              <w:rPr>
                <w:rFonts w:ascii="Verdana" w:hAnsi="Verdana"/>
                <w:sz w:val="20"/>
                <w:szCs w:val="20"/>
              </w:rPr>
              <w:t xml:space="preserve">MRK </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2012-13</w:t>
            </w:r>
            <w:r w:rsidRPr="00E96263">
              <w:rPr>
                <w:rFonts w:ascii="Arial" w:hAnsi="Arial" w:cs="Arial"/>
                <w:color w:val="000000" w:themeColor="text1"/>
              </w:rPr>
              <w:fldChar w:fldCharType="end"/>
            </w:r>
          </w:p>
        </w:tc>
        <w:tc>
          <w:tcPr>
            <w:tcW w:w="2250" w:type="dxa"/>
          </w:tcPr>
          <w:p w:rsidR="00BC5BB9" w:rsidRPr="00BC5BB9" w:rsidRDefault="00615250"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BC5BB9" w:rsidRPr="00BC5BB9">
              <w:tab/>
              <w:t>Annual portfolio show in which industry professionals provide a score of 1-5 based on a review of student coursework.</w:t>
            </w:r>
          </w:p>
          <w:p w:rsidR="003109F5" w:rsidRDefault="00615250" w:rsidP="00BC5BB9">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814EB1" w:rsidRDefault="003109F5" w:rsidP="00EA0B10">
            <w:pPr>
              <w:rPr>
                <w:rFonts w:ascii="Verdana" w:hAnsi="Verdana"/>
                <w:sz w:val="20"/>
                <w:szCs w:val="20"/>
              </w:rPr>
            </w:pPr>
            <w:r w:rsidRPr="00F83269">
              <w:rPr>
                <w:rFonts w:ascii="Verdana" w:hAnsi="Verdana"/>
                <w:sz w:val="20"/>
                <w:szCs w:val="20"/>
              </w:rPr>
              <w:t>Recognize, understand and use the language and jargon of design.</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lastRenderedPageBreak/>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Pr="00AD236A" w:rsidRDefault="003109F5" w:rsidP="00EA0B10">
            <w:pPr>
              <w:rPr>
                <w:rFonts w:ascii="Verdana" w:hAnsi="Verdana"/>
                <w:sz w:val="20"/>
                <w:szCs w:val="20"/>
              </w:rPr>
            </w:pPr>
            <w:r>
              <w:rPr>
                <w:rFonts w:ascii="Verdana" w:hAnsi="Verdana"/>
                <w:sz w:val="20"/>
                <w:szCs w:val="20"/>
              </w:rPr>
              <w:t>VIS 2260</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lastRenderedPageBreak/>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2012-13</w:t>
            </w:r>
            <w:r w:rsidRPr="00E96263">
              <w:rPr>
                <w:rFonts w:ascii="Arial" w:hAnsi="Arial" w:cs="Arial"/>
                <w:color w:val="000000" w:themeColor="text1"/>
              </w:rPr>
              <w:fldChar w:fldCharType="end"/>
            </w:r>
          </w:p>
        </w:tc>
        <w:tc>
          <w:tcPr>
            <w:tcW w:w="2250" w:type="dxa"/>
          </w:tcPr>
          <w:p w:rsidR="00BC5BB9" w:rsidRPr="00BC5BB9" w:rsidRDefault="00615250"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BC5BB9" w:rsidRPr="00BC5BB9">
              <w:tab/>
              <w:t xml:space="preserve">Annual portfolio show in which industry professionals provide a score of 1-5 based </w:t>
            </w:r>
            <w:r w:rsidR="00BC5BB9" w:rsidRPr="00BC5BB9">
              <w:lastRenderedPageBreak/>
              <w:t>on a review of student coursework.</w:t>
            </w:r>
          </w:p>
          <w:p w:rsidR="003109F5" w:rsidRDefault="00615250" w:rsidP="00BC5BB9">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lastRenderedPageBreak/>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814EB1" w:rsidRDefault="003109F5" w:rsidP="00EA0B10">
            <w:pPr>
              <w:rPr>
                <w:rFonts w:ascii="Verdana" w:hAnsi="Verdana"/>
                <w:sz w:val="20"/>
                <w:szCs w:val="20"/>
              </w:rPr>
            </w:pPr>
            <w:r w:rsidRPr="00F83269">
              <w:rPr>
                <w:rFonts w:ascii="Verdana" w:hAnsi="Verdana"/>
                <w:sz w:val="20"/>
                <w:szCs w:val="20"/>
              </w:rPr>
              <w:lastRenderedPageBreak/>
              <w:t>Discuss the history, fundamentals and basic theories of design.</w:t>
            </w:r>
          </w:p>
        </w:tc>
        <w:tc>
          <w:tcPr>
            <w:tcW w:w="1742" w:type="dxa"/>
            <w:vAlign w:val="center"/>
          </w:tcPr>
          <w:p w:rsidR="003109F5" w:rsidRDefault="003109F5" w:rsidP="00EA0B10">
            <w:pPr>
              <w:rPr>
                <w:rFonts w:ascii="Verdana" w:hAnsi="Verdana"/>
                <w:sz w:val="20"/>
                <w:szCs w:val="20"/>
              </w:rPr>
            </w:pPr>
            <w:r>
              <w:rPr>
                <w:rFonts w:ascii="Verdana" w:hAnsi="Verdana"/>
                <w:sz w:val="20"/>
                <w:szCs w:val="20"/>
              </w:rPr>
              <w:t>VIS 1100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Pr="00AD236A" w:rsidRDefault="003109F5" w:rsidP="00EA0B10">
            <w:pPr>
              <w:rPr>
                <w:rFonts w:ascii="Verdana" w:hAnsi="Verdana"/>
                <w:sz w:val="20"/>
                <w:szCs w:val="20"/>
              </w:rPr>
            </w:pPr>
            <w:r>
              <w:rPr>
                <w:rFonts w:ascii="Verdana" w:hAnsi="Verdana"/>
                <w:sz w:val="20"/>
                <w:szCs w:val="20"/>
              </w:rPr>
              <w:t>VIS 2160</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2009-10</w:t>
            </w:r>
            <w:r w:rsidRPr="00E96263">
              <w:rPr>
                <w:rFonts w:ascii="Arial" w:hAnsi="Arial" w:cs="Arial"/>
                <w:color w:val="000000" w:themeColor="text1"/>
              </w:rPr>
              <w:fldChar w:fldCharType="end"/>
            </w:r>
          </w:p>
        </w:tc>
        <w:tc>
          <w:tcPr>
            <w:tcW w:w="2250"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814EB1" w:rsidRDefault="003109F5" w:rsidP="00EA0B10">
            <w:pPr>
              <w:rPr>
                <w:rFonts w:ascii="Verdana" w:hAnsi="Verdana"/>
                <w:sz w:val="20"/>
                <w:szCs w:val="20"/>
              </w:rPr>
            </w:pPr>
            <w:r w:rsidRPr="00F83269">
              <w:rPr>
                <w:rFonts w:ascii="Verdana" w:hAnsi="Verdana"/>
                <w:sz w:val="20"/>
                <w:szCs w:val="20"/>
              </w:rPr>
              <w:t>Apply critical thinking and creative problem</w:t>
            </w:r>
            <w:r>
              <w:rPr>
                <w:rFonts w:ascii="Verdana" w:hAnsi="Verdana"/>
                <w:sz w:val="20"/>
                <w:szCs w:val="20"/>
              </w:rPr>
              <w:t>-</w:t>
            </w:r>
            <w:r w:rsidRPr="00F83269">
              <w:rPr>
                <w:rFonts w:ascii="Verdana" w:hAnsi="Verdana"/>
                <w:sz w:val="20"/>
                <w:szCs w:val="20"/>
              </w:rPr>
              <w:t>solving skills to a variety of design problems.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Pr="00AD236A" w:rsidRDefault="003109F5" w:rsidP="00EA0B10">
            <w:pPr>
              <w:rPr>
                <w:rFonts w:ascii="Verdana" w:hAnsi="Verdana"/>
                <w:sz w:val="20"/>
                <w:szCs w:val="20"/>
              </w:rPr>
            </w:pPr>
            <w:r>
              <w:rPr>
                <w:rFonts w:ascii="Verdana" w:hAnsi="Verdana"/>
                <w:sz w:val="20"/>
                <w:szCs w:val="20"/>
              </w:rPr>
              <w:t>VIS 2260</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2011-12</w:t>
            </w:r>
            <w:r w:rsidRPr="00E96263">
              <w:rPr>
                <w:rFonts w:ascii="Arial" w:hAnsi="Arial" w:cs="Arial"/>
                <w:color w:val="000000" w:themeColor="text1"/>
              </w:rPr>
              <w:fldChar w:fldCharType="end"/>
            </w:r>
          </w:p>
        </w:tc>
        <w:tc>
          <w:tcPr>
            <w:tcW w:w="2250" w:type="dxa"/>
          </w:tcPr>
          <w:p w:rsidR="00BC5BB9" w:rsidRPr="00BC5BB9" w:rsidRDefault="00615250"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BC5BB9" w:rsidRPr="00BC5BB9">
              <w:tab/>
              <w:t>Annual portfolio show in which industry professionals provide a score of 1-5 based on a review of student coursework.</w:t>
            </w:r>
          </w:p>
          <w:p w:rsidR="003109F5" w:rsidRDefault="00615250" w:rsidP="00BC5BB9">
            <w:r w:rsidRPr="00DA0D9C">
              <w:rPr>
                <w:rFonts w:ascii="Arial" w:hAnsi="Arial" w:cs="Arial"/>
                <w:color w:val="000000" w:themeColor="text1"/>
              </w:rPr>
              <w:fldChar w:fldCharType="end"/>
            </w:r>
          </w:p>
        </w:tc>
        <w:tc>
          <w:tcPr>
            <w:tcW w:w="4028" w:type="dxa"/>
          </w:tcPr>
          <w:p w:rsidR="003109F5" w:rsidRDefault="00615250" w:rsidP="006C3F43">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6C3F43" w:rsidRPr="006C3F43">
              <w:t>Aggregate result was 4.13 for VIS students</w:t>
            </w:r>
            <w:r w:rsidR="006C3F43">
              <w:t>.</w:t>
            </w:r>
            <w:r w:rsidR="006C3F43" w:rsidRPr="006C3F43">
              <w:t xml:space="preserve"> </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Communicate design concepts at various stages of development using the design process, drawing skills and/or appropriate software.</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Pr="00AD236A" w:rsidRDefault="003109F5" w:rsidP="00EA0B10">
            <w:pPr>
              <w:rPr>
                <w:rFonts w:ascii="Verdana" w:hAnsi="Verdana"/>
                <w:sz w:val="20"/>
                <w:szCs w:val="20"/>
              </w:rPr>
            </w:pPr>
            <w:r>
              <w:rPr>
                <w:rFonts w:ascii="Verdana" w:hAnsi="Verdana"/>
                <w:sz w:val="20"/>
                <w:szCs w:val="20"/>
              </w:rPr>
              <w:t>VIS 2260</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2009-10</w:t>
            </w:r>
            <w:r w:rsidRPr="00E96263">
              <w:rPr>
                <w:rFonts w:ascii="Arial" w:hAnsi="Arial" w:cs="Arial"/>
                <w:color w:val="000000" w:themeColor="text1"/>
              </w:rPr>
              <w:fldChar w:fldCharType="end"/>
            </w:r>
          </w:p>
        </w:tc>
        <w:tc>
          <w:tcPr>
            <w:tcW w:w="2250"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Develop print, animation and new media concepts using traditional and computer-based design tools.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lastRenderedPageBreak/>
              <w:t>VIS 1208</w:t>
            </w:r>
          </w:p>
          <w:p w:rsidR="003109F5" w:rsidRDefault="003109F5" w:rsidP="00EA0B10">
            <w:pPr>
              <w:rPr>
                <w:rFonts w:ascii="Verdana" w:hAnsi="Verdana"/>
                <w:sz w:val="20"/>
                <w:szCs w:val="20"/>
              </w:rPr>
            </w:pPr>
            <w:r>
              <w:rPr>
                <w:rFonts w:ascii="Verdana" w:hAnsi="Verdana"/>
                <w:sz w:val="20"/>
                <w:szCs w:val="20"/>
              </w:rPr>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Pr="00AD236A" w:rsidRDefault="003109F5" w:rsidP="00EA0B10">
            <w:pPr>
              <w:rPr>
                <w:rFonts w:ascii="Verdana" w:hAnsi="Verdana"/>
                <w:sz w:val="20"/>
                <w:szCs w:val="20"/>
              </w:rPr>
            </w:pPr>
            <w:r>
              <w:rPr>
                <w:rFonts w:ascii="Verdana" w:hAnsi="Verdana"/>
                <w:sz w:val="20"/>
                <w:szCs w:val="20"/>
              </w:rPr>
              <w:t>VIS 2260</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lastRenderedPageBreak/>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2009-10</w:t>
            </w:r>
            <w:r w:rsidRPr="00E96263">
              <w:rPr>
                <w:rFonts w:ascii="Arial" w:hAnsi="Arial" w:cs="Arial"/>
                <w:color w:val="000000" w:themeColor="text1"/>
              </w:rPr>
              <w:fldChar w:fldCharType="end"/>
            </w:r>
          </w:p>
        </w:tc>
        <w:tc>
          <w:tcPr>
            <w:tcW w:w="2250"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c>
          <w:tcPr>
            <w:tcW w:w="4028" w:type="dxa"/>
          </w:tcPr>
          <w:p w:rsidR="003109F5" w:rsidRDefault="00615250" w:rsidP="00EA0B1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lastRenderedPageBreak/>
              <w:t>Develop professional quality presentations and demonstrate adequate written and oral communication skills.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 xml:space="preserve">VIS 1100 </w:t>
            </w:r>
          </w:p>
          <w:p w:rsidR="003109F5" w:rsidRDefault="003109F5" w:rsidP="00EA0B10">
            <w:pPr>
              <w:rPr>
                <w:rFonts w:ascii="Verdana" w:hAnsi="Verdana"/>
                <w:sz w:val="20"/>
                <w:szCs w:val="20"/>
              </w:rPr>
            </w:pPr>
            <w:r>
              <w:rPr>
                <w:rFonts w:ascii="Verdana" w:hAnsi="Verdana"/>
                <w:sz w:val="20"/>
                <w:szCs w:val="20"/>
              </w:rPr>
              <w:t>VIS 1110</w:t>
            </w:r>
          </w:p>
          <w:p w:rsidR="003109F5" w:rsidRDefault="003109F5" w:rsidP="00EA0B10">
            <w:pPr>
              <w:rPr>
                <w:rFonts w:ascii="Verdana" w:hAnsi="Verdana"/>
                <w:sz w:val="20"/>
                <w:szCs w:val="20"/>
              </w:rPr>
            </w:pPr>
            <w:r>
              <w:rPr>
                <w:rFonts w:ascii="Verdana" w:hAnsi="Verdana"/>
                <w:sz w:val="20"/>
                <w:szCs w:val="20"/>
              </w:rPr>
              <w:t>VIS 1140</w:t>
            </w:r>
          </w:p>
          <w:p w:rsidR="003109F5" w:rsidRDefault="003109F5" w:rsidP="00EA0B10">
            <w:pPr>
              <w:rPr>
                <w:rFonts w:ascii="Verdana" w:hAnsi="Verdana"/>
                <w:sz w:val="20"/>
                <w:szCs w:val="20"/>
              </w:rPr>
            </w:pPr>
            <w:r>
              <w:rPr>
                <w:rFonts w:ascii="Verdana" w:hAnsi="Verdana"/>
                <w:sz w:val="20"/>
                <w:szCs w:val="20"/>
              </w:rPr>
              <w:t>VIS 1180</w:t>
            </w:r>
          </w:p>
          <w:p w:rsidR="003109F5" w:rsidRDefault="003109F5" w:rsidP="00EA0B10">
            <w:pPr>
              <w:rPr>
                <w:rFonts w:ascii="Verdana" w:hAnsi="Verdana"/>
                <w:sz w:val="20"/>
                <w:szCs w:val="20"/>
              </w:rPr>
            </w:pPr>
            <w:r>
              <w:rPr>
                <w:rFonts w:ascii="Verdana" w:hAnsi="Verdana"/>
                <w:sz w:val="20"/>
                <w:szCs w:val="20"/>
              </w:rPr>
              <w:t>VIS 1208</w:t>
            </w:r>
          </w:p>
          <w:p w:rsidR="003109F5" w:rsidRDefault="003109F5" w:rsidP="00EA0B10">
            <w:pPr>
              <w:rPr>
                <w:rFonts w:ascii="Verdana" w:hAnsi="Verdana"/>
                <w:sz w:val="20"/>
                <w:szCs w:val="20"/>
              </w:rPr>
            </w:pPr>
            <w:r>
              <w:rPr>
                <w:rFonts w:ascii="Verdana" w:hAnsi="Verdana"/>
                <w:sz w:val="20"/>
                <w:szCs w:val="20"/>
              </w:rPr>
              <w:t>VIS 1218</w:t>
            </w:r>
          </w:p>
          <w:p w:rsidR="003109F5" w:rsidRDefault="003109F5" w:rsidP="00EA0B10">
            <w:pPr>
              <w:rPr>
                <w:rFonts w:ascii="Verdana" w:hAnsi="Verdana"/>
                <w:sz w:val="20"/>
                <w:szCs w:val="20"/>
              </w:rPr>
            </w:pPr>
            <w:r>
              <w:rPr>
                <w:rFonts w:ascii="Verdana" w:hAnsi="Verdana"/>
                <w:sz w:val="20"/>
                <w:szCs w:val="20"/>
              </w:rPr>
              <w:t>VIS 1250</w:t>
            </w:r>
          </w:p>
          <w:p w:rsidR="003109F5" w:rsidRDefault="003109F5" w:rsidP="00EA0B10">
            <w:pPr>
              <w:rPr>
                <w:rFonts w:ascii="Verdana" w:hAnsi="Verdana"/>
                <w:sz w:val="20"/>
                <w:szCs w:val="20"/>
              </w:rPr>
            </w:pPr>
            <w:r>
              <w:rPr>
                <w:rFonts w:ascii="Verdana" w:hAnsi="Verdana"/>
                <w:sz w:val="20"/>
                <w:szCs w:val="20"/>
              </w:rPr>
              <w:t>VIS 2110</w:t>
            </w:r>
          </w:p>
          <w:p w:rsidR="003109F5" w:rsidRDefault="003109F5" w:rsidP="00EA0B10">
            <w:pPr>
              <w:rPr>
                <w:rFonts w:ascii="Verdana" w:hAnsi="Verdana"/>
                <w:sz w:val="20"/>
                <w:szCs w:val="20"/>
              </w:rPr>
            </w:pPr>
            <w:r>
              <w:rPr>
                <w:rFonts w:ascii="Verdana" w:hAnsi="Verdana"/>
                <w:sz w:val="20"/>
                <w:szCs w:val="20"/>
              </w:rPr>
              <w:t>VIS 2120</w:t>
            </w:r>
          </w:p>
          <w:p w:rsidR="003109F5" w:rsidRDefault="003109F5" w:rsidP="00EA0B10">
            <w:pPr>
              <w:rPr>
                <w:rFonts w:ascii="Verdana" w:hAnsi="Verdana"/>
                <w:sz w:val="20"/>
                <w:szCs w:val="20"/>
              </w:rPr>
            </w:pPr>
            <w:r>
              <w:rPr>
                <w:rFonts w:ascii="Verdana" w:hAnsi="Verdana"/>
                <w:sz w:val="20"/>
                <w:szCs w:val="20"/>
              </w:rPr>
              <w:t>VIS 2160</w:t>
            </w:r>
          </w:p>
          <w:p w:rsidR="003109F5" w:rsidRDefault="003109F5" w:rsidP="00EA0B10">
            <w:pPr>
              <w:rPr>
                <w:rFonts w:ascii="Verdana" w:hAnsi="Verdana"/>
                <w:sz w:val="20"/>
                <w:szCs w:val="20"/>
              </w:rPr>
            </w:pPr>
            <w:r>
              <w:rPr>
                <w:rFonts w:ascii="Verdana" w:hAnsi="Verdana"/>
                <w:sz w:val="20"/>
                <w:szCs w:val="20"/>
              </w:rPr>
              <w:t>VIS 2260</w:t>
            </w:r>
          </w:p>
          <w:p w:rsidR="003109F5" w:rsidRDefault="003109F5" w:rsidP="00EA0B10">
            <w:pPr>
              <w:rPr>
                <w:rFonts w:ascii="Verdana" w:hAnsi="Verdana"/>
                <w:sz w:val="20"/>
                <w:szCs w:val="20"/>
              </w:rPr>
            </w:pPr>
            <w:r>
              <w:rPr>
                <w:rFonts w:ascii="Verdana" w:hAnsi="Verdana"/>
                <w:sz w:val="20"/>
                <w:szCs w:val="20"/>
              </w:rPr>
              <w:t>ENG 1101</w:t>
            </w:r>
          </w:p>
          <w:p w:rsidR="003109F5" w:rsidRPr="00AD236A" w:rsidRDefault="003109F5" w:rsidP="00EA0B10">
            <w:pPr>
              <w:rPr>
                <w:rFonts w:ascii="Verdana" w:hAnsi="Verdana"/>
                <w:sz w:val="20"/>
                <w:szCs w:val="20"/>
              </w:rPr>
            </w:pPr>
            <w:r>
              <w:rPr>
                <w:rFonts w:ascii="Verdana" w:hAnsi="Verdana"/>
                <w:sz w:val="20"/>
                <w:szCs w:val="20"/>
              </w:rPr>
              <w:t>COM 2206</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2011-12</w:t>
            </w:r>
            <w:r w:rsidRPr="00E96263">
              <w:rPr>
                <w:rFonts w:ascii="Arial" w:hAnsi="Arial" w:cs="Arial"/>
                <w:color w:val="000000" w:themeColor="text1"/>
              </w:rPr>
              <w:fldChar w:fldCharType="end"/>
            </w:r>
          </w:p>
        </w:tc>
        <w:tc>
          <w:tcPr>
            <w:tcW w:w="2250" w:type="dxa"/>
          </w:tcPr>
          <w:p w:rsidR="00BC5BB9" w:rsidRPr="00BC5BB9" w:rsidRDefault="00615250"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BC5BB9" w:rsidRPr="00BC5BB9">
              <w:tab/>
              <w:t>Annual portfolio show in which industry professionals provide a score of 1-5 based on a review of student coursework.</w:t>
            </w:r>
          </w:p>
          <w:p w:rsidR="003109F5" w:rsidRDefault="00615250" w:rsidP="00BC5BB9">
            <w:r w:rsidRPr="00DA0D9C">
              <w:rPr>
                <w:rFonts w:ascii="Arial" w:hAnsi="Arial" w:cs="Arial"/>
                <w:color w:val="000000" w:themeColor="text1"/>
              </w:rPr>
              <w:fldChar w:fldCharType="end"/>
            </w:r>
          </w:p>
        </w:tc>
        <w:tc>
          <w:tcPr>
            <w:tcW w:w="4028" w:type="dxa"/>
          </w:tcPr>
          <w:p w:rsidR="003109F5" w:rsidRDefault="00615250" w:rsidP="006C3F43">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6C3F43" w:rsidRPr="006C3F43">
              <w:t>Aggregate result was 4.</w:t>
            </w:r>
            <w:r w:rsidR="006C3F43">
              <w:t>24</w:t>
            </w:r>
            <w:r w:rsidR="006C3F43" w:rsidRPr="006C3F43">
              <w:t xml:space="preserve"> for VIS students.</w:t>
            </w:r>
            <w:r w:rsidRPr="00DA0D9C">
              <w:rPr>
                <w:rFonts w:ascii="Arial" w:hAnsi="Arial" w:cs="Arial"/>
                <w:color w:val="000000" w:themeColor="text1"/>
              </w:rPr>
              <w:fldChar w:fldCharType="end"/>
            </w:r>
          </w:p>
        </w:tc>
      </w:tr>
      <w:tr w:rsidR="003109F5" w:rsidRPr="004C52FC" w:rsidTr="00EA0B10">
        <w:tblPrEx>
          <w:shd w:val="clear" w:color="auto" w:fill="auto"/>
          <w:tblLook w:val="04A0"/>
        </w:tblPrEx>
        <w:trPr>
          <w:trHeight w:val="72"/>
        </w:trPr>
        <w:tc>
          <w:tcPr>
            <w:tcW w:w="3708" w:type="dxa"/>
            <w:gridSpan w:val="2"/>
            <w:vAlign w:val="center"/>
          </w:tcPr>
          <w:p w:rsidR="003109F5" w:rsidRPr="00F83269" w:rsidRDefault="003109F5" w:rsidP="00EA0B10">
            <w:pPr>
              <w:rPr>
                <w:rFonts w:ascii="Verdana" w:hAnsi="Verdana"/>
                <w:sz w:val="20"/>
                <w:szCs w:val="20"/>
              </w:rPr>
            </w:pPr>
            <w:r w:rsidRPr="00F83269">
              <w:rPr>
                <w:rFonts w:ascii="Verdana" w:hAnsi="Verdana"/>
                <w:sz w:val="20"/>
                <w:szCs w:val="20"/>
              </w:rPr>
              <w:t>Demonstrate an understanding of the business fundamentals of visual communications.</w:t>
            </w:r>
          </w:p>
        </w:tc>
        <w:tc>
          <w:tcPr>
            <w:tcW w:w="1742" w:type="dxa"/>
            <w:vAlign w:val="center"/>
          </w:tcPr>
          <w:p w:rsidR="003109F5" w:rsidRDefault="003109F5" w:rsidP="00EA0B10">
            <w:pPr>
              <w:rPr>
                <w:rFonts w:ascii="Verdana" w:hAnsi="Verdana"/>
                <w:sz w:val="20"/>
                <w:szCs w:val="20"/>
              </w:rPr>
            </w:pPr>
            <w:r>
              <w:rPr>
                <w:rFonts w:ascii="Verdana" w:hAnsi="Verdana"/>
                <w:sz w:val="20"/>
                <w:szCs w:val="20"/>
              </w:rPr>
              <w:t>VIS 2260</w:t>
            </w:r>
          </w:p>
          <w:p w:rsidR="003109F5" w:rsidRPr="00AD236A" w:rsidRDefault="003109F5" w:rsidP="00EA0B10">
            <w:pPr>
              <w:rPr>
                <w:rFonts w:ascii="Verdana" w:hAnsi="Verdana"/>
                <w:sz w:val="20"/>
                <w:szCs w:val="20"/>
              </w:rPr>
            </w:pPr>
            <w:r>
              <w:rPr>
                <w:rFonts w:ascii="Verdana" w:hAnsi="Verdana"/>
                <w:sz w:val="20"/>
                <w:szCs w:val="20"/>
              </w:rPr>
              <w:t>MRK 2102</w:t>
            </w:r>
          </w:p>
        </w:tc>
        <w:tc>
          <w:tcPr>
            <w:tcW w:w="1430" w:type="dxa"/>
          </w:tcPr>
          <w:p w:rsidR="003109F5" w:rsidRPr="004C52FC" w:rsidRDefault="00615250" w:rsidP="00BC5BB9">
            <w:pPr>
              <w:rPr>
                <w:rFonts w:asciiTheme="minorHAnsi" w:hAnsiTheme="minorHAnsi"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BC5BB9">
              <w:t>2012-13</w:t>
            </w:r>
            <w:r w:rsidRPr="00E96263">
              <w:rPr>
                <w:rFonts w:ascii="Arial" w:hAnsi="Arial" w:cs="Arial"/>
                <w:color w:val="000000" w:themeColor="text1"/>
              </w:rPr>
              <w:fldChar w:fldCharType="end"/>
            </w:r>
          </w:p>
        </w:tc>
        <w:tc>
          <w:tcPr>
            <w:tcW w:w="2250" w:type="dxa"/>
          </w:tcPr>
          <w:p w:rsidR="00BC5BB9" w:rsidRPr="00BC5BB9" w:rsidRDefault="00615250" w:rsidP="00BC5BB9">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BC5BB9" w:rsidRPr="00BC5BB9">
              <w:t>•</w:t>
            </w:r>
            <w:r w:rsidR="00BC5BB9" w:rsidRPr="00BC5BB9">
              <w:tab/>
              <w:t>Annual portfolio show in which industry professionals provide a score of 1-5 based on a review of student coursework.</w:t>
            </w:r>
          </w:p>
          <w:p w:rsidR="003109F5" w:rsidRDefault="00615250" w:rsidP="00BC5BB9">
            <w:r w:rsidRPr="00DA0D9C">
              <w:rPr>
                <w:rFonts w:ascii="Arial" w:hAnsi="Arial" w:cs="Arial"/>
                <w:color w:val="000000" w:themeColor="text1"/>
              </w:rPr>
              <w:fldChar w:fldCharType="end"/>
            </w:r>
          </w:p>
        </w:tc>
        <w:tc>
          <w:tcPr>
            <w:tcW w:w="4028" w:type="dxa"/>
          </w:tcPr>
          <w:p w:rsidR="003109F5" w:rsidRDefault="00615250">
            <w:r w:rsidRPr="00DA0D9C">
              <w:rPr>
                <w:rFonts w:ascii="Arial" w:hAnsi="Arial" w:cs="Arial"/>
                <w:color w:val="000000" w:themeColor="text1"/>
              </w:rPr>
              <w:fldChar w:fldCharType="begin">
                <w:ffData>
                  <w:name w:val="Text1"/>
                  <w:enabled/>
                  <w:calcOnExit w:val="0"/>
                  <w:textInput/>
                </w:ffData>
              </w:fldChar>
            </w:r>
            <w:r w:rsidR="003109F5" w:rsidRPr="00DA0D9C">
              <w:rPr>
                <w:rFonts w:ascii="Arial" w:hAnsi="Arial" w:cs="Arial"/>
                <w:color w:val="000000" w:themeColor="text1"/>
              </w:rPr>
              <w:instrText xml:space="preserve"> FORMTEXT </w:instrText>
            </w:r>
            <w:r w:rsidRPr="00DA0D9C">
              <w:rPr>
                <w:rFonts w:ascii="Arial" w:hAnsi="Arial" w:cs="Arial"/>
                <w:color w:val="000000" w:themeColor="text1"/>
              </w:rPr>
            </w:r>
            <w:r w:rsidRPr="00DA0D9C">
              <w:rPr>
                <w:rFonts w:ascii="Arial" w:hAnsi="Arial" w:cs="Arial"/>
                <w:color w:val="000000" w:themeColor="text1"/>
              </w:rPr>
              <w:fldChar w:fldCharType="separate"/>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003109F5" w:rsidRPr="00DA0D9C">
              <w:rPr>
                <w:rFonts w:ascii="Arial" w:hAnsi="Arial" w:cs="Arial"/>
                <w:color w:val="000000" w:themeColor="text1"/>
              </w:rPr>
              <w:t> </w:t>
            </w:r>
            <w:r w:rsidRPr="00DA0D9C">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831417" w:rsidRDefault="00615250" w:rsidP="003E791C">
      <w:pPr>
        <w:pStyle w:val="ListParagraph"/>
        <w:tabs>
          <w:tab w:val="left" w:pos="5040"/>
        </w:tabs>
        <w:ind w:left="0"/>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831417">
        <w:t xml:space="preserve">Written communication skills will be enhanced by increasing the number of papers written in VIS 1180 so that when students receive feedback they </w:t>
      </w:r>
      <w:r w:rsidR="00045C35">
        <w:t xml:space="preserve">can </w:t>
      </w:r>
      <w:r w:rsidR="00831417">
        <w:t>incorporate that learning into the writing of the next paper.</w:t>
      </w:r>
    </w:p>
    <w:p w:rsidR="00831417" w:rsidRDefault="00831417" w:rsidP="003E791C">
      <w:pPr>
        <w:pStyle w:val="ListParagraph"/>
        <w:tabs>
          <w:tab w:val="left" w:pos="5040"/>
        </w:tabs>
        <w:ind w:left="0"/>
      </w:pPr>
    </w:p>
    <w:p w:rsidR="003E791C" w:rsidRDefault="00831417" w:rsidP="003E791C">
      <w:pPr>
        <w:pStyle w:val="ListParagraph"/>
        <w:tabs>
          <w:tab w:val="left" w:pos="5040"/>
        </w:tabs>
        <w:ind w:left="0"/>
        <w:rPr>
          <w:rFonts w:ascii="Arial" w:hAnsi="Arial" w:cs="Arial"/>
          <w:color w:val="000000" w:themeColor="text1"/>
        </w:rPr>
      </w:pPr>
      <w:r>
        <w:t xml:space="preserve">Specific points from the General Education Oral Communications Rubric will be utilized in assessing students' oral presentation skills.  </w:t>
      </w:r>
      <w:r w:rsidR="00615250" w:rsidRPr="00E96263">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109F5">
      <w:pPr>
        <w:tabs>
          <w:tab w:val="left" w:pos="5040"/>
        </w:tabs>
        <w:ind w:left="360"/>
        <w:rPr>
          <w:rFonts w:ascii="Arial" w:hAnsi="Arial" w:cs="Arial"/>
          <w:color w:val="000000" w:themeColor="text1"/>
        </w:rPr>
      </w:pPr>
    </w:p>
    <w:p w:rsidR="003109F5" w:rsidRPr="003109F5" w:rsidRDefault="00615250" w:rsidP="003109F5">
      <w:pPr>
        <w:tabs>
          <w:tab w:val="left" w:pos="5040"/>
        </w:tabs>
        <w:rPr>
          <w:rFonts w:ascii="Arial" w:hAnsi="Arial"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831417">
        <w:t xml:space="preserve">We will continue to ask the evaluators to rate oral communication on the </w:t>
      </w:r>
      <w:r w:rsidR="00045C35">
        <w:t>S</w:t>
      </w:r>
      <w:r w:rsidR="00831417">
        <w:t xml:space="preserve">pring </w:t>
      </w:r>
      <w:r w:rsidR="00045C35">
        <w:t>P</w:t>
      </w:r>
      <w:r w:rsidR="00831417">
        <w:t xml:space="preserve">ortfolio </w:t>
      </w:r>
      <w:proofErr w:type="spellStart"/>
      <w:r w:rsidR="00831417">
        <w:t>assessement</w:t>
      </w:r>
      <w:proofErr w:type="spellEnd"/>
      <w:r w:rsidR="00831417">
        <w:t xml:space="preserve"> form.  Assessment of papers written in various classes will help determine if the inc</w:t>
      </w:r>
      <w:r w:rsidR="00045C35">
        <w:t>l</w:t>
      </w:r>
      <w:r w:rsidR="00831417">
        <w:t>usion of additional papers with more opportunities for feedback, improves student writing.</w:t>
      </w:r>
      <w:r w:rsidRPr="00E96263">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615250">
      <w:pPr>
        <w:pStyle w:val="ListParagraph"/>
        <w:tabs>
          <w:tab w:val="left" w:pos="5040"/>
        </w:tabs>
        <w:ind w:left="0"/>
        <w:rPr>
          <w:rFonts w:ascii="Arial" w:hAnsi="Arial"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6C3F43">
        <w:t>The semester curriculum integrates the coursework from multiple classes and combines hand drawing and technology skills in most classes. The deparment believes that these changes will improve student learning and achievement of program outcomes.</w:t>
      </w:r>
      <w:r w:rsidRPr="00E96263">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3109F5" w:rsidRDefault="00615250" w:rsidP="003109F5">
      <w:pPr>
        <w:tabs>
          <w:tab w:val="left" w:pos="5040"/>
        </w:tabs>
        <w:rPr>
          <w:rFonts w:ascii="Arial" w:hAnsi="Arial" w:cs="Arial"/>
          <w:color w:val="000000" w:themeColor="text1"/>
        </w:rPr>
      </w:pPr>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6C3F43">
        <w:t xml:space="preserve">The department will continue to </w:t>
      </w:r>
      <w:r w:rsidR="00EE3042">
        <w:t xml:space="preserve">assess student learning with the First year Assessment and Spring Portfolio review.  </w:t>
      </w:r>
      <w:r w:rsidRPr="00E96263">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EE3042" w:rsidRPr="00EE3042" w:rsidRDefault="00615250" w:rsidP="00EE3042">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EE3042">
        <w:t xml:space="preserve">As mentioned above the semester curriculum represents a more integrated approach to learning </w:t>
      </w:r>
      <w:r w:rsidR="00045C35">
        <w:t>d</w:t>
      </w:r>
      <w:r w:rsidR="00EE3042">
        <w:t>esign.  Early feedback this semester indicates that this is having a postive effect.</w:t>
      </w:r>
    </w:p>
    <w:p w:rsidR="00EE3042" w:rsidRPr="00EE3042" w:rsidRDefault="00EE3042" w:rsidP="00EE3042"/>
    <w:p w:rsidR="00EE3042" w:rsidRDefault="00EE3042" w:rsidP="00EE3042">
      <w:r w:rsidRPr="00EE3042">
        <w:t xml:space="preserve">A visual rubric for the First Year Assessment </w:t>
      </w:r>
      <w:r>
        <w:t>was created though its use was intermittent as many</w:t>
      </w:r>
      <w:r w:rsidR="00045C35">
        <w:t xml:space="preserve"> </w:t>
      </w:r>
      <w:r>
        <w:t>of the students didn't have the same projects as though represented by the rubric.  This concept will be further developed with the new curriculum.</w:t>
      </w:r>
      <w:r w:rsidRPr="00EE3042">
        <w:t xml:space="preserve"> </w:t>
      </w:r>
    </w:p>
    <w:p w:rsidR="00EE3042" w:rsidRPr="00EE3042" w:rsidRDefault="00EE3042" w:rsidP="00EE3042"/>
    <w:p w:rsidR="00EE3042" w:rsidRDefault="00EE3042" w:rsidP="00EE3042">
      <w:r w:rsidRPr="00EE3042">
        <w:lastRenderedPageBreak/>
        <w:t xml:space="preserve">A web-site for the </w:t>
      </w:r>
      <w:r w:rsidR="00045C35">
        <w:t>P</w:t>
      </w:r>
      <w:r w:rsidRPr="00EE3042">
        <w:t xml:space="preserve">ortfolio </w:t>
      </w:r>
      <w:r w:rsidR="00045C35">
        <w:t>S</w:t>
      </w:r>
      <w:r w:rsidRPr="00EE3042">
        <w:t xml:space="preserve">how </w:t>
      </w:r>
      <w:r>
        <w:t>was</w:t>
      </w:r>
      <w:r w:rsidRPr="00EE3042">
        <w:t xml:space="preserve"> developed which provide</w:t>
      </w:r>
      <w:r>
        <w:t>s</w:t>
      </w:r>
      <w:r w:rsidRPr="00EE3042">
        <w:t xml:space="preserve"> an easy link for our industry professionals to access the information </w:t>
      </w:r>
      <w:r>
        <w:t xml:space="preserve">about the </w:t>
      </w:r>
      <w:r w:rsidR="00045C35">
        <w:t>spring event</w:t>
      </w:r>
      <w:r>
        <w:t xml:space="preserve">.  Though the role in 2012 centered </w:t>
      </w:r>
      <w:r w:rsidR="00045C35">
        <w:t>on communicating</w:t>
      </w:r>
      <w:r>
        <w:t xml:space="preserve"> the logistics of the show, work</w:t>
      </w:r>
      <w:r w:rsidR="00045C35">
        <w:t xml:space="preserve"> </w:t>
      </w:r>
      <w:r>
        <w:t xml:space="preserve">is underway to expand the use of this web-site.  </w:t>
      </w:r>
    </w:p>
    <w:p w:rsidR="00EE3042" w:rsidRPr="00EE3042" w:rsidRDefault="00EE3042" w:rsidP="00EE3042"/>
    <w:p w:rsidR="00EE3042" w:rsidRPr="00EE3042" w:rsidRDefault="00EE3042" w:rsidP="00EE3042"/>
    <w:p w:rsidR="004C52FC" w:rsidRPr="003109F5" w:rsidRDefault="00EE3042" w:rsidP="00EE3042">
      <w:pPr>
        <w:tabs>
          <w:tab w:val="left" w:pos="5040"/>
        </w:tabs>
        <w:rPr>
          <w:rFonts w:ascii="Arial" w:hAnsi="Arial" w:cs="Arial"/>
          <w:color w:val="000000" w:themeColor="text1"/>
        </w:rPr>
      </w:pPr>
      <w:r w:rsidRPr="00EE3042">
        <w:t xml:space="preserve">A capital improvement request </w:t>
      </w:r>
      <w:r>
        <w:t>was</w:t>
      </w:r>
      <w:r w:rsidRPr="00EE3042">
        <w:t xml:space="preserve"> submitted </w:t>
      </w:r>
      <w:r>
        <w:t xml:space="preserve">but not funded </w:t>
      </w:r>
      <w:r w:rsidRPr="00EE3042">
        <w:t>to move the computers from 13-325 to 13-327 and the drawing tables from 13-327 to 13-325</w:t>
      </w:r>
      <w:r w:rsidR="00045C35">
        <w:t xml:space="preserve">. </w:t>
      </w:r>
      <w:r>
        <w:t xml:space="preserve"> </w:t>
      </w:r>
      <w:r w:rsidR="00045C35">
        <w:t>S</w:t>
      </w:r>
      <w:r>
        <w:t>tudents and faculty are adjusting to the need to move back and forth in the hallway as dictated by which design tools are being used. The depar</w:t>
      </w:r>
      <w:r w:rsidR="00045C35">
        <w:t>t</w:t>
      </w:r>
      <w:r>
        <w:t>ment will a</w:t>
      </w:r>
      <w:r w:rsidR="006E3463">
        <w:t>ssess wh</w:t>
      </w:r>
      <w:r w:rsidR="00045C35">
        <w:t>e</w:t>
      </w:r>
      <w:r w:rsidR="006E3463">
        <w:t>ther to re-submit the capital improvement request.</w:t>
      </w:r>
      <w:r w:rsidR="00615250" w:rsidRPr="00E96263">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FC3417" w:rsidRDefault="00615250" w:rsidP="00D5246D">
      <w:r w:rsidRPr="00E96263">
        <w:rPr>
          <w:rFonts w:ascii="Arial" w:hAnsi="Arial" w:cs="Arial"/>
          <w:color w:val="000000" w:themeColor="text1"/>
        </w:rPr>
        <w:fldChar w:fldCharType="begin">
          <w:ffData>
            <w:name w:val="Text1"/>
            <w:enabled/>
            <w:calcOnExit w:val="0"/>
            <w:textInput/>
          </w:ffData>
        </w:fldChar>
      </w:r>
      <w:r w:rsidR="003109F5" w:rsidRPr="00E96263">
        <w:rPr>
          <w:rFonts w:ascii="Arial" w:hAnsi="Arial" w:cs="Arial"/>
          <w:color w:val="000000" w:themeColor="text1"/>
        </w:rPr>
        <w:instrText xml:space="preserve"> FORMTEXT </w:instrText>
      </w:r>
      <w:r w:rsidRPr="00E96263">
        <w:rPr>
          <w:rFonts w:ascii="Arial" w:hAnsi="Arial" w:cs="Arial"/>
          <w:color w:val="000000" w:themeColor="text1"/>
        </w:rPr>
      </w:r>
      <w:r w:rsidRPr="00E96263">
        <w:rPr>
          <w:rFonts w:ascii="Arial" w:hAnsi="Arial" w:cs="Arial"/>
          <w:color w:val="000000" w:themeColor="text1"/>
        </w:rPr>
        <w:fldChar w:fldCharType="separate"/>
      </w:r>
      <w:r w:rsidR="00FC3417">
        <w:t>As noted earlier, the department would like to intiate a program scpecific orientation.  Design will continue its efforts in tracking graduates and will pursue spo</w:t>
      </w:r>
      <w:r w:rsidR="00045C35">
        <w:t>n</w:t>
      </w:r>
      <w:r w:rsidR="00FC3417">
        <w:t>soring an event that would provide the design community with an opportunity to hear a nationally recognized speaker.</w:t>
      </w:r>
    </w:p>
    <w:p w:rsidR="00FC3417" w:rsidRDefault="00FC3417" w:rsidP="00D5246D"/>
    <w:p w:rsidR="00FC3417" w:rsidRDefault="00FC3417" w:rsidP="00D5246D">
      <w:r>
        <w:t>The interior design students will continue to have the opportunity to work with the students from the SME division's building programs as team members for the Capstone project.  The department will continue to seek ways to market the interior design degree.</w:t>
      </w:r>
    </w:p>
    <w:p w:rsidR="00FC3417" w:rsidRDefault="00FC3417" w:rsidP="00D5246D"/>
    <w:p w:rsidR="00A201E2" w:rsidRDefault="00FC3417" w:rsidP="00D5246D">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t xml:space="preserve">Ongoing assessment of the semester curriculum will provide areas for continuous improvement. </w:t>
      </w:r>
      <w:r w:rsidR="00615250" w:rsidRPr="00E96263">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3F38D9">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EA0B10">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EA0B10">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EA0B10">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EA0B10">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EA0B10">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EA0B10">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EA0B10">
            <w:pPr>
              <w:jc w:val="right"/>
              <w:rPr>
                <w:rFonts w:ascii="Calibri" w:hAnsi="Calibri"/>
                <w:color w:val="000000"/>
              </w:rPr>
            </w:pPr>
            <w:r w:rsidRPr="003117D4">
              <w:rPr>
                <w:rFonts w:ascii="Calibri" w:hAnsi="Calibri"/>
                <w:color w:val="000000"/>
                <w:sz w:val="22"/>
                <w:szCs w:val="22"/>
              </w:rPr>
              <w:t>FY 10-11</w:t>
            </w:r>
          </w:p>
        </w:tc>
      </w:tr>
      <w:tr w:rsidR="003F38D9" w:rsidRPr="008F41A6" w:rsidTr="007621F7">
        <w:trPr>
          <w:trHeight w:val="300"/>
        </w:trPr>
        <w:tc>
          <w:tcPr>
            <w:tcW w:w="1307" w:type="dxa"/>
            <w:tcBorders>
              <w:top w:val="single" w:sz="4" w:space="0" w:color="auto"/>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0220</w:t>
            </w:r>
          </w:p>
        </w:tc>
        <w:tc>
          <w:tcPr>
            <w:tcW w:w="3220" w:type="dxa"/>
            <w:tcBorders>
              <w:top w:val="single" w:sz="4" w:space="0" w:color="auto"/>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2320" w:type="dxa"/>
            <w:tcBorders>
              <w:top w:val="single" w:sz="4" w:space="0" w:color="auto"/>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DP.STC</w:t>
            </w:r>
          </w:p>
        </w:tc>
        <w:tc>
          <w:tcPr>
            <w:tcW w:w="860" w:type="dxa"/>
            <w:tcBorders>
              <w:top w:val="single" w:sz="4" w:space="0" w:color="auto"/>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201</w:t>
            </w:r>
          </w:p>
        </w:tc>
        <w:tc>
          <w:tcPr>
            <w:tcW w:w="860" w:type="dxa"/>
            <w:tcBorders>
              <w:top w:val="single" w:sz="4" w:space="0" w:color="auto"/>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64</w:t>
            </w:r>
          </w:p>
        </w:tc>
        <w:tc>
          <w:tcPr>
            <w:tcW w:w="860" w:type="dxa"/>
            <w:tcBorders>
              <w:top w:val="single" w:sz="4" w:space="0" w:color="auto"/>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68</w:t>
            </w:r>
          </w:p>
        </w:tc>
        <w:tc>
          <w:tcPr>
            <w:tcW w:w="860" w:type="dxa"/>
            <w:tcBorders>
              <w:top w:val="single" w:sz="4" w:space="0" w:color="auto"/>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38</w:t>
            </w:r>
          </w:p>
        </w:tc>
      </w:tr>
      <w:tr w:rsidR="003F38D9" w:rsidRPr="008F41A6" w:rsidTr="007621F7">
        <w:trPr>
          <w:trHeight w:val="300"/>
        </w:trPr>
        <w:tc>
          <w:tcPr>
            <w:tcW w:w="1307"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0220</w:t>
            </w:r>
          </w:p>
        </w:tc>
        <w:tc>
          <w:tcPr>
            <w:tcW w:w="3220"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2320"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DPT.STC</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6</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8</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8</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5</w:t>
            </w:r>
          </w:p>
        </w:tc>
      </w:tr>
      <w:tr w:rsidR="003F38D9" w:rsidRPr="008F41A6" w:rsidTr="007621F7">
        <w:trPr>
          <w:trHeight w:val="300"/>
        </w:trPr>
        <w:tc>
          <w:tcPr>
            <w:tcW w:w="1307" w:type="dxa"/>
            <w:tcBorders>
              <w:top w:val="nil"/>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0220</w:t>
            </w:r>
          </w:p>
        </w:tc>
        <w:tc>
          <w:tcPr>
            <w:tcW w:w="3220" w:type="dxa"/>
            <w:tcBorders>
              <w:top w:val="nil"/>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2320" w:type="dxa"/>
            <w:tcBorders>
              <w:top w:val="nil"/>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IND.AAS</w:t>
            </w:r>
          </w:p>
        </w:tc>
        <w:tc>
          <w:tcPr>
            <w:tcW w:w="860" w:type="dxa"/>
            <w:tcBorders>
              <w:top w:val="nil"/>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24</w:t>
            </w:r>
          </w:p>
        </w:tc>
        <w:tc>
          <w:tcPr>
            <w:tcW w:w="860" w:type="dxa"/>
            <w:tcBorders>
              <w:top w:val="nil"/>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22</w:t>
            </w:r>
          </w:p>
        </w:tc>
        <w:tc>
          <w:tcPr>
            <w:tcW w:w="860" w:type="dxa"/>
            <w:tcBorders>
              <w:top w:val="nil"/>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17</w:t>
            </w:r>
          </w:p>
        </w:tc>
        <w:tc>
          <w:tcPr>
            <w:tcW w:w="860" w:type="dxa"/>
            <w:tcBorders>
              <w:top w:val="nil"/>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17</w:t>
            </w:r>
          </w:p>
        </w:tc>
      </w:tr>
      <w:tr w:rsidR="003F38D9" w:rsidRPr="008F41A6" w:rsidTr="007621F7">
        <w:trPr>
          <w:trHeight w:val="300"/>
        </w:trPr>
        <w:tc>
          <w:tcPr>
            <w:tcW w:w="1307"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0220</w:t>
            </w:r>
          </w:p>
        </w:tc>
        <w:tc>
          <w:tcPr>
            <w:tcW w:w="3220"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2320"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MLM.STC</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26</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28</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23</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9</w:t>
            </w:r>
          </w:p>
        </w:tc>
      </w:tr>
      <w:tr w:rsidR="003F38D9" w:rsidRPr="008F41A6" w:rsidTr="007621F7">
        <w:trPr>
          <w:trHeight w:val="300"/>
        </w:trPr>
        <w:tc>
          <w:tcPr>
            <w:tcW w:w="1307" w:type="dxa"/>
            <w:tcBorders>
              <w:top w:val="nil"/>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0220</w:t>
            </w:r>
          </w:p>
        </w:tc>
        <w:tc>
          <w:tcPr>
            <w:tcW w:w="3220" w:type="dxa"/>
            <w:tcBorders>
              <w:top w:val="nil"/>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2320" w:type="dxa"/>
            <w:tcBorders>
              <w:top w:val="nil"/>
              <w:left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PRT.AAS</w:t>
            </w:r>
          </w:p>
        </w:tc>
        <w:tc>
          <w:tcPr>
            <w:tcW w:w="860" w:type="dxa"/>
            <w:tcBorders>
              <w:top w:val="nil"/>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8F41A6" w:rsidTr="007621F7">
        <w:trPr>
          <w:trHeight w:val="300"/>
        </w:trPr>
        <w:tc>
          <w:tcPr>
            <w:tcW w:w="1307"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0220</w:t>
            </w:r>
          </w:p>
        </w:tc>
        <w:tc>
          <w:tcPr>
            <w:tcW w:w="3220"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2320" w:type="dxa"/>
            <w:tcBorders>
              <w:top w:val="nil"/>
              <w:left w:val="nil"/>
              <w:bottom w:val="nil"/>
              <w:right w:val="nil"/>
            </w:tcBorders>
            <w:shd w:val="clear" w:color="auto" w:fill="F2F2F2" w:themeFill="background1" w:themeFillShade="F2"/>
            <w:noWrap/>
            <w:vAlign w:val="bottom"/>
            <w:hideMark/>
          </w:tcPr>
          <w:p w:rsidR="003F38D9" w:rsidRDefault="003F38D9">
            <w:pPr>
              <w:rPr>
                <w:rFonts w:ascii="Calibri" w:hAnsi="Calibri"/>
                <w:color w:val="000000"/>
              </w:rPr>
            </w:pPr>
            <w:r>
              <w:rPr>
                <w:rFonts w:ascii="Calibri" w:hAnsi="Calibri"/>
                <w:color w:val="000000"/>
                <w:sz w:val="22"/>
                <w:szCs w:val="22"/>
              </w:rPr>
              <w:t>VIDO.AAS</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F2F2F2" w:themeFill="background1" w:themeFillShade="F2"/>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8F41A6" w:rsidTr="003F38D9">
        <w:trPr>
          <w:trHeight w:val="300"/>
        </w:trPr>
        <w:tc>
          <w:tcPr>
            <w:tcW w:w="1307"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0220</w:t>
            </w:r>
          </w:p>
        </w:tc>
        <w:tc>
          <w:tcPr>
            <w:tcW w:w="32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23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VIS.AAS</w:t>
            </w:r>
          </w:p>
        </w:tc>
        <w:tc>
          <w:tcPr>
            <w:tcW w:w="860"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55</w:t>
            </w:r>
          </w:p>
        </w:tc>
        <w:tc>
          <w:tcPr>
            <w:tcW w:w="860"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43</w:t>
            </w:r>
          </w:p>
        </w:tc>
        <w:tc>
          <w:tcPr>
            <w:tcW w:w="860"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49</w:t>
            </w:r>
          </w:p>
        </w:tc>
        <w:tc>
          <w:tcPr>
            <w:tcW w:w="860"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50</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61D81" w:rsidRPr="00B61D81" w:rsidRDefault="00B61D81" w:rsidP="00174C4B">
      <w:pPr>
        <w:ind w:left="1080"/>
        <w:rPr>
          <w:rFonts w:ascii="Arial" w:hAnsi="Arial" w:cs="Arial"/>
          <w:b/>
          <w:color w:val="000000" w:themeColor="text1"/>
        </w:rPr>
      </w:pP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3F38D9"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single" w:sz="4" w:space="0" w:color="auto"/>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single" w:sz="4" w:space="0" w:color="auto"/>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IND-131</w:t>
            </w:r>
          </w:p>
        </w:tc>
        <w:tc>
          <w:tcPr>
            <w:tcW w:w="875" w:type="dxa"/>
            <w:tcBorders>
              <w:top w:val="single" w:sz="4" w:space="0" w:color="auto"/>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73.8%</w:t>
            </w:r>
          </w:p>
        </w:tc>
        <w:tc>
          <w:tcPr>
            <w:tcW w:w="875" w:type="dxa"/>
            <w:tcBorders>
              <w:top w:val="single" w:sz="4" w:space="0" w:color="auto"/>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75.6%</w:t>
            </w:r>
          </w:p>
        </w:tc>
        <w:tc>
          <w:tcPr>
            <w:tcW w:w="875" w:type="dxa"/>
            <w:tcBorders>
              <w:top w:val="single" w:sz="4" w:space="0" w:color="auto"/>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89.7%</w:t>
            </w:r>
          </w:p>
        </w:tc>
        <w:tc>
          <w:tcPr>
            <w:tcW w:w="875" w:type="dxa"/>
            <w:tcBorders>
              <w:top w:val="single" w:sz="4" w:space="0" w:color="auto"/>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82.1%</w:t>
            </w:r>
          </w:p>
        </w:tc>
        <w:tc>
          <w:tcPr>
            <w:tcW w:w="1058" w:type="dxa"/>
            <w:tcBorders>
              <w:top w:val="single" w:sz="4" w:space="0" w:color="auto"/>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75.9%</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IND-132</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88.6%</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88.0%</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91.3%</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87.5%</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84.2%</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IND-133</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95.2%</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IND-134</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88.5%</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65.2%</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84.2%</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89.5%</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IND-135</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IND-231</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92.6%</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96.7%</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89.5%</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IND-232</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96.8%</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92.9%</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IND-233</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94.7%</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IND-240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96.2%</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93.3%</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88.9%</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VIS-100</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70.9%</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72.9%</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VIS-101</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81.3%</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VIS-104</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75.6%</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70.6%</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78.6%</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VIS-105</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76.4%</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80.5%</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79.6%</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78.5%</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76.7%</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VIS-106</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66.3%</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73.3%</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68.9%</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66.4%</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60.3%</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VIS-107</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78.1%</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78.3%</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81.3%</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63.9%</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VIS-108</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58.9%</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52.4%</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58.8%</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59.2%</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49.6%</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VIS-109</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73.3%</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75.4%</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79.3%</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77.9%</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78.0%</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VIS-110</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65.7%</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64.0%</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60.9%</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VIS-114</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70.0%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71.8%</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69.4%</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67.0%</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84.9%</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VIS-115</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81.3%</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87.9%</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95.9%</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81.3%</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87.9%</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VIS-116</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76.1%</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77.6%</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81.2%</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91.3%</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74.5%</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VIS-117</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71.8%</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75.9%</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66.1%</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69.4%</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73.3%</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VIS-118</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78.8%</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69.1%</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69.7%</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78.0%</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70.0%</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VIS-146</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75.7%</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69.2%</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74.3%</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74.6%</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70.9%</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lastRenderedPageBreak/>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VIS-147</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78.0%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68.4%</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72.4%</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62.3%</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72.0%</w:t>
            </w:r>
          </w:p>
        </w:tc>
      </w:tr>
      <w:tr w:rsidR="003F38D9" w:rsidRPr="00B61D81" w:rsidTr="00B61D81">
        <w:trPr>
          <w:trHeight w:val="300"/>
        </w:trPr>
        <w:tc>
          <w:tcPr>
            <w:tcW w:w="1420"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VIS-148</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84.6%</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79.2%</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76.1%</w:t>
            </w:r>
          </w:p>
        </w:tc>
        <w:tc>
          <w:tcPr>
            <w:tcW w:w="875"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70.2%</w:t>
            </w:r>
          </w:p>
        </w:tc>
        <w:tc>
          <w:tcPr>
            <w:tcW w:w="1058" w:type="dxa"/>
            <w:tcBorders>
              <w:top w:val="nil"/>
              <w:left w:val="nil"/>
              <w:bottom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74.7%</w:t>
            </w:r>
          </w:p>
        </w:tc>
      </w:tr>
      <w:tr w:rsidR="003F38D9" w:rsidRPr="00B61D81" w:rsidTr="00B61D81">
        <w:trPr>
          <w:trHeight w:val="300"/>
        </w:trPr>
        <w:tc>
          <w:tcPr>
            <w:tcW w:w="1420"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auto" w:fill="auto"/>
            <w:noWrap/>
            <w:vAlign w:val="bottom"/>
            <w:hideMark/>
          </w:tcPr>
          <w:p w:rsidR="003F38D9" w:rsidRDefault="003F38D9">
            <w:pPr>
              <w:rPr>
                <w:rFonts w:ascii="Calibri" w:hAnsi="Calibri"/>
                <w:color w:val="000000"/>
              </w:rPr>
            </w:pPr>
            <w:r>
              <w:rPr>
                <w:rFonts w:ascii="Calibri" w:hAnsi="Calibri"/>
                <w:color w:val="000000"/>
                <w:sz w:val="22"/>
                <w:szCs w:val="22"/>
              </w:rPr>
              <w:t>VIS-150</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88.7%</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83.1%</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84.2%</w:t>
            </w:r>
          </w:p>
        </w:tc>
        <w:tc>
          <w:tcPr>
            <w:tcW w:w="875"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77.5%</w:t>
            </w:r>
          </w:p>
        </w:tc>
        <w:tc>
          <w:tcPr>
            <w:tcW w:w="1058" w:type="dxa"/>
            <w:tcBorders>
              <w:top w:val="nil"/>
              <w:left w:val="nil"/>
              <w:bottom w:val="nil"/>
              <w:right w:val="nil"/>
            </w:tcBorders>
            <w:shd w:val="clear" w:color="auto" w:fill="auto"/>
            <w:noWrap/>
            <w:vAlign w:val="bottom"/>
            <w:hideMark/>
          </w:tcPr>
          <w:p w:rsidR="003F38D9" w:rsidRDefault="003F38D9">
            <w:pPr>
              <w:jc w:val="right"/>
              <w:rPr>
                <w:rFonts w:ascii="Calibri" w:hAnsi="Calibri"/>
                <w:color w:val="000000"/>
              </w:rPr>
            </w:pPr>
            <w:r>
              <w:rPr>
                <w:rFonts w:ascii="Calibri" w:hAnsi="Calibri"/>
                <w:color w:val="000000"/>
                <w:sz w:val="22"/>
                <w:szCs w:val="22"/>
              </w:rPr>
              <w:t>76.9%</w:t>
            </w:r>
          </w:p>
        </w:tc>
      </w:tr>
      <w:tr w:rsidR="003F38D9" w:rsidRPr="00B61D81" w:rsidTr="00D73E22">
        <w:trPr>
          <w:trHeight w:val="300"/>
        </w:trPr>
        <w:tc>
          <w:tcPr>
            <w:tcW w:w="1420"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VIS-151</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93.0%</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97.6%</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97.9%</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80.5%</w:t>
            </w:r>
          </w:p>
        </w:tc>
        <w:tc>
          <w:tcPr>
            <w:tcW w:w="1058"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91.7%</w:t>
            </w:r>
          </w:p>
        </w:tc>
      </w:tr>
      <w:tr w:rsidR="003F38D9" w:rsidRPr="00B61D81" w:rsidTr="00D73E22">
        <w:trPr>
          <w:trHeight w:val="300"/>
        </w:trPr>
        <w:tc>
          <w:tcPr>
            <w:tcW w:w="1420"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VIS-180</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73.6%</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70.1%</w:t>
            </w:r>
          </w:p>
        </w:tc>
        <w:tc>
          <w:tcPr>
            <w:tcW w:w="1058"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73.4%</w:t>
            </w:r>
          </w:p>
        </w:tc>
      </w:tr>
      <w:tr w:rsidR="003F38D9" w:rsidRPr="00B61D81" w:rsidTr="00D73E22">
        <w:trPr>
          <w:trHeight w:val="300"/>
        </w:trPr>
        <w:tc>
          <w:tcPr>
            <w:tcW w:w="1420"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VIS-201</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84.4%</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77.9%</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79.6%</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94.1%</w:t>
            </w:r>
          </w:p>
        </w:tc>
        <w:tc>
          <w:tcPr>
            <w:tcW w:w="1058"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90.5%</w:t>
            </w:r>
          </w:p>
        </w:tc>
      </w:tr>
      <w:tr w:rsidR="003F38D9" w:rsidRPr="00B61D81" w:rsidTr="00D73E22">
        <w:trPr>
          <w:trHeight w:val="300"/>
        </w:trPr>
        <w:tc>
          <w:tcPr>
            <w:tcW w:w="1420"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VIS-202</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78.6%</w:t>
            </w:r>
          </w:p>
        </w:tc>
      </w:tr>
      <w:tr w:rsidR="003F38D9" w:rsidRPr="00B61D81" w:rsidTr="00D73E22">
        <w:trPr>
          <w:trHeight w:val="300"/>
        </w:trPr>
        <w:tc>
          <w:tcPr>
            <w:tcW w:w="1420"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VIS-206</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89.3%</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80.3%</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91.2%</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94.2%</w:t>
            </w:r>
          </w:p>
        </w:tc>
        <w:tc>
          <w:tcPr>
            <w:tcW w:w="1058"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91.2%</w:t>
            </w:r>
          </w:p>
        </w:tc>
      </w:tr>
      <w:tr w:rsidR="003F38D9" w:rsidRPr="00B61D81" w:rsidTr="00D73E22">
        <w:trPr>
          <w:trHeight w:val="300"/>
        </w:trPr>
        <w:tc>
          <w:tcPr>
            <w:tcW w:w="1420"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VIS-207</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92.6%</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90.6%</w:t>
            </w:r>
          </w:p>
        </w:tc>
        <w:tc>
          <w:tcPr>
            <w:tcW w:w="1058"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89.4%</w:t>
            </w:r>
          </w:p>
        </w:tc>
      </w:tr>
      <w:tr w:rsidR="003F38D9" w:rsidRPr="00B61D81" w:rsidTr="00D73E22">
        <w:trPr>
          <w:trHeight w:val="300"/>
        </w:trPr>
        <w:tc>
          <w:tcPr>
            <w:tcW w:w="1420"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VIS-236</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92.9%</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89.7%</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87.9%</w:t>
            </w:r>
          </w:p>
        </w:tc>
      </w:tr>
      <w:tr w:rsidR="003F38D9" w:rsidRPr="00B61D81" w:rsidTr="00D73E22">
        <w:trPr>
          <w:trHeight w:val="300"/>
        </w:trPr>
        <w:tc>
          <w:tcPr>
            <w:tcW w:w="1420"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VIS-237</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96.1%</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94.2%</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87.9%</w:t>
            </w:r>
          </w:p>
        </w:tc>
        <w:tc>
          <w:tcPr>
            <w:tcW w:w="1058"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93.8%</w:t>
            </w:r>
          </w:p>
        </w:tc>
      </w:tr>
      <w:tr w:rsidR="003F38D9" w:rsidRPr="00B61D81" w:rsidTr="00D73E22">
        <w:trPr>
          <w:trHeight w:val="300"/>
        </w:trPr>
        <w:tc>
          <w:tcPr>
            <w:tcW w:w="1420"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VIS-265</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81.0%</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D73E22">
        <w:trPr>
          <w:trHeight w:val="300"/>
        </w:trPr>
        <w:tc>
          <w:tcPr>
            <w:tcW w:w="1420"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VIS-270</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r>
      <w:tr w:rsidR="003F38D9" w:rsidRPr="00B61D81" w:rsidTr="00D73E22">
        <w:trPr>
          <w:trHeight w:val="300"/>
        </w:trPr>
        <w:tc>
          <w:tcPr>
            <w:tcW w:w="1420"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VIS-276</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95.9%</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96.2%</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98.5%</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96.1%</w:t>
            </w:r>
          </w:p>
        </w:tc>
        <w:tc>
          <w:tcPr>
            <w:tcW w:w="1058"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D73E22">
        <w:trPr>
          <w:trHeight w:val="300"/>
        </w:trPr>
        <w:tc>
          <w:tcPr>
            <w:tcW w:w="1420"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bottom w:val="nil"/>
              <w:right w:val="nil"/>
            </w:tcBorders>
            <w:shd w:val="clear" w:color="000000" w:fill="auto"/>
            <w:noWrap/>
            <w:vAlign w:val="bottom"/>
            <w:hideMark/>
          </w:tcPr>
          <w:p w:rsidR="003F38D9" w:rsidRDefault="003F38D9">
            <w:pPr>
              <w:rPr>
                <w:rFonts w:ascii="Calibri" w:hAnsi="Calibri"/>
                <w:color w:val="000000"/>
              </w:rPr>
            </w:pPr>
            <w:r>
              <w:rPr>
                <w:rFonts w:ascii="Calibri" w:hAnsi="Calibri"/>
                <w:color w:val="000000"/>
                <w:sz w:val="22"/>
                <w:szCs w:val="22"/>
              </w:rPr>
              <w:t>VIS-278</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94.2%</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96.2%</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98.0%</w:t>
            </w:r>
          </w:p>
        </w:tc>
        <w:tc>
          <w:tcPr>
            <w:tcW w:w="875"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98.4%</w:t>
            </w:r>
          </w:p>
        </w:tc>
        <w:tc>
          <w:tcPr>
            <w:tcW w:w="1058" w:type="dxa"/>
            <w:tcBorders>
              <w:top w:val="nil"/>
              <w:left w:val="nil"/>
              <w:bottom w:val="nil"/>
              <w:right w:val="nil"/>
            </w:tcBorders>
            <w:shd w:val="clear" w:color="000000" w:fill="auto"/>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r w:rsidR="003F38D9" w:rsidRPr="00B61D81" w:rsidTr="00D73E22">
        <w:trPr>
          <w:trHeight w:val="300"/>
        </w:trPr>
        <w:tc>
          <w:tcPr>
            <w:tcW w:w="1420"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220</w:t>
            </w:r>
          </w:p>
        </w:tc>
        <w:tc>
          <w:tcPr>
            <w:tcW w:w="291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Design</w:t>
            </w:r>
          </w:p>
        </w:tc>
        <w:tc>
          <w:tcPr>
            <w:tcW w:w="1265" w:type="dxa"/>
            <w:tcBorders>
              <w:top w:val="nil"/>
              <w:left w:val="nil"/>
              <w:right w:val="nil"/>
            </w:tcBorders>
            <w:shd w:val="clear" w:color="000000" w:fill="D8D8D8"/>
            <w:noWrap/>
            <w:vAlign w:val="bottom"/>
            <w:hideMark/>
          </w:tcPr>
          <w:p w:rsidR="003F38D9" w:rsidRDefault="003F38D9">
            <w:pPr>
              <w:rPr>
                <w:rFonts w:ascii="Calibri" w:hAnsi="Calibri"/>
                <w:color w:val="000000"/>
              </w:rPr>
            </w:pPr>
            <w:r>
              <w:rPr>
                <w:rFonts w:ascii="Calibri" w:hAnsi="Calibri"/>
                <w:color w:val="000000"/>
                <w:sz w:val="22"/>
                <w:szCs w:val="22"/>
              </w:rPr>
              <w:t>VIS-297</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55.6%</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50.0%</w:t>
            </w:r>
          </w:p>
        </w:tc>
        <w:tc>
          <w:tcPr>
            <w:tcW w:w="875"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3F38D9" w:rsidRDefault="003F38D9">
            <w:pPr>
              <w:jc w:val="right"/>
              <w:rPr>
                <w:rFonts w:ascii="Calibri" w:hAnsi="Calibri"/>
                <w:color w:val="000000"/>
              </w:rPr>
            </w:pPr>
            <w:r>
              <w:rPr>
                <w:rFonts w:ascii="Calibri" w:hAnsi="Calibri"/>
                <w:color w:val="000000"/>
                <w:sz w:val="22"/>
                <w:szCs w:val="22"/>
              </w:rPr>
              <w:t>.</w:t>
            </w:r>
          </w:p>
        </w:tc>
      </w:tr>
    </w:tbl>
    <w:p w:rsidR="00B61D81" w:rsidRDefault="00B61D81" w:rsidP="00174C4B">
      <w:pPr>
        <w:ind w:left="1080"/>
        <w:rPr>
          <w:rFonts w:ascii="Arial" w:hAnsi="Arial" w:cs="Arial"/>
          <w:color w:val="000000" w:themeColor="text1"/>
        </w:rPr>
      </w:pPr>
    </w:p>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C32" w:rsidRDefault="009C0C32" w:rsidP="0094204C">
      <w:r>
        <w:separator/>
      </w:r>
    </w:p>
  </w:endnote>
  <w:endnote w:type="continuationSeparator" w:id="0">
    <w:p w:rsidR="009C0C32" w:rsidRDefault="009C0C32"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9C0C32" w:rsidRDefault="009C0C32">
        <w:pPr>
          <w:pStyle w:val="Footer"/>
          <w:jc w:val="right"/>
        </w:pPr>
        <w:fldSimple w:instr=" PAGE   \* MERGEFORMAT ">
          <w:r w:rsidR="00045C35">
            <w:rPr>
              <w:noProof/>
            </w:rPr>
            <w:t>16</w:t>
          </w:r>
        </w:fldSimple>
      </w:p>
    </w:sdtContent>
  </w:sdt>
  <w:p w:rsidR="009C0C32" w:rsidRDefault="009C0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C32" w:rsidRDefault="009C0C32" w:rsidP="0094204C">
      <w:r>
        <w:separator/>
      </w:r>
    </w:p>
  </w:footnote>
  <w:footnote w:type="continuationSeparator" w:id="0">
    <w:p w:rsidR="009C0C32" w:rsidRDefault="009C0C32"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7C7CD2"/>
    <w:multiLevelType w:val="hybridMultilevel"/>
    <w:tmpl w:val="8C2CD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0">
    <w:nsid w:val="542554D8"/>
    <w:multiLevelType w:val="hybridMultilevel"/>
    <w:tmpl w:val="6FF0B934"/>
    <w:lvl w:ilvl="0" w:tplc="39C463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2"/>
  </w:num>
  <w:num w:numId="6">
    <w:abstractNumId w:val="5"/>
  </w:num>
  <w:num w:numId="7">
    <w:abstractNumId w:val="12"/>
  </w:num>
  <w:num w:numId="8">
    <w:abstractNumId w:val="9"/>
  </w:num>
  <w:num w:numId="9">
    <w:abstractNumId w:val="1"/>
  </w:num>
  <w:num w:numId="10">
    <w:abstractNumId w:val="13"/>
  </w:num>
  <w:num w:numId="11">
    <w:abstractNumId w:val="0"/>
  </w:num>
  <w:num w:numId="12">
    <w:abstractNumId w:val="11"/>
  </w:num>
  <w:num w:numId="13">
    <w:abstractNumId w:val="7"/>
  </w:num>
  <w:num w:numId="14">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S9vXwqJ5MV8/Vy9vnfe76CnTTQ=" w:salt="83jaSrutk8sG1uRHauo9C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278D"/>
    <w:rsid w:val="000279EB"/>
    <w:rsid w:val="000337E6"/>
    <w:rsid w:val="00034CE6"/>
    <w:rsid w:val="00036DF9"/>
    <w:rsid w:val="000449A9"/>
    <w:rsid w:val="00045C35"/>
    <w:rsid w:val="00054BFD"/>
    <w:rsid w:val="00056964"/>
    <w:rsid w:val="000616F3"/>
    <w:rsid w:val="00063778"/>
    <w:rsid w:val="00065129"/>
    <w:rsid w:val="00073502"/>
    <w:rsid w:val="000738FE"/>
    <w:rsid w:val="00074BD5"/>
    <w:rsid w:val="00080933"/>
    <w:rsid w:val="00097843"/>
    <w:rsid w:val="000A089D"/>
    <w:rsid w:val="000A2A44"/>
    <w:rsid w:val="000A4EE0"/>
    <w:rsid w:val="000B0D23"/>
    <w:rsid w:val="000B261C"/>
    <w:rsid w:val="000D1111"/>
    <w:rsid w:val="000D3A39"/>
    <w:rsid w:val="000E4EFE"/>
    <w:rsid w:val="000F0AF3"/>
    <w:rsid w:val="000F154F"/>
    <w:rsid w:val="000F1823"/>
    <w:rsid w:val="000F21F2"/>
    <w:rsid w:val="000F2F76"/>
    <w:rsid w:val="000F4249"/>
    <w:rsid w:val="00100BD1"/>
    <w:rsid w:val="0010227C"/>
    <w:rsid w:val="001026AA"/>
    <w:rsid w:val="00115E77"/>
    <w:rsid w:val="001201D5"/>
    <w:rsid w:val="00120277"/>
    <w:rsid w:val="00120E81"/>
    <w:rsid w:val="001240D0"/>
    <w:rsid w:val="00130442"/>
    <w:rsid w:val="001324D2"/>
    <w:rsid w:val="00142776"/>
    <w:rsid w:val="001532B7"/>
    <w:rsid w:val="001628B1"/>
    <w:rsid w:val="001723E7"/>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7137"/>
    <w:rsid w:val="001F4B9E"/>
    <w:rsid w:val="002105E7"/>
    <w:rsid w:val="00210FF3"/>
    <w:rsid w:val="002245AB"/>
    <w:rsid w:val="0022692B"/>
    <w:rsid w:val="002315EE"/>
    <w:rsid w:val="00253AD5"/>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0774"/>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09F5"/>
    <w:rsid w:val="00315CE8"/>
    <w:rsid w:val="00320CDE"/>
    <w:rsid w:val="00320DF3"/>
    <w:rsid w:val="003233E7"/>
    <w:rsid w:val="003254BC"/>
    <w:rsid w:val="00325B6A"/>
    <w:rsid w:val="00330692"/>
    <w:rsid w:val="00337A3A"/>
    <w:rsid w:val="003454F6"/>
    <w:rsid w:val="00350D53"/>
    <w:rsid w:val="003641BA"/>
    <w:rsid w:val="00372B02"/>
    <w:rsid w:val="0037786D"/>
    <w:rsid w:val="00377D40"/>
    <w:rsid w:val="003A1D2D"/>
    <w:rsid w:val="003A298D"/>
    <w:rsid w:val="003B2034"/>
    <w:rsid w:val="003B5176"/>
    <w:rsid w:val="003B5F45"/>
    <w:rsid w:val="003B6EA6"/>
    <w:rsid w:val="003C1C8E"/>
    <w:rsid w:val="003D2587"/>
    <w:rsid w:val="003D6946"/>
    <w:rsid w:val="003D6D6E"/>
    <w:rsid w:val="003E5D31"/>
    <w:rsid w:val="003E791C"/>
    <w:rsid w:val="003F2993"/>
    <w:rsid w:val="003F38D9"/>
    <w:rsid w:val="00404810"/>
    <w:rsid w:val="00414645"/>
    <w:rsid w:val="00424E5D"/>
    <w:rsid w:val="00425F46"/>
    <w:rsid w:val="00430366"/>
    <w:rsid w:val="00432584"/>
    <w:rsid w:val="00434F56"/>
    <w:rsid w:val="004359FC"/>
    <w:rsid w:val="004467C4"/>
    <w:rsid w:val="00455833"/>
    <w:rsid w:val="004604FB"/>
    <w:rsid w:val="00461386"/>
    <w:rsid w:val="00462D00"/>
    <w:rsid w:val="004712EB"/>
    <w:rsid w:val="00476425"/>
    <w:rsid w:val="0048088F"/>
    <w:rsid w:val="00480BB2"/>
    <w:rsid w:val="004818E1"/>
    <w:rsid w:val="00481A7E"/>
    <w:rsid w:val="0048427F"/>
    <w:rsid w:val="00491680"/>
    <w:rsid w:val="00495C9D"/>
    <w:rsid w:val="004B7492"/>
    <w:rsid w:val="004C2B30"/>
    <w:rsid w:val="004C52FC"/>
    <w:rsid w:val="004C7DB2"/>
    <w:rsid w:val="004D3BE1"/>
    <w:rsid w:val="004D3C8C"/>
    <w:rsid w:val="004E47AA"/>
    <w:rsid w:val="004E4BD6"/>
    <w:rsid w:val="004F41D5"/>
    <w:rsid w:val="0051294F"/>
    <w:rsid w:val="00516463"/>
    <w:rsid w:val="00520FBE"/>
    <w:rsid w:val="0052152C"/>
    <w:rsid w:val="0054350A"/>
    <w:rsid w:val="005453FE"/>
    <w:rsid w:val="005531E8"/>
    <w:rsid w:val="005634CE"/>
    <w:rsid w:val="005674F9"/>
    <w:rsid w:val="00573ECD"/>
    <w:rsid w:val="00585766"/>
    <w:rsid w:val="005863ED"/>
    <w:rsid w:val="005864A4"/>
    <w:rsid w:val="005918B2"/>
    <w:rsid w:val="00597F85"/>
    <w:rsid w:val="005D19D9"/>
    <w:rsid w:val="005F5F7E"/>
    <w:rsid w:val="005F6B5B"/>
    <w:rsid w:val="005F7377"/>
    <w:rsid w:val="0061454F"/>
    <w:rsid w:val="00615250"/>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67E67"/>
    <w:rsid w:val="00677703"/>
    <w:rsid w:val="006835C1"/>
    <w:rsid w:val="006865D6"/>
    <w:rsid w:val="00690A3D"/>
    <w:rsid w:val="006A2AA3"/>
    <w:rsid w:val="006B4807"/>
    <w:rsid w:val="006B5D02"/>
    <w:rsid w:val="006B6194"/>
    <w:rsid w:val="006C142B"/>
    <w:rsid w:val="006C28B1"/>
    <w:rsid w:val="006C3F43"/>
    <w:rsid w:val="006C4C0B"/>
    <w:rsid w:val="006C4F5E"/>
    <w:rsid w:val="006D67EB"/>
    <w:rsid w:val="006E3463"/>
    <w:rsid w:val="006E3686"/>
    <w:rsid w:val="006F0183"/>
    <w:rsid w:val="006F1477"/>
    <w:rsid w:val="00716A26"/>
    <w:rsid w:val="00740D35"/>
    <w:rsid w:val="00746675"/>
    <w:rsid w:val="00751FC5"/>
    <w:rsid w:val="00756E1A"/>
    <w:rsid w:val="007621F7"/>
    <w:rsid w:val="00781DA4"/>
    <w:rsid w:val="007825CC"/>
    <w:rsid w:val="007856A2"/>
    <w:rsid w:val="0078669D"/>
    <w:rsid w:val="00786F00"/>
    <w:rsid w:val="00791FF2"/>
    <w:rsid w:val="0079281D"/>
    <w:rsid w:val="00794EA2"/>
    <w:rsid w:val="007A43CE"/>
    <w:rsid w:val="007C1FEF"/>
    <w:rsid w:val="007C46D3"/>
    <w:rsid w:val="007C74F5"/>
    <w:rsid w:val="007D285C"/>
    <w:rsid w:val="007E36F4"/>
    <w:rsid w:val="007F45E6"/>
    <w:rsid w:val="007F66F9"/>
    <w:rsid w:val="0080292B"/>
    <w:rsid w:val="008034BE"/>
    <w:rsid w:val="008056C5"/>
    <w:rsid w:val="00805C23"/>
    <w:rsid w:val="00807113"/>
    <w:rsid w:val="00817DDA"/>
    <w:rsid w:val="00821011"/>
    <w:rsid w:val="008258DA"/>
    <w:rsid w:val="00827AE5"/>
    <w:rsid w:val="00831417"/>
    <w:rsid w:val="00847243"/>
    <w:rsid w:val="008642E1"/>
    <w:rsid w:val="00866C2F"/>
    <w:rsid w:val="00875A7C"/>
    <w:rsid w:val="00877383"/>
    <w:rsid w:val="00880686"/>
    <w:rsid w:val="008836F4"/>
    <w:rsid w:val="008860C1"/>
    <w:rsid w:val="008909D4"/>
    <w:rsid w:val="008942FA"/>
    <w:rsid w:val="00897A68"/>
    <w:rsid w:val="008B52A0"/>
    <w:rsid w:val="008D352C"/>
    <w:rsid w:val="008D4D55"/>
    <w:rsid w:val="008E063A"/>
    <w:rsid w:val="008F3D47"/>
    <w:rsid w:val="008F41A6"/>
    <w:rsid w:val="009108ED"/>
    <w:rsid w:val="00915CDA"/>
    <w:rsid w:val="00925394"/>
    <w:rsid w:val="0092540D"/>
    <w:rsid w:val="009268A3"/>
    <w:rsid w:val="0094204C"/>
    <w:rsid w:val="00952FA6"/>
    <w:rsid w:val="00963DD8"/>
    <w:rsid w:val="00981D62"/>
    <w:rsid w:val="009866BA"/>
    <w:rsid w:val="009A2F4E"/>
    <w:rsid w:val="009A616E"/>
    <w:rsid w:val="009A69F0"/>
    <w:rsid w:val="009A7EB6"/>
    <w:rsid w:val="009C0C32"/>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412D1"/>
    <w:rsid w:val="00A51345"/>
    <w:rsid w:val="00A54831"/>
    <w:rsid w:val="00A6078F"/>
    <w:rsid w:val="00A62968"/>
    <w:rsid w:val="00A63ACE"/>
    <w:rsid w:val="00A77623"/>
    <w:rsid w:val="00A8476F"/>
    <w:rsid w:val="00AC0386"/>
    <w:rsid w:val="00AC62F8"/>
    <w:rsid w:val="00AD4FA7"/>
    <w:rsid w:val="00AE4AD2"/>
    <w:rsid w:val="00AE5F43"/>
    <w:rsid w:val="00AF1271"/>
    <w:rsid w:val="00AF6A23"/>
    <w:rsid w:val="00B11F28"/>
    <w:rsid w:val="00B25938"/>
    <w:rsid w:val="00B27095"/>
    <w:rsid w:val="00B31728"/>
    <w:rsid w:val="00B34F9E"/>
    <w:rsid w:val="00B42C55"/>
    <w:rsid w:val="00B44B23"/>
    <w:rsid w:val="00B4625A"/>
    <w:rsid w:val="00B608D5"/>
    <w:rsid w:val="00B61D81"/>
    <w:rsid w:val="00B623D5"/>
    <w:rsid w:val="00B700A5"/>
    <w:rsid w:val="00B71307"/>
    <w:rsid w:val="00B73ECD"/>
    <w:rsid w:val="00B75DD0"/>
    <w:rsid w:val="00B764F8"/>
    <w:rsid w:val="00B81607"/>
    <w:rsid w:val="00B8227E"/>
    <w:rsid w:val="00B90F20"/>
    <w:rsid w:val="00B91F1E"/>
    <w:rsid w:val="00B92B7D"/>
    <w:rsid w:val="00BA3246"/>
    <w:rsid w:val="00BA411F"/>
    <w:rsid w:val="00BA527A"/>
    <w:rsid w:val="00BB272C"/>
    <w:rsid w:val="00BB28CF"/>
    <w:rsid w:val="00BB4ABC"/>
    <w:rsid w:val="00BB4C9F"/>
    <w:rsid w:val="00BB5574"/>
    <w:rsid w:val="00BC12BF"/>
    <w:rsid w:val="00BC2827"/>
    <w:rsid w:val="00BC5BB9"/>
    <w:rsid w:val="00BC5FF1"/>
    <w:rsid w:val="00BC6C11"/>
    <w:rsid w:val="00BD2C4F"/>
    <w:rsid w:val="00BD3EF3"/>
    <w:rsid w:val="00BE51FF"/>
    <w:rsid w:val="00BF3561"/>
    <w:rsid w:val="00BF556C"/>
    <w:rsid w:val="00C05015"/>
    <w:rsid w:val="00C05EFD"/>
    <w:rsid w:val="00C22083"/>
    <w:rsid w:val="00C32DEA"/>
    <w:rsid w:val="00C45053"/>
    <w:rsid w:val="00C52D74"/>
    <w:rsid w:val="00C5365F"/>
    <w:rsid w:val="00C56C48"/>
    <w:rsid w:val="00C616FD"/>
    <w:rsid w:val="00C63B58"/>
    <w:rsid w:val="00C7001F"/>
    <w:rsid w:val="00C71D43"/>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44CDB"/>
    <w:rsid w:val="00D44D7D"/>
    <w:rsid w:val="00D5246D"/>
    <w:rsid w:val="00D52978"/>
    <w:rsid w:val="00D57E53"/>
    <w:rsid w:val="00D60F74"/>
    <w:rsid w:val="00D632DC"/>
    <w:rsid w:val="00D708C3"/>
    <w:rsid w:val="00D72CCC"/>
    <w:rsid w:val="00D73E22"/>
    <w:rsid w:val="00D9642E"/>
    <w:rsid w:val="00DA5E37"/>
    <w:rsid w:val="00DA7FA2"/>
    <w:rsid w:val="00DB041B"/>
    <w:rsid w:val="00DB17B2"/>
    <w:rsid w:val="00DB4C9A"/>
    <w:rsid w:val="00DC0672"/>
    <w:rsid w:val="00DC5CEE"/>
    <w:rsid w:val="00DD42DB"/>
    <w:rsid w:val="00DF5973"/>
    <w:rsid w:val="00DF7501"/>
    <w:rsid w:val="00E12A67"/>
    <w:rsid w:val="00E12E4F"/>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7116"/>
    <w:rsid w:val="00E90F22"/>
    <w:rsid w:val="00E96021"/>
    <w:rsid w:val="00E97968"/>
    <w:rsid w:val="00EA0B10"/>
    <w:rsid w:val="00EA7AFE"/>
    <w:rsid w:val="00EB3C20"/>
    <w:rsid w:val="00EC0B9E"/>
    <w:rsid w:val="00EC1EB5"/>
    <w:rsid w:val="00EC6B80"/>
    <w:rsid w:val="00ED0C45"/>
    <w:rsid w:val="00ED4142"/>
    <w:rsid w:val="00EE3042"/>
    <w:rsid w:val="00EF15CD"/>
    <w:rsid w:val="00EF6E21"/>
    <w:rsid w:val="00F0239E"/>
    <w:rsid w:val="00F07EFD"/>
    <w:rsid w:val="00F1164D"/>
    <w:rsid w:val="00F1200D"/>
    <w:rsid w:val="00F154DF"/>
    <w:rsid w:val="00F17C08"/>
    <w:rsid w:val="00F22BC4"/>
    <w:rsid w:val="00F268E9"/>
    <w:rsid w:val="00F27D5C"/>
    <w:rsid w:val="00F340B8"/>
    <w:rsid w:val="00F37373"/>
    <w:rsid w:val="00F43F29"/>
    <w:rsid w:val="00F509AE"/>
    <w:rsid w:val="00F60941"/>
    <w:rsid w:val="00F60C52"/>
    <w:rsid w:val="00F60FAC"/>
    <w:rsid w:val="00F7110B"/>
    <w:rsid w:val="00F72582"/>
    <w:rsid w:val="00F81080"/>
    <w:rsid w:val="00F8191D"/>
    <w:rsid w:val="00F86156"/>
    <w:rsid w:val="00F90760"/>
    <w:rsid w:val="00F920EB"/>
    <w:rsid w:val="00F938A3"/>
    <w:rsid w:val="00F94D4D"/>
    <w:rsid w:val="00F95896"/>
    <w:rsid w:val="00FA24D1"/>
    <w:rsid w:val="00FA7DDB"/>
    <w:rsid w:val="00FB0E89"/>
    <w:rsid w:val="00FB231A"/>
    <w:rsid w:val="00FB4AA9"/>
    <w:rsid w:val="00FC1435"/>
    <w:rsid w:val="00FC16E2"/>
    <w:rsid w:val="00FC3417"/>
    <w:rsid w:val="00FC45CA"/>
    <w:rsid w:val="00FC49AB"/>
    <w:rsid w:val="00FC7F0C"/>
    <w:rsid w:val="00FD4866"/>
    <w:rsid w:val="00FE084D"/>
    <w:rsid w:val="00FE33F3"/>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819"/>
          <c:y val="2.7777777777777991E-2"/>
        </c:manualLayout>
      </c:layout>
    </c:title>
    <c:plotArea>
      <c:layout/>
      <c:barChart>
        <c:barDir val="col"/>
        <c:grouping val="clustered"/>
        <c:ser>
          <c:idx val="0"/>
          <c:order val="0"/>
          <c:tx>
            <c:strRef>
              <c:f>'CHART FOR COMPLETIONS'!$J$6</c:f>
              <c:strCache>
                <c:ptCount val="1"/>
                <c:pt idx="0">
                  <c:v>0220 - Design</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314</c:v>
                </c:pt>
                <c:pt idx="1">
                  <c:v>166</c:v>
                </c:pt>
                <c:pt idx="2">
                  <c:v>166</c:v>
                </c:pt>
                <c:pt idx="3">
                  <c:v>119</c:v>
                </c:pt>
              </c:numCache>
            </c:numRef>
          </c:val>
        </c:ser>
        <c:axId val="71725824"/>
        <c:axId val="71727360"/>
      </c:barChart>
      <c:catAx>
        <c:axId val="71725824"/>
        <c:scaling>
          <c:orientation val="minMax"/>
        </c:scaling>
        <c:axPos val="b"/>
        <c:tickLblPos val="nextTo"/>
        <c:crossAx val="71727360"/>
        <c:crosses val="autoZero"/>
        <c:auto val="1"/>
        <c:lblAlgn val="ctr"/>
        <c:lblOffset val="100"/>
      </c:catAx>
      <c:valAx>
        <c:axId val="71727360"/>
        <c:scaling>
          <c:orientation val="minMax"/>
        </c:scaling>
        <c:axPos val="l"/>
        <c:majorGridlines>
          <c:spPr>
            <a:ln>
              <a:solidFill>
                <a:sysClr val="windowText" lastClr="000000">
                  <a:alpha val="31000"/>
                </a:sysClr>
              </a:solidFill>
            </a:ln>
          </c:spPr>
        </c:majorGridlines>
        <c:numFmt formatCode="#,##0" sourceLinked="1"/>
        <c:tickLblPos val="nextTo"/>
        <c:crossAx val="71725824"/>
        <c:crosses val="autoZero"/>
        <c:crossBetween val="between"/>
      </c:valAx>
    </c:plotArea>
    <c:legend>
      <c:legendPos val="r"/>
      <c:layout/>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0220 - Design</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0.77800000000000102</c:v>
                </c:pt>
                <c:pt idx="1">
                  <c:v>0.76900000000000091</c:v>
                </c:pt>
                <c:pt idx="2">
                  <c:v>0.75500000000000089</c:v>
                </c:pt>
                <c:pt idx="3">
                  <c:v>0.7650000000000009</c:v>
                </c:pt>
                <c:pt idx="4">
                  <c:v>0.73800000000000077</c:v>
                </c:pt>
              </c:numCache>
            </c:numRef>
          </c:val>
        </c:ser>
        <c:ser>
          <c:idx val="1"/>
          <c:order val="1"/>
          <c:tx>
            <c:strRef>
              <c:f>'CHART FOR SUCCESS RATES'!$C$7</c:f>
              <c:strCache>
                <c:ptCount val="1"/>
                <c:pt idx="0">
                  <c:v>LCS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0.70200000000000062</c:v>
                </c:pt>
                <c:pt idx="1">
                  <c:v>0.69400000000000062</c:v>
                </c:pt>
                <c:pt idx="2">
                  <c:v>0.68600000000000005</c:v>
                </c:pt>
                <c:pt idx="3">
                  <c:v>0.67600000000000204</c:v>
                </c:pt>
                <c:pt idx="4">
                  <c:v>0.69100000000000061</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72168576"/>
        <c:axId val="72170112"/>
      </c:barChart>
      <c:catAx>
        <c:axId val="72168576"/>
        <c:scaling>
          <c:orientation val="minMax"/>
        </c:scaling>
        <c:axPos val="b"/>
        <c:numFmt formatCode="0.0%" sourceLinked="1"/>
        <c:majorTickMark val="none"/>
        <c:tickLblPos val="nextTo"/>
        <c:crossAx val="72170112"/>
        <c:crosses val="autoZero"/>
        <c:auto val="1"/>
        <c:lblAlgn val="ctr"/>
        <c:lblOffset val="100"/>
      </c:catAx>
      <c:valAx>
        <c:axId val="7217011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72168576"/>
        <c:crosses val="autoZero"/>
        <c:crossBetween val="between"/>
      </c:valAx>
    </c:plotArea>
    <c:legend>
      <c:legendPos val="r"/>
      <c:layout/>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F2E4-B94C-47C9-9021-70CF31D4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4449</Words>
  <Characters>25365</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2</cp:revision>
  <cp:lastPrinted>2012-05-11T12:59:00Z</cp:lastPrinted>
  <dcterms:created xsi:type="dcterms:W3CDTF">2012-10-08T14:10:00Z</dcterms:created>
  <dcterms:modified xsi:type="dcterms:W3CDTF">2012-10-08T14:10:00Z</dcterms:modified>
</cp:coreProperties>
</file>