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bookmarkStart w:id="0" w:name="_GoBack"/>
      <w:bookmarkEnd w:id="0"/>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173752">
        <w:rPr>
          <w:rFonts w:ascii="Arial" w:hAnsi="Arial" w:cs="Arial"/>
          <w:b/>
          <w:color w:val="000000" w:themeColor="text1"/>
        </w:rPr>
        <w:t>3</w:t>
      </w:r>
      <w:r w:rsidR="001D736E">
        <w:rPr>
          <w:rFonts w:ascii="Arial" w:hAnsi="Arial" w:cs="Arial"/>
          <w:b/>
          <w:color w:val="000000" w:themeColor="text1"/>
        </w:rPr>
        <w:t>-1</w:t>
      </w:r>
      <w:r w:rsidR="00173752">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173752">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1620F2">
        <w:rPr>
          <w:rFonts w:ascii="Arial" w:hAnsi="Arial" w:cs="Arial"/>
          <w:color w:val="000000" w:themeColor="text1"/>
          <w:u w:val="single"/>
        </w:rPr>
        <w:t>0630 – Surgical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1620F2">
        <w:rPr>
          <w:rFonts w:ascii="Arial" w:hAnsi="Arial" w:cs="Arial"/>
          <w:color w:val="000000" w:themeColor="text1"/>
        </w:rPr>
        <w:t>7</w:t>
      </w:r>
      <w:r>
        <w:rPr>
          <w:rFonts w:ascii="Arial" w:hAnsi="Arial" w:cs="Arial"/>
          <w:color w:val="000000" w:themeColor="text1"/>
        </w:rPr>
        <w:t>-</w:t>
      </w:r>
      <w:r w:rsidR="00440C4A">
        <w:rPr>
          <w:rFonts w:ascii="Arial" w:hAnsi="Arial" w:cs="Arial"/>
          <w:color w:val="000000" w:themeColor="text1"/>
        </w:rPr>
        <w:t>20</w:t>
      </w:r>
      <w:r w:rsidR="00637591">
        <w:rPr>
          <w:rFonts w:ascii="Arial" w:hAnsi="Arial" w:cs="Arial"/>
          <w:color w:val="000000" w:themeColor="text1"/>
        </w:rPr>
        <w:t>0</w:t>
      </w:r>
      <w:r w:rsidR="001620F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1620F2">
        <w:rPr>
          <w:rFonts w:ascii="Arial" w:hAnsi="Arial" w:cs="Arial"/>
          <w:color w:val="000000" w:themeColor="text1"/>
        </w:rPr>
        <w:t>4</w:t>
      </w:r>
      <w:r>
        <w:rPr>
          <w:rFonts w:ascii="Arial" w:hAnsi="Arial" w:cs="Arial"/>
          <w:color w:val="000000" w:themeColor="text1"/>
        </w:rPr>
        <w:t>-201</w:t>
      </w:r>
      <w:r w:rsidR="001620F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173752" w:rsidP="00585766">
      <w:pPr>
        <w:rPr>
          <w:rFonts w:ascii="Arial" w:hAnsi="Arial" w:cs="Arial"/>
          <w:noProof/>
          <w:color w:val="000000" w:themeColor="text1"/>
        </w:rPr>
      </w:pPr>
      <w:r>
        <w:rPr>
          <w:noProof/>
        </w:rPr>
        <w:drawing>
          <wp:inline distT="0" distB="0" distL="0" distR="0" wp14:anchorId="170158F7" wp14:editId="129F3E14">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037152" w:rsidRDefault="00037152">
      <w:pPr>
        <w:spacing w:after="200" w:line="276" w:lineRule="auto"/>
        <w:rPr>
          <w:rFonts w:ascii="Arial" w:hAnsi="Arial" w:cs="Arial"/>
          <w:b/>
          <w:color w:val="000000" w:themeColor="text1"/>
        </w:rPr>
      </w:pPr>
    </w:p>
    <w:p w:rsidR="005279C8" w:rsidRPr="00252576" w:rsidRDefault="00EE4E34" w:rsidP="001D3E1D">
      <w:r w:rsidRPr="00252576">
        <w:rPr>
          <w:rFonts w:ascii="Arial" w:hAnsi="Arial" w:cs="Arial"/>
          <w:color w:val="000000" w:themeColor="text1"/>
        </w:rPr>
        <w:fldChar w:fldCharType="begin">
          <w:ffData>
            <w:name w:val=""/>
            <w:enabled/>
            <w:calcOnExit w:val="0"/>
            <w:textInput/>
          </w:ffData>
        </w:fldChar>
      </w:r>
      <w:r w:rsidRPr="00252576">
        <w:rPr>
          <w:rFonts w:ascii="Arial" w:hAnsi="Arial" w:cs="Arial"/>
          <w:color w:val="000000" w:themeColor="text1"/>
        </w:rPr>
        <w:instrText xml:space="preserve"> FORMTEXT </w:instrText>
      </w:r>
      <w:r w:rsidRPr="00252576">
        <w:rPr>
          <w:rFonts w:ascii="Arial" w:hAnsi="Arial" w:cs="Arial"/>
          <w:color w:val="000000" w:themeColor="text1"/>
        </w:rPr>
      </w:r>
      <w:r w:rsidRPr="00252576">
        <w:rPr>
          <w:rFonts w:ascii="Arial" w:hAnsi="Arial" w:cs="Arial"/>
          <w:color w:val="000000" w:themeColor="text1"/>
        </w:rPr>
        <w:fldChar w:fldCharType="separate"/>
      </w:r>
      <w:r w:rsidR="004F0F7F" w:rsidRPr="00252576">
        <w:rPr>
          <w:b/>
        </w:rPr>
        <w:t>Trends / Factors:</w:t>
      </w:r>
      <w:r w:rsidR="004F0F7F" w:rsidRPr="00252576">
        <w:t xml:space="preserve">  T</w:t>
      </w:r>
      <w:r w:rsidRPr="00252576">
        <w:t>he downward</w:t>
      </w:r>
      <w:r w:rsidR="00004C1E">
        <w:t xml:space="preserve"> completion trend is related to </w:t>
      </w:r>
      <w:r w:rsidRPr="00252576">
        <w:t xml:space="preserve">the downturn in the local healthcare environment in Dayton. </w:t>
      </w:r>
      <w:r w:rsidR="005279C8" w:rsidRPr="00252576">
        <w:t xml:space="preserve"> Clinical placement and hiring of new graduates is down, and in turn, the program is admitting fewer students.  </w:t>
      </w:r>
    </w:p>
    <w:p w:rsidR="005279C8" w:rsidRPr="00252576" w:rsidRDefault="005279C8" w:rsidP="001D3E1D"/>
    <w:p w:rsidR="00EE4E34" w:rsidRPr="00252576" w:rsidRDefault="00EE4E34" w:rsidP="001D3E1D">
      <w:r w:rsidRPr="00252576">
        <w:t xml:space="preserve">A competitive healthcare market </w:t>
      </w:r>
      <w:r w:rsidR="005279C8" w:rsidRPr="00252576">
        <w:t xml:space="preserve">has </w:t>
      </w:r>
      <w:r w:rsidRPr="00252576">
        <w:t>led hospitals to expand their facilities.  However, the number of patients</w:t>
      </w:r>
      <w:r w:rsidR="004F0F7F" w:rsidRPr="00252576">
        <w:t xml:space="preserve"> in the area</w:t>
      </w:r>
      <w:r w:rsidRPr="00252576">
        <w:t xml:space="preserve"> has, at a minimum, remained the same if not decreased due to </w:t>
      </w:r>
      <w:r w:rsidR="004F0F7F" w:rsidRPr="00252576">
        <w:t xml:space="preserve">the </w:t>
      </w:r>
      <w:r w:rsidRPr="00252576">
        <w:t>exit of many national companies from the area and loss of benefits to the employee</w:t>
      </w:r>
      <w:r w:rsidR="00C611E5" w:rsidRPr="00252576">
        <w:t xml:space="preserve"> resident</w:t>
      </w:r>
      <w:r w:rsidRPr="00252576">
        <w:t>s</w:t>
      </w:r>
      <w:r w:rsidR="00C611E5" w:rsidRPr="00252576">
        <w:t xml:space="preserve"> of </w:t>
      </w:r>
      <w:r w:rsidR="00C611E5" w:rsidRPr="00252576">
        <w:lastRenderedPageBreak/>
        <w:t>Dayton</w:t>
      </w:r>
      <w:r w:rsidRPr="00252576">
        <w:t xml:space="preserve">.  </w:t>
      </w:r>
      <w:r w:rsidR="004F0F7F" w:rsidRPr="00252576">
        <w:t>In addition, the Affordable Care Act (ACA) has introduced a higher degree of uncertainty into the current healthcare market.  Hospital administrators are cautious on a new level and are slower to make staffing decisions until full implementation of the ACA</w:t>
      </w:r>
      <w:r w:rsidR="00C611E5" w:rsidRPr="00252576">
        <w:t xml:space="preserve"> becomes more clear</w:t>
      </w:r>
      <w:r w:rsidR="004F0F7F" w:rsidRPr="00252576">
        <w:t>.</w:t>
      </w:r>
    </w:p>
    <w:p w:rsidR="00EE4E34" w:rsidRPr="00252576" w:rsidRDefault="00EE4E34" w:rsidP="001D3E1D"/>
    <w:p w:rsidR="00C611E5" w:rsidRPr="00252576" w:rsidRDefault="00EE4E34" w:rsidP="001D3E1D">
      <w:r w:rsidRPr="00252576">
        <w:t>This has affected our program</w:t>
      </w:r>
      <w:r w:rsidR="00C02186" w:rsidRPr="00252576">
        <w:t xml:space="preserve"> in many ways</w:t>
      </w:r>
      <w:r w:rsidR="00C611E5" w:rsidRPr="00252576">
        <w:t>:</w:t>
      </w:r>
    </w:p>
    <w:p w:rsidR="004F0F7F" w:rsidRPr="00252576" w:rsidRDefault="00C02186" w:rsidP="001D3E1D">
      <w:r w:rsidRPr="00252576">
        <w:t xml:space="preserve">  </w:t>
      </w:r>
    </w:p>
    <w:p w:rsidR="004F0F7F" w:rsidRPr="00252576" w:rsidRDefault="00C02186" w:rsidP="001D3E1D">
      <w:r w:rsidRPr="00252576">
        <w:t xml:space="preserve">First, our hospital affiliates have cut the number of students they will host in their facilities.  With empty hospital beds, hospital administrators have cut staff hours and closed operating rooms.   This directly impacts our ability to place students in the clinical environment.  As mandated by my accrediting body, the ARC/STSA, I can only admit as many students that I can guarantee a facility for them to complete </w:t>
      </w:r>
      <w:r w:rsidR="004C519C" w:rsidRPr="00252576">
        <w:t xml:space="preserve">their </w:t>
      </w:r>
      <w:r w:rsidRPr="00252576">
        <w:t>clinical requirements.  If I can only positively place 'x' number of students in facilities, then I can only admit the same number of students</w:t>
      </w:r>
      <w:r w:rsidR="00C611E5" w:rsidRPr="00252576">
        <w:t xml:space="preserve"> to the program's cohort</w:t>
      </w:r>
      <w:r w:rsidRPr="00252576">
        <w:t xml:space="preserve">.  </w:t>
      </w:r>
    </w:p>
    <w:p w:rsidR="004F0F7F" w:rsidRPr="00252576" w:rsidRDefault="004F0F7F" w:rsidP="001D3E1D"/>
    <w:p w:rsidR="004C519C" w:rsidRPr="00252576" w:rsidRDefault="00C02186" w:rsidP="001D3E1D">
      <w:r w:rsidRPr="00252576">
        <w:t xml:space="preserve">Second, </w:t>
      </w:r>
      <w:r w:rsidR="004C519C" w:rsidRPr="00252576">
        <w:t>with empty hospital beds, hospital administrators have decreased hiring.  One of the main outcomes of my program is positive job placement. It would be unfair to admit, educate, and graduate students without a good prospect of the graduate find</w:t>
      </w:r>
      <w:r w:rsidR="00C611E5" w:rsidRPr="00252576">
        <w:t>ing</w:t>
      </w:r>
      <w:r w:rsidR="004C519C" w:rsidRPr="00252576">
        <w:t xml:space="preserve"> employment.  </w:t>
      </w:r>
    </w:p>
    <w:p w:rsidR="004F0F7F" w:rsidRPr="00252576" w:rsidRDefault="004F0F7F" w:rsidP="001D3E1D"/>
    <w:p w:rsidR="004F0F7F" w:rsidRPr="00252576" w:rsidRDefault="004F0F7F" w:rsidP="001D3E1D">
      <w:r w:rsidRPr="00252576">
        <w:t xml:space="preserve">Third, with hospital budgets tight, administrators continue to seek applicants with experience.  This results in many good graduates being overlooked as new prospective employees. </w:t>
      </w:r>
    </w:p>
    <w:p w:rsidR="004C519C" w:rsidRPr="00252576" w:rsidRDefault="004C519C" w:rsidP="001D3E1D"/>
    <w:p w:rsidR="00294780" w:rsidRPr="00252576" w:rsidRDefault="004F0F7F" w:rsidP="001D3E1D">
      <w:r w:rsidRPr="00252576">
        <w:rPr>
          <w:b/>
        </w:rPr>
        <w:t>Actions</w:t>
      </w:r>
      <w:r w:rsidR="00294780" w:rsidRPr="00252576">
        <w:rPr>
          <w:b/>
        </w:rPr>
        <w:t xml:space="preserve"> / Strategies</w:t>
      </w:r>
      <w:r w:rsidRPr="00252576">
        <w:rPr>
          <w:b/>
        </w:rPr>
        <w:t>:</w:t>
      </w:r>
      <w:r w:rsidRPr="00252576">
        <w:t xml:space="preserve">  The student demand for the program remains strong. </w:t>
      </w:r>
      <w:r w:rsidR="00294780" w:rsidRPr="00252576">
        <w:t xml:space="preserve"> We continue to monitor market demand, the factors influencing clinical / job placement, and admit accordingly.  </w:t>
      </w:r>
    </w:p>
    <w:p w:rsidR="00294780" w:rsidRPr="00252576" w:rsidRDefault="00294780" w:rsidP="001D3E1D"/>
    <w:p w:rsidR="00294780" w:rsidRPr="00252576" w:rsidRDefault="00294780" w:rsidP="001D3E1D">
      <w:r w:rsidRPr="00252576">
        <w:t xml:space="preserve">One strategy used to improve job placement is to continue to educate hospital administrators responsible for hiring new employees. Many administrators consider our graduates as inexperienced and look for the candidate with experience.  We educate </w:t>
      </w:r>
      <w:r w:rsidR="00A82BCC" w:rsidRPr="00252576">
        <w:t xml:space="preserve">hospital administrators about the benefits of hiring our graduates. </w:t>
      </w:r>
    </w:p>
    <w:p w:rsidR="00A82BCC" w:rsidRPr="00252576" w:rsidRDefault="00A82BCC" w:rsidP="001D3E1D"/>
    <w:p w:rsidR="00A82BCC" w:rsidRPr="00252576" w:rsidRDefault="00A82BCC" w:rsidP="001D3E1D">
      <w:r w:rsidRPr="00252576">
        <w:t>First, many of our graduates complete their last clinical at the facility they wish to gain employment.  This is a win/win for all if the administrators recognize the benefits.  Our students do have experience as they have spent the last 2 years in the clinical environment perfecting th</w:t>
      </w:r>
      <w:r w:rsidR="00B907D9" w:rsidRPr="00252576">
        <w:t>eir skills.  The student is</w:t>
      </w:r>
      <w:r w:rsidRPr="00252576">
        <w:t xml:space="preserve"> familiar with the facility, the staff, the surgeons, the operations, and the policies</w:t>
      </w:r>
      <w:r w:rsidR="00F05E0F" w:rsidRPr="00252576">
        <w:t xml:space="preserve"> of the facility</w:t>
      </w:r>
      <w:r w:rsidRPr="00252576">
        <w:t>.  Orientation time of a graduate can be reduced drastically from the standard 6-9 months to 2-3 months, depending on the size of the facility</w:t>
      </w:r>
      <w:r w:rsidR="00B907D9" w:rsidRPr="00252576">
        <w:t>,</w:t>
      </w:r>
      <w:r w:rsidR="00F05E0F" w:rsidRPr="00252576">
        <w:t xml:space="preserve"> saving the department and institution the high, absorbent costs of orientation</w:t>
      </w:r>
      <w:r w:rsidRPr="00252576">
        <w:t>.</w:t>
      </w:r>
      <w:r w:rsidR="00F05E0F" w:rsidRPr="00252576">
        <w:t xml:space="preserve">  </w:t>
      </w:r>
    </w:p>
    <w:p w:rsidR="00F05E0F" w:rsidRPr="00252576" w:rsidRDefault="00F05E0F" w:rsidP="001D3E1D"/>
    <w:p w:rsidR="00F05E0F" w:rsidRPr="00252576" w:rsidRDefault="00F05E0F" w:rsidP="001D3E1D">
      <w:r w:rsidRPr="00252576">
        <w:t xml:space="preserve">Second, bringing on our graduates as new hires, the staff and administrators have already seen their abilities, and more importantly, the student's attitude and work ethic.  It has become important to remind the administrators that our graduates have solid, basic skills that can easily be increased.  In addition, an employee with a great attitude and work ethic is better for the organization than an experienced new hire with a poor </w:t>
      </w:r>
      <w:r w:rsidR="007A2EC8" w:rsidRPr="00252576">
        <w:t>attitude and work ethic.</w:t>
      </w:r>
      <w:r w:rsidR="00B907D9" w:rsidRPr="00252576">
        <w:t xml:space="preserve">  </w:t>
      </w:r>
    </w:p>
    <w:p w:rsidR="00B907D9" w:rsidRPr="00252576" w:rsidRDefault="00B907D9" w:rsidP="001D3E1D"/>
    <w:p w:rsidR="00EE4E34" w:rsidRPr="00EE4E34" w:rsidRDefault="00B907D9" w:rsidP="001D3E1D">
      <w:r w:rsidRPr="00252576">
        <w:t>Emphasis on building relationships and education of the hospital administrators continues to be a strategy that works for the program.</w:t>
      </w:r>
      <w:r w:rsidR="00EE4E34" w:rsidRPr="00252576">
        <w:t xml:space="preserve"> </w:t>
      </w:r>
      <w:r w:rsidR="00EE4E34" w:rsidRPr="00252576">
        <w:rPr>
          <w:rFonts w:ascii="Arial" w:hAnsi="Arial" w:cs="Arial"/>
          <w:color w:val="000000" w:themeColor="text1"/>
        </w:rPr>
        <w:fldChar w:fldCharType="end"/>
      </w:r>
    </w:p>
    <w:p w:rsidR="00EE4E34" w:rsidRDefault="00EE4E34">
      <w:pPr>
        <w:spacing w:after="200" w:line="276" w:lineRule="auto"/>
        <w:rPr>
          <w:rFonts w:ascii="Arial" w:hAnsi="Arial" w:cs="Arial"/>
          <w:color w:val="000000" w:themeColor="text1"/>
        </w:rPr>
      </w:pPr>
      <w:r>
        <w:rPr>
          <w:rFonts w:ascii="Arial" w:hAnsi="Arial" w:cs="Arial"/>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173752" w:rsidP="00585766">
      <w:pPr>
        <w:rPr>
          <w:rFonts w:ascii="Arial" w:hAnsi="Arial" w:cs="Arial"/>
          <w:color w:val="000000" w:themeColor="text1"/>
        </w:rPr>
      </w:pPr>
      <w:r>
        <w:rPr>
          <w:noProof/>
        </w:rPr>
        <w:drawing>
          <wp:inline distT="0" distB="0" distL="0" distR="0" wp14:anchorId="11DF21D1" wp14:editId="6749BD19">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440C4A">
      <w:pPr>
        <w:rPr>
          <w:rFonts w:ascii="Arial" w:hAnsi="Arial" w:cs="Arial"/>
          <w:color w:val="000000" w:themeColor="text1"/>
        </w:rPr>
      </w:pPr>
    </w:p>
    <w:p w:rsidR="004B6F71" w:rsidRDefault="00037152" w:rsidP="00440C4A">
      <w:r>
        <w:rPr>
          <w:rFonts w:ascii="Arial" w:hAnsi="Arial" w:cs="Arial"/>
          <w:color w:val="000000" w:themeColor="text1"/>
        </w:rPr>
        <w:fldChar w:fldCharType="begin">
          <w:ffData>
            <w:name w:val=""/>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C258E">
        <w:t xml:space="preserve">The department success rates </w:t>
      </w:r>
      <w:r w:rsidR="004B6F71">
        <w:t xml:space="preserve">look encouraging but are </w:t>
      </w:r>
      <w:r w:rsidR="00E706AE">
        <w:t xml:space="preserve">5% </w:t>
      </w:r>
      <w:r w:rsidR="004B6F71">
        <w:t>lower than in years past.  When looking at the data,</w:t>
      </w:r>
      <w:r w:rsidR="00163B76">
        <w:t xml:space="preserve"> it appears</w:t>
      </w:r>
      <w:r w:rsidR="004B6F71">
        <w:t xml:space="preserve"> data is missing from 2 courses that most likely </w:t>
      </w:r>
      <w:r w:rsidR="00E706AE">
        <w:t>would show</w:t>
      </w:r>
      <w:r w:rsidR="004B6F71">
        <w:t xml:space="preserve"> a </w:t>
      </w:r>
      <w:r w:rsidR="00163B76">
        <w:t>high</w:t>
      </w:r>
      <w:r w:rsidR="004B6F71">
        <w:t xml:space="preserve"> success rate.  These two courses are: SUT 1120 and SUT 2110.  This could account for the 5% drop in the success rate.  </w:t>
      </w:r>
    </w:p>
    <w:p w:rsidR="004B6F71" w:rsidRDefault="004B6F71" w:rsidP="00440C4A"/>
    <w:p w:rsidR="00B11FBB" w:rsidRDefault="004B6F71" w:rsidP="00440C4A">
      <w:r>
        <w:t>It is typical to see lower success rates in the first two course</w:t>
      </w:r>
      <w:r w:rsidR="00E706AE">
        <w:t>s</w:t>
      </w:r>
      <w:r>
        <w:t xml:space="preserve"> of our program</w:t>
      </w:r>
      <w:r w:rsidR="00E706AE">
        <w:t>, which the data in Appendix A illustrates.</w:t>
      </w:r>
      <w:r>
        <w:t xml:space="preserve">  These courses</w:t>
      </w:r>
      <w:r w:rsidR="00E706AE">
        <w:t>, SUT 1110 and SUT 1120,</w:t>
      </w:r>
      <w:r>
        <w:t xml:space="preserve"> are designed to educate the student wholly about the professional and to instill basic, but critical skills needed for program completion. </w:t>
      </w:r>
      <w:r w:rsidR="00E706AE">
        <w:t xml:space="preserve"> Once the student completes these two courses, the rate of retention is high.</w:t>
      </w:r>
    </w:p>
    <w:p w:rsidR="00B11FBB" w:rsidRDefault="00B11FBB" w:rsidP="00440C4A"/>
    <w:p w:rsidR="00B11FBB" w:rsidRDefault="00B11FBB" w:rsidP="00440C4A"/>
    <w:p w:rsidR="00B11FBB" w:rsidRDefault="00B11FBB" w:rsidP="00440C4A"/>
    <w:p w:rsidR="00B11FBB" w:rsidRDefault="00B11FBB" w:rsidP="00440C4A"/>
    <w:p w:rsidR="00B11FBB" w:rsidRDefault="00B11FBB" w:rsidP="00440C4A"/>
    <w:p w:rsidR="00B11FBB" w:rsidRDefault="00B11FBB" w:rsidP="00440C4A"/>
    <w:p w:rsidR="00037152" w:rsidRDefault="00E706AE" w:rsidP="00440C4A">
      <w:pPr>
        <w:rPr>
          <w:rFonts w:ascii="Arial" w:hAnsi="Arial" w:cs="Arial"/>
          <w:color w:val="000000" w:themeColor="text1"/>
        </w:rPr>
      </w:pPr>
      <w:r>
        <w:t xml:space="preserve"> </w:t>
      </w:r>
      <w:r w:rsidR="004B6F71">
        <w:t xml:space="preserve"> </w:t>
      </w:r>
      <w:r w:rsidR="00037152">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tbl>
      <w:tblPr>
        <w:tblpPr w:leftFromText="180" w:rightFromText="180" w:vertAnchor="text" w:horzAnchor="margin" w:tblpY="582"/>
        <w:tblW w:w="10098" w:type="dxa"/>
        <w:tblLook w:val="04A0" w:firstRow="1" w:lastRow="0" w:firstColumn="1" w:lastColumn="0" w:noHBand="0" w:noVBand="1"/>
      </w:tblPr>
      <w:tblGrid>
        <w:gridCol w:w="2441"/>
        <w:gridCol w:w="629"/>
        <w:gridCol w:w="629"/>
        <w:gridCol w:w="629"/>
        <w:gridCol w:w="629"/>
        <w:gridCol w:w="629"/>
        <w:gridCol w:w="629"/>
        <w:gridCol w:w="629"/>
        <w:gridCol w:w="629"/>
        <w:gridCol w:w="629"/>
        <w:gridCol w:w="626"/>
        <w:gridCol w:w="626"/>
        <w:gridCol w:w="744"/>
      </w:tblGrid>
      <w:tr w:rsidR="00754927" w:rsidRPr="00547E82" w:rsidTr="00754927">
        <w:trPr>
          <w:trHeight w:val="300"/>
        </w:trPr>
        <w:tc>
          <w:tcPr>
            <w:tcW w:w="244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754927" w:rsidRDefault="00754927" w:rsidP="00754927">
            <w:pPr>
              <w:rPr>
                <w:rFonts w:ascii="Arial" w:hAnsi="Arial" w:cs="Arial"/>
                <w:b/>
                <w:color w:val="000000"/>
                <w:sz w:val="16"/>
                <w:szCs w:val="16"/>
              </w:rPr>
            </w:pPr>
            <w:r w:rsidRPr="00547E82">
              <w:rPr>
                <w:rFonts w:ascii="Arial" w:hAnsi="Arial" w:cs="Arial"/>
                <w:color w:val="000000"/>
                <w:sz w:val="16"/>
                <w:szCs w:val="16"/>
              </w:rPr>
              <w:t> </w:t>
            </w:r>
            <w:r w:rsidRPr="00547E82">
              <w:rPr>
                <w:rFonts w:ascii="Arial" w:hAnsi="Arial" w:cs="Arial"/>
                <w:b/>
                <w:color w:val="000000"/>
                <w:sz w:val="16"/>
                <w:szCs w:val="16"/>
              </w:rPr>
              <w:t>Program Outcome Measures</w:t>
            </w:r>
          </w:p>
          <w:p w:rsidR="00754927" w:rsidRPr="00547E82" w:rsidRDefault="00754927" w:rsidP="00754927">
            <w:pPr>
              <w:jc w:val="center"/>
              <w:rPr>
                <w:rFonts w:ascii="Arial" w:hAnsi="Arial" w:cs="Arial"/>
                <w:b/>
                <w:color w:val="000000"/>
                <w:sz w:val="16"/>
                <w:szCs w:val="16"/>
              </w:rPr>
            </w:pPr>
            <w:r>
              <w:rPr>
                <w:rFonts w:ascii="Arial" w:hAnsi="Arial" w:cs="Arial"/>
                <w:b/>
                <w:color w:val="000000"/>
                <w:sz w:val="16"/>
                <w:szCs w:val="16"/>
              </w:rPr>
              <w:t>(benchmark%)</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color w:val="000000"/>
                <w:sz w:val="16"/>
                <w:szCs w:val="16"/>
              </w:rPr>
            </w:pPr>
            <w:r w:rsidRPr="00547E82">
              <w:rPr>
                <w:rFonts w:ascii="Arial" w:hAnsi="Arial" w:cs="Arial"/>
                <w:b/>
                <w:bCs/>
                <w:color w:val="000000"/>
                <w:sz w:val="16"/>
                <w:szCs w:val="16"/>
              </w:rPr>
              <w:t>2002</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color w:val="000000"/>
                <w:sz w:val="16"/>
                <w:szCs w:val="16"/>
              </w:rPr>
            </w:pPr>
            <w:r w:rsidRPr="00547E82">
              <w:rPr>
                <w:rFonts w:ascii="Arial" w:hAnsi="Arial" w:cs="Arial"/>
                <w:b/>
                <w:bCs/>
                <w:color w:val="000000"/>
                <w:sz w:val="16"/>
                <w:szCs w:val="16"/>
              </w:rPr>
              <w:t>2003</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color w:val="000000"/>
                <w:sz w:val="16"/>
                <w:szCs w:val="16"/>
              </w:rPr>
            </w:pPr>
            <w:r w:rsidRPr="00547E82">
              <w:rPr>
                <w:rFonts w:ascii="Arial" w:hAnsi="Arial" w:cs="Arial"/>
                <w:b/>
                <w:bCs/>
                <w:color w:val="000000"/>
                <w:sz w:val="16"/>
                <w:szCs w:val="16"/>
              </w:rPr>
              <w:t>2004</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color w:val="000000"/>
                <w:sz w:val="16"/>
                <w:szCs w:val="16"/>
              </w:rPr>
            </w:pPr>
            <w:r w:rsidRPr="00547E82">
              <w:rPr>
                <w:rFonts w:ascii="Arial" w:hAnsi="Arial" w:cs="Arial"/>
                <w:b/>
                <w:bCs/>
                <w:color w:val="000000"/>
                <w:sz w:val="16"/>
                <w:szCs w:val="16"/>
              </w:rPr>
              <w:t>2005</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2006</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2007</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2008</w:t>
            </w:r>
          </w:p>
        </w:tc>
        <w:tc>
          <w:tcPr>
            <w:tcW w:w="629"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2009</w:t>
            </w:r>
          </w:p>
        </w:tc>
        <w:tc>
          <w:tcPr>
            <w:tcW w:w="629"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2010</w:t>
            </w:r>
          </w:p>
        </w:tc>
        <w:tc>
          <w:tcPr>
            <w:tcW w:w="626" w:type="dxa"/>
            <w:tcBorders>
              <w:top w:val="single" w:sz="8" w:space="0" w:color="auto"/>
              <w:left w:val="nil"/>
              <w:bottom w:val="single" w:sz="4" w:space="0" w:color="auto"/>
              <w:right w:val="single" w:sz="8" w:space="0" w:color="auto"/>
            </w:tcBorders>
            <w:shd w:val="clear" w:color="auto" w:fill="D9D9D9" w:themeFill="background1" w:themeFillShade="D9"/>
            <w:vAlign w:val="bottom"/>
          </w:tcPr>
          <w:p w:rsidR="00754927" w:rsidRPr="00547E82" w:rsidRDefault="00754927" w:rsidP="00754927">
            <w:pPr>
              <w:jc w:val="right"/>
              <w:rPr>
                <w:rFonts w:ascii="Arial" w:hAnsi="Arial" w:cs="Arial"/>
                <w:b/>
                <w:bCs/>
                <w:sz w:val="16"/>
                <w:szCs w:val="16"/>
              </w:rPr>
            </w:pPr>
          </w:p>
          <w:p w:rsidR="00754927" w:rsidRPr="00547E82" w:rsidRDefault="00754927" w:rsidP="00754927">
            <w:pPr>
              <w:jc w:val="right"/>
              <w:rPr>
                <w:rFonts w:ascii="Arial" w:hAnsi="Arial" w:cs="Arial"/>
                <w:b/>
                <w:bCs/>
                <w:sz w:val="16"/>
                <w:szCs w:val="16"/>
              </w:rPr>
            </w:pPr>
            <w:r w:rsidRPr="00547E82">
              <w:rPr>
                <w:rFonts w:ascii="Arial" w:hAnsi="Arial" w:cs="Arial"/>
                <w:b/>
                <w:bCs/>
                <w:sz w:val="16"/>
                <w:szCs w:val="16"/>
              </w:rPr>
              <w:t>2011</w:t>
            </w:r>
          </w:p>
        </w:tc>
        <w:tc>
          <w:tcPr>
            <w:tcW w:w="626" w:type="dxa"/>
            <w:tcBorders>
              <w:top w:val="single" w:sz="8" w:space="0" w:color="auto"/>
              <w:left w:val="nil"/>
              <w:bottom w:val="single" w:sz="4" w:space="0" w:color="auto"/>
              <w:right w:val="single" w:sz="8" w:space="0" w:color="auto"/>
            </w:tcBorders>
            <w:shd w:val="clear" w:color="auto" w:fill="D9D9D9" w:themeFill="background1" w:themeFillShade="D9"/>
          </w:tcPr>
          <w:p w:rsidR="00754927" w:rsidRDefault="00754927" w:rsidP="00754927">
            <w:pPr>
              <w:jc w:val="right"/>
              <w:rPr>
                <w:rFonts w:ascii="Arial" w:hAnsi="Arial" w:cs="Arial"/>
                <w:b/>
                <w:bCs/>
                <w:sz w:val="16"/>
                <w:szCs w:val="16"/>
              </w:rPr>
            </w:pPr>
          </w:p>
          <w:p w:rsidR="00754927" w:rsidRPr="00547E82" w:rsidRDefault="00754927" w:rsidP="00754927">
            <w:pPr>
              <w:jc w:val="right"/>
              <w:rPr>
                <w:rFonts w:ascii="Arial" w:hAnsi="Arial" w:cs="Arial"/>
                <w:b/>
                <w:bCs/>
                <w:sz w:val="16"/>
                <w:szCs w:val="16"/>
              </w:rPr>
            </w:pPr>
            <w:r>
              <w:rPr>
                <w:rFonts w:ascii="Arial" w:hAnsi="Arial" w:cs="Arial"/>
                <w:b/>
                <w:bCs/>
                <w:sz w:val="16"/>
                <w:szCs w:val="16"/>
              </w:rPr>
              <w:t>2012</w:t>
            </w:r>
          </w:p>
        </w:tc>
        <w:tc>
          <w:tcPr>
            <w:tcW w:w="744" w:type="dxa"/>
            <w:tcBorders>
              <w:top w:val="single" w:sz="8" w:space="0" w:color="auto"/>
              <w:left w:val="nil"/>
              <w:bottom w:val="single" w:sz="4" w:space="0" w:color="auto"/>
              <w:right w:val="single" w:sz="8" w:space="0" w:color="auto"/>
            </w:tcBorders>
            <w:shd w:val="clear" w:color="auto" w:fill="D9D9D9" w:themeFill="background1" w:themeFillShade="D9"/>
          </w:tcPr>
          <w:p w:rsidR="00754927" w:rsidRDefault="00754927" w:rsidP="00754927">
            <w:pPr>
              <w:jc w:val="right"/>
              <w:rPr>
                <w:rFonts w:ascii="Arial" w:hAnsi="Arial" w:cs="Arial"/>
                <w:b/>
                <w:bCs/>
                <w:sz w:val="16"/>
                <w:szCs w:val="16"/>
              </w:rPr>
            </w:pPr>
          </w:p>
          <w:p w:rsidR="00754927" w:rsidRDefault="00754927" w:rsidP="00754927">
            <w:pPr>
              <w:jc w:val="right"/>
              <w:rPr>
                <w:rFonts w:ascii="Arial" w:hAnsi="Arial" w:cs="Arial"/>
                <w:b/>
                <w:bCs/>
                <w:sz w:val="16"/>
                <w:szCs w:val="16"/>
              </w:rPr>
            </w:pPr>
            <w:r>
              <w:rPr>
                <w:rFonts w:ascii="Arial" w:hAnsi="Arial" w:cs="Arial"/>
                <w:b/>
                <w:bCs/>
                <w:sz w:val="16"/>
                <w:szCs w:val="16"/>
              </w:rPr>
              <w:t>2013</w:t>
            </w:r>
          </w:p>
        </w:tc>
      </w:tr>
      <w:tr w:rsidR="00754927" w:rsidRPr="00547E82" w:rsidTr="00754927">
        <w:trPr>
          <w:trHeight w:val="300"/>
        </w:trPr>
        <w:tc>
          <w:tcPr>
            <w:tcW w:w="2441" w:type="dxa"/>
            <w:tcBorders>
              <w:top w:val="nil"/>
              <w:left w:val="single" w:sz="8" w:space="0" w:color="auto"/>
              <w:bottom w:val="single" w:sz="4" w:space="0" w:color="auto"/>
              <w:right w:val="single" w:sz="4" w:space="0" w:color="auto"/>
            </w:tcBorders>
            <w:shd w:val="clear" w:color="auto" w:fill="auto"/>
            <w:noWrap/>
            <w:vAlign w:val="bottom"/>
            <w:hideMark/>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Retention Rate (70%)</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79%</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88%</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71%</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FF0000"/>
                <w:sz w:val="16"/>
                <w:szCs w:val="16"/>
              </w:rPr>
            </w:pPr>
            <w:r w:rsidRPr="00547E82">
              <w:rPr>
                <w:rFonts w:ascii="Arial" w:hAnsi="Arial" w:cs="Arial"/>
                <w:color w:val="FF0000"/>
                <w:sz w:val="16"/>
                <w:szCs w:val="16"/>
              </w:rPr>
              <w:t>65%</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70%</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70%</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FF0000"/>
                <w:sz w:val="16"/>
                <w:szCs w:val="16"/>
              </w:rPr>
            </w:pPr>
            <w:r w:rsidRPr="00547E82">
              <w:rPr>
                <w:rFonts w:ascii="Arial" w:hAnsi="Arial" w:cs="Arial"/>
                <w:color w:val="FF0000"/>
                <w:sz w:val="16"/>
                <w:szCs w:val="16"/>
              </w:rPr>
              <w:t>63%</w:t>
            </w:r>
          </w:p>
        </w:tc>
        <w:tc>
          <w:tcPr>
            <w:tcW w:w="629" w:type="dxa"/>
            <w:tcBorders>
              <w:top w:val="nil"/>
              <w:left w:val="nil"/>
              <w:bottom w:val="single" w:sz="4" w:space="0" w:color="auto"/>
              <w:right w:val="single" w:sz="4"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85%</w:t>
            </w:r>
          </w:p>
        </w:tc>
        <w:tc>
          <w:tcPr>
            <w:tcW w:w="629" w:type="dxa"/>
            <w:tcBorders>
              <w:top w:val="nil"/>
              <w:left w:val="nil"/>
              <w:bottom w:val="single" w:sz="4" w:space="0" w:color="auto"/>
              <w:right w:val="single" w:sz="8" w:space="0" w:color="auto"/>
            </w:tcBorders>
            <w:shd w:val="clear" w:color="auto" w:fill="auto"/>
            <w:noWrap/>
            <w:vAlign w:val="bottom"/>
            <w:hideMark/>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85%</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88%</w:t>
            </w:r>
          </w:p>
        </w:tc>
        <w:tc>
          <w:tcPr>
            <w:tcW w:w="626"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Pr="00547E82" w:rsidRDefault="00754927" w:rsidP="00754927">
            <w:pPr>
              <w:jc w:val="right"/>
              <w:rPr>
                <w:rFonts w:ascii="Arial" w:hAnsi="Arial" w:cs="Arial"/>
                <w:color w:val="000000"/>
                <w:sz w:val="16"/>
                <w:szCs w:val="16"/>
              </w:rPr>
            </w:pPr>
            <w:r>
              <w:rPr>
                <w:rFonts w:ascii="Arial" w:hAnsi="Arial" w:cs="Arial"/>
                <w:color w:val="000000"/>
                <w:sz w:val="16"/>
                <w:szCs w:val="16"/>
              </w:rPr>
              <w:t>79%</w:t>
            </w:r>
          </w:p>
        </w:tc>
        <w:tc>
          <w:tcPr>
            <w:tcW w:w="744"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Default="00754927" w:rsidP="00754927">
            <w:pPr>
              <w:jc w:val="right"/>
              <w:rPr>
                <w:rFonts w:ascii="Arial" w:hAnsi="Arial" w:cs="Arial"/>
                <w:color w:val="000000"/>
                <w:sz w:val="16"/>
                <w:szCs w:val="16"/>
              </w:rPr>
            </w:pPr>
            <w:r>
              <w:rPr>
                <w:rFonts w:ascii="Arial" w:hAnsi="Arial" w:cs="Arial"/>
                <w:color w:val="000000"/>
                <w:sz w:val="16"/>
                <w:szCs w:val="16"/>
              </w:rPr>
              <w:t>81%</w:t>
            </w:r>
          </w:p>
        </w:tc>
      </w:tr>
      <w:tr w:rsidR="00754927" w:rsidRPr="00547E82" w:rsidTr="00754927">
        <w:trPr>
          <w:trHeight w:val="300"/>
        </w:trPr>
        <w:tc>
          <w:tcPr>
            <w:tcW w:w="2441" w:type="dxa"/>
            <w:tcBorders>
              <w:top w:val="nil"/>
              <w:left w:val="single" w:sz="8" w:space="0" w:color="auto"/>
              <w:bottom w:val="single" w:sz="4" w:space="0" w:color="auto"/>
              <w:right w:val="single" w:sz="4" w:space="0" w:color="auto"/>
            </w:tcBorders>
            <w:shd w:val="clear" w:color="auto" w:fill="auto"/>
            <w:noWrap/>
            <w:vAlign w:val="bottom"/>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Job Placement Rate (80%)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88%</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92%</w:t>
            </w:r>
          </w:p>
        </w:tc>
        <w:tc>
          <w:tcPr>
            <w:tcW w:w="629" w:type="dxa"/>
            <w:tcBorders>
              <w:top w:val="nil"/>
              <w:left w:val="nil"/>
              <w:bottom w:val="single" w:sz="4" w:space="0" w:color="auto"/>
              <w:right w:val="single" w:sz="4" w:space="0" w:color="auto"/>
            </w:tcBorders>
            <w:shd w:val="clear" w:color="auto" w:fill="auto"/>
            <w:noWrap/>
            <w:vAlign w:val="bottom"/>
          </w:tcPr>
          <w:p w:rsidR="00754927" w:rsidRPr="00887AE1" w:rsidRDefault="00754927" w:rsidP="00754927">
            <w:pPr>
              <w:jc w:val="right"/>
              <w:rPr>
                <w:rFonts w:ascii="Arial" w:hAnsi="Arial" w:cs="Arial"/>
                <w:sz w:val="16"/>
                <w:szCs w:val="16"/>
              </w:rPr>
            </w:pPr>
            <w:r w:rsidRPr="00887AE1">
              <w:rPr>
                <w:rFonts w:ascii="Arial" w:hAnsi="Arial" w:cs="Arial"/>
                <w:sz w:val="16"/>
                <w:szCs w:val="16"/>
              </w:rPr>
              <w:t>94%</w:t>
            </w:r>
          </w:p>
        </w:tc>
        <w:tc>
          <w:tcPr>
            <w:tcW w:w="629" w:type="dxa"/>
            <w:tcBorders>
              <w:top w:val="nil"/>
              <w:left w:val="nil"/>
              <w:bottom w:val="single" w:sz="4" w:space="0" w:color="auto"/>
              <w:right w:val="single" w:sz="8"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8</w:t>
            </w:r>
            <w:r>
              <w:rPr>
                <w:rFonts w:ascii="Arial" w:hAnsi="Arial" w:cs="Arial"/>
                <w:color w:val="000000"/>
                <w:sz w:val="16"/>
                <w:szCs w:val="16"/>
              </w:rPr>
              <w:t>8</w:t>
            </w:r>
            <w:r w:rsidRPr="00547E82">
              <w:rPr>
                <w:rFonts w:ascii="Arial" w:hAnsi="Arial" w:cs="Arial"/>
                <w:color w:val="000000"/>
                <w:sz w:val="16"/>
                <w:szCs w:val="16"/>
              </w:rPr>
              <w:t>%</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Pr>
                <w:rFonts w:ascii="Arial" w:hAnsi="Arial" w:cs="Arial"/>
                <w:color w:val="000000"/>
                <w:sz w:val="16"/>
                <w:szCs w:val="16"/>
              </w:rPr>
              <w:t>92</w:t>
            </w:r>
            <w:r w:rsidRPr="00547E82">
              <w:rPr>
                <w:rFonts w:ascii="Arial" w:hAnsi="Arial" w:cs="Arial"/>
                <w:color w:val="000000"/>
                <w:sz w:val="16"/>
                <w:szCs w:val="16"/>
              </w:rPr>
              <w:t>%</w:t>
            </w:r>
          </w:p>
        </w:tc>
        <w:tc>
          <w:tcPr>
            <w:tcW w:w="626"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Pr="000B1055" w:rsidRDefault="00754927" w:rsidP="00754927">
            <w:pPr>
              <w:jc w:val="right"/>
              <w:rPr>
                <w:rFonts w:ascii="Arial" w:hAnsi="Arial" w:cs="Arial"/>
                <w:color w:val="FF0000"/>
                <w:sz w:val="16"/>
                <w:szCs w:val="16"/>
              </w:rPr>
            </w:pPr>
            <w:r>
              <w:rPr>
                <w:rFonts w:ascii="Arial" w:hAnsi="Arial" w:cs="Arial"/>
                <w:color w:val="FF0000"/>
                <w:sz w:val="16"/>
                <w:szCs w:val="16"/>
              </w:rPr>
              <w:t>72</w:t>
            </w:r>
            <w:r w:rsidRPr="000B1055">
              <w:rPr>
                <w:rFonts w:ascii="Arial" w:hAnsi="Arial" w:cs="Arial"/>
                <w:color w:val="FF0000"/>
                <w:sz w:val="16"/>
                <w:szCs w:val="16"/>
              </w:rPr>
              <w:t>%</w:t>
            </w:r>
          </w:p>
        </w:tc>
        <w:tc>
          <w:tcPr>
            <w:tcW w:w="744"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Default="00754927" w:rsidP="00754927">
            <w:pPr>
              <w:jc w:val="right"/>
              <w:rPr>
                <w:rFonts w:ascii="Arial" w:hAnsi="Arial" w:cs="Arial"/>
                <w:color w:val="000000"/>
                <w:sz w:val="16"/>
                <w:szCs w:val="16"/>
              </w:rPr>
            </w:pPr>
            <w:r w:rsidRPr="00746A40">
              <w:rPr>
                <w:rFonts w:ascii="Arial" w:hAnsi="Arial" w:cs="Arial"/>
                <w:color w:val="FF0000"/>
                <w:sz w:val="16"/>
                <w:szCs w:val="16"/>
              </w:rPr>
              <w:t>75%</w:t>
            </w:r>
          </w:p>
        </w:tc>
      </w:tr>
      <w:tr w:rsidR="00754927" w:rsidRPr="00547E82" w:rsidTr="00754927">
        <w:trPr>
          <w:trHeight w:val="362"/>
        </w:trPr>
        <w:tc>
          <w:tcPr>
            <w:tcW w:w="2441" w:type="dxa"/>
            <w:tcBorders>
              <w:top w:val="nil"/>
              <w:left w:val="single" w:sz="8" w:space="0" w:color="auto"/>
              <w:bottom w:val="single" w:sz="4" w:space="0" w:color="auto"/>
              <w:right w:val="single" w:sz="4" w:space="0" w:color="auto"/>
            </w:tcBorders>
            <w:shd w:val="clear" w:color="auto" w:fill="auto"/>
            <w:noWrap/>
            <w:vAlign w:val="bottom"/>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PAE Pass Rate (100%)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FF0000"/>
                <w:sz w:val="16"/>
                <w:szCs w:val="16"/>
              </w:rPr>
            </w:pPr>
            <w:r w:rsidRPr="00547E82">
              <w:rPr>
                <w:rFonts w:ascii="Arial" w:hAnsi="Arial" w:cs="Arial"/>
                <w:color w:val="FF0000"/>
                <w:sz w:val="16"/>
                <w:szCs w:val="16"/>
              </w:rPr>
              <w:t>87%</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FF0000"/>
                <w:sz w:val="16"/>
                <w:szCs w:val="16"/>
              </w:rPr>
            </w:pPr>
            <w:r w:rsidRPr="00547E82">
              <w:rPr>
                <w:rFonts w:ascii="Arial" w:hAnsi="Arial" w:cs="Arial"/>
                <w:color w:val="FF0000"/>
                <w:sz w:val="16"/>
                <w:szCs w:val="16"/>
              </w:rPr>
              <w:t>94%</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FF0000"/>
                <w:sz w:val="16"/>
                <w:szCs w:val="16"/>
              </w:rPr>
            </w:pPr>
            <w:r w:rsidRPr="00547E82">
              <w:rPr>
                <w:rFonts w:ascii="Arial" w:hAnsi="Arial" w:cs="Arial"/>
                <w:color w:val="FF0000"/>
                <w:sz w:val="16"/>
                <w:szCs w:val="16"/>
              </w:rPr>
              <w:t>92%</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8"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--NA-</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--NA-</w:t>
            </w:r>
          </w:p>
        </w:tc>
        <w:tc>
          <w:tcPr>
            <w:tcW w:w="744"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Pr="00547E82" w:rsidRDefault="00754927" w:rsidP="00754927">
            <w:pPr>
              <w:jc w:val="right"/>
              <w:rPr>
                <w:rFonts w:ascii="Arial" w:hAnsi="Arial" w:cs="Arial"/>
                <w:color w:val="000000"/>
                <w:sz w:val="16"/>
                <w:szCs w:val="16"/>
              </w:rPr>
            </w:pPr>
            <w:r>
              <w:rPr>
                <w:rFonts w:ascii="Arial" w:hAnsi="Arial" w:cs="Arial"/>
                <w:color w:val="000000"/>
                <w:sz w:val="16"/>
                <w:szCs w:val="16"/>
              </w:rPr>
              <w:t>--NA--</w:t>
            </w:r>
          </w:p>
        </w:tc>
      </w:tr>
      <w:tr w:rsidR="00754927" w:rsidRPr="00547E82" w:rsidTr="00754927">
        <w:trPr>
          <w:trHeight w:val="300"/>
        </w:trPr>
        <w:tc>
          <w:tcPr>
            <w:tcW w:w="2441" w:type="dxa"/>
            <w:tcBorders>
              <w:top w:val="nil"/>
              <w:left w:val="single" w:sz="8" w:space="0" w:color="auto"/>
              <w:bottom w:val="single" w:sz="4" w:space="0" w:color="auto"/>
              <w:right w:val="single" w:sz="4" w:space="0" w:color="auto"/>
            </w:tcBorders>
            <w:shd w:val="clear" w:color="auto" w:fill="auto"/>
            <w:noWrap/>
            <w:vAlign w:val="bottom"/>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CST Pass Rate (70%)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themeColor="text1"/>
                <w:sz w:val="16"/>
                <w:szCs w:val="16"/>
              </w:rPr>
            </w:pPr>
            <w:r w:rsidRPr="00547E82">
              <w:rPr>
                <w:rFonts w:ascii="Arial" w:hAnsi="Arial" w:cs="Arial"/>
                <w:color w:val="000000" w:themeColor="text1"/>
                <w:sz w:val="16"/>
                <w:szCs w:val="16"/>
              </w:rPr>
              <w:t>---</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themeColor="text1"/>
                <w:sz w:val="16"/>
                <w:szCs w:val="16"/>
              </w:rPr>
            </w:pPr>
            <w:r w:rsidRPr="00547E82">
              <w:rPr>
                <w:rFonts w:ascii="Arial" w:hAnsi="Arial" w:cs="Arial"/>
                <w:color w:val="000000" w:themeColor="text1"/>
                <w:sz w:val="16"/>
                <w:szCs w:val="16"/>
              </w:rPr>
              <w:t>---</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themeColor="text1"/>
                <w:sz w:val="16"/>
                <w:szCs w:val="16"/>
              </w:rPr>
            </w:pPr>
            <w:r w:rsidRPr="00547E82">
              <w:rPr>
                <w:rFonts w:ascii="Arial" w:hAnsi="Arial" w:cs="Arial"/>
                <w:color w:val="000000" w:themeColor="text1"/>
                <w:sz w:val="16"/>
                <w:szCs w:val="16"/>
              </w:rPr>
              <w:t>---</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themeColor="text1"/>
                <w:sz w:val="16"/>
                <w:szCs w:val="16"/>
              </w:rPr>
            </w:pPr>
            <w:r w:rsidRPr="00547E82">
              <w:rPr>
                <w:rFonts w:ascii="Arial" w:hAnsi="Arial" w:cs="Arial"/>
                <w:color w:val="000000" w:themeColor="text1"/>
                <w:sz w:val="16"/>
                <w:szCs w:val="16"/>
              </w:rPr>
              <w:t>---</w:t>
            </w:r>
          </w:p>
        </w:tc>
        <w:tc>
          <w:tcPr>
            <w:tcW w:w="629" w:type="dxa"/>
            <w:tcBorders>
              <w:top w:val="nil"/>
              <w:left w:val="nil"/>
              <w:bottom w:val="single" w:sz="4" w:space="0" w:color="auto"/>
              <w:right w:val="single" w:sz="4" w:space="0" w:color="auto"/>
            </w:tcBorders>
            <w:shd w:val="clear" w:color="auto" w:fill="auto"/>
            <w:noWrap/>
            <w:vAlign w:val="bottom"/>
          </w:tcPr>
          <w:p w:rsidR="00754927" w:rsidRPr="00A43B45" w:rsidRDefault="00754927" w:rsidP="00754927">
            <w:pPr>
              <w:jc w:val="right"/>
              <w:rPr>
                <w:rFonts w:ascii="Arial" w:hAnsi="Arial" w:cs="Arial"/>
                <w:color w:val="4F81BD" w:themeColor="accent1"/>
                <w:sz w:val="16"/>
                <w:szCs w:val="16"/>
              </w:rPr>
            </w:pPr>
            <w:r w:rsidRPr="00A43B45">
              <w:rPr>
                <w:rFonts w:ascii="Arial" w:hAnsi="Arial" w:cs="Arial"/>
                <w:color w:val="4F81BD" w:themeColor="accent1"/>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A43B45" w:rsidRDefault="00754927" w:rsidP="00754927">
            <w:pPr>
              <w:jc w:val="right"/>
              <w:rPr>
                <w:rFonts w:ascii="Arial" w:hAnsi="Arial" w:cs="Arial"/>
                <w:color w:val="4F81BD" w:themeColor="accent1"/>
                <w:sz w:val="16"/>
                <w:szCs w:val="16"/>
              </w:rPr>
            </w:pPr>
            <w:r w:rsidRPr="00A43B45">
              <w:rPr>
                <w:rFonts w:ascii="Arial" w:hAnsi="Arial" w:cs="Arial"/>
                <w:color w:val="4F81BD" w:themeColor="accent1"/>
                <w:sz w:val="16"/>
                <w:szCs w:val="16"/>
              </w:rPr>
              <w:t>88%</w:t>
            </w:r>
          </w:p>
        </w:tc>
        <w:tc>
          <w:tcPr>
            <w:tcW w:w="629" w:type="dxa"/>
            <w:tcBorders>
              <w:top w:val="nil"/>
              <w:left w:val="nil"/>
              <w:bottom w:val="single" w:sz="4" w:space="0" w:color="auto"/>
              <w:right w:val="single" w:sz="4" w:space="0" w:color="auto"/>
            </w:tcBorders>
            <w:shd w:val="clear" w:color="auto" w:fill="auto"/>
            <w:noWrap/>
            <w:vAlign w:val="bottom"/>
          </w:tcPr>
          <w:p w:rsidR="00754927" w:rsidRPr="00A43B45" w:rsidRDefault="00754927" w:rsidP="00754927">
            <w:pPr>
              <w:jc w:val="right"/>
              <w:rPr>
                <w:rFonts w:ascii="Arial" w:hAnsi="Arial" w:cs="Arial"/>
                <w:color w:val="4F81BD" w:themeColor="accent1"/>
                <w:sz w:val="16"/>
                <w:szCs w:val="16"/>
              </w:rPr>
            </w:pPr>
            <w:r w:rsidRPr="00A43B45">
              <w:rPr>
                <w:rFonts w:ascii="Arial" w:hAnsi="Arial" w:cs="Arial"/>
                <w:color w:val="4F81BD" w:themeColor="accent1"/>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A43B45" w:rsidRDefault="00754927" w:rsidP="00754927">
            <w:pPr>
              <w:jc w:val="right"/>
              <w:rPr>
                <w:rFonts w:ascii="Arial" w:hAnsi="Arial" w:cs="Arial"/>
                <w:color w:val="4F81BD" w:themeColor="accent1"/>
                <w:sz w:val="16"/>
                <w:szCs w:val="16"/>
              </w:rPr>
            </w:pPr>
            <w:r w:rsidRPr="00A43B45">
              <w:rPr>
                <w:rFonts w:ascii="Arial" w:hAnsi="Arial" w:cs="Arial"/>
                <w:color w:val="4F81BD" w:themeColor="accent1"/>
                <w:sz w:val="16"/>
                <w:szCs w:val="16"/>
              </w:rPr>
              <w:t>89%</w:t>
            </w:r>
          </w:p>
        </w:tc>
        <w:tc>
          <w:tcPr>
            <w:tcW w:w="629" w:type="dxa"/>
            <w:tcBorders>
              <w:top w:val="nil"/>
              <w:left w:val="nil"/>
              <w:bottom w:val="single" w:sz="4" w:space="0" w:color="auto"/>
              <w:right w:val="single" w:sz="8" w:space="0" w:color="auto"/>
            </w:tcBorders>
            <w:shd w:val="clear" w:color="auto" w:fill="auto"/>
            <w:noWrap/>
            <w:vAlign w:val="bottom"/>
          </w:tcPr>
          <w:p w:rsidR="00754927" w:rsidRPr="00547E82" w:rsidRDefault="00754927" w:rsidP="00754927">
            <w:pPr>
              <w:jc w:val="right"/>
              <w:rPr>
                <w:rFonts w:ascii="Arial" w:hAnsi="Arial" w:cs="Arial"/>
                <w:color w:val="000000" w:themeColor="text1"/>
                <w:sz w:val="16"/>
                <w:szCs w:val="16"/>
              </w:rPr>
            </w:pPr>
            <w:r>
              <w:rPr>
                <w:rFonts w:ascii="Arial" w:hAnsi="Arial" w:cs="Arial"/>
                <w:color w:val="000000" w:themeColor="text1"/>
                <w:sz w:val="16"/>
                <w:szCs w:val="16"/>
              </w:rPr>
              <w:t>88%</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90%</w:t>
            </w:r>
          </w:p>
        </w:tc>
        <w:tc>
          <w:tcPr>
            <w:tcW w:w="626"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Pr="000B1055" w:rsidRDefault="00754927" w:rsidP="00754927">
            <w:pPr>
              <w:jc w:val="right"/>
              <w:rPr>
                <w:rFonts w:ascii="Arial" w:hAnsi="Arial" w:cs="Arial"/>
                <w:color w:val="FF0000"/>
                <w:sz w:val="16"/>
                <w:szCs w:val="16"/>
              </w:rPr>
            </w:pPr>
            <w:r w:rsidRPr="000B1055">
              <w:rPr>
                <w:rFonts w:ascii="Arial" w:hAnsi="Arial" w:cs="Arial"/>
                <w:color w:val="FF0000"/>
                <w:sz w:val="16"/>
                <w:szCs w:val="16"/>
              </w:rPr>
              <w:t>45%</w:t>
            </w:r>
          </w:p>
        </w:tc>
        <w:tc>
          <w:tcPr>
            <w:tcW w:w="744" w:type="dxa"/>
            <w:tcBorders>
              <w:top w:val="nil"/>
              <w:left w:val="nil"/>
              <w:bottom w:val="single" w:sz="4" w:space="0" w:color="auto"/>
              <w:right w:val="single" w:sz="8" w:space="0" w:color="auto"/>
            </w:tcBorders>
          </w:tcPr>
          <w:p w:rsidR="00754927" w:rsidRDefault="00754927" w:rsidP="00754927">
            <w:pPr>
              <w:jc w:val="right"/>
              <w:rPr>
                <w:rFonts w:ascii="Arial" w:hAnsi="Arial" w:cs="Arial"/>
                <w:color w:val="000000"/>
                <w:sz w:val="16"/>
                <w:szCs w:val="16"/>
              </w:rPr>
            </w:pPr>
          </w:p>
          <w:p w:rsidR="00754927" w:rsidRDefault="00754927" w:rsidP="00754927">
            <w:pPr>
              <w:jc w:val="right"/>
              <w:rPr>
                <w:rFonts w:ascii="Arial" w:hAnsi="Arial" w:cs="Arial"/>
                <w:color w:val="000000"/>
                <w:sz w:val="16"/>
                <w:szCs w:val="16"/>
              </w:rPr>
            </w:pPr>
            <w:r>
              <w:rPr>
                <w:rFonts w:ascii="Arial" w:hAnsi="Arial" w:cs="Arial"/>
                <w:color w:val="000000"/>
                <w:sz w:val="16"/>
                <w:szCs w:val="16"/>
              </w:rPr>
              <w:t>86%</w:t>
            </w:r>
          </w:p>
        </w:tc>
      </w:tr>
      <w:tr w:rsidR="00754927" w:rsidRPr="00547E82" w:rsidTr="00754927">
        <w:trPr>
          <w:trHeight w:val="425"/>
        </w:trPr>
        <w:tc>
          <w:tcPr>
            <w:tcW w:w="2441" w:type="dxa"/>
            <w:tcBorders>
              <w:top w:val="nil"/>
              <w:left w:val="single" w:sz="8" w:space="0" w:color="auto"/>
              <w:bottom w:val="single" w:sz="4" w:space="0" w:color="auto"/>
              <w:right w:val="single" w:sz="4" w:space="0" w:color="auto"/>
            </w:tcBorders>
            <w:shd w:val="clear" w:color="auto" w:fill="auto"/>
            <w:noWrap/>
            <w:vAlign w:val="bottom"/>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Student Satisfaction (85%)</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8"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744" w:type="dxa"/>
            <w:tcBorders>
              <w:top w:val="nil"/>
              <w:left w:val="nil"/>
              <w:bottom w:val="single" w:sz="4" w:space="0" w:color="auto"/>
              <w:right w:val="single" w:sz="8" w:space="0" w:color="auto"/>
            </w:tcBorders>
          </w:tcPr>
          <w:p w:rsidR="00754927" w:rsidRPr="008757CC" w:rsidRDefault="00754927" w:rsidP="00754927">
            <w:pPr>
              <w:jc w:val="center"/>
              <w:rPr>
                <w:rFonts w:ascii="Arial" w:hAnsi="Arial" w:cs="Arial"/>
                <w:color w:val="000000"/>
                <w:sz w:val="10"/>
                <w:szCs w:val="10"/>
              </w:rPr>
            </w:pPr>
            <w:r w:rsidRPr="008757CC">
              <w:rPr>
                <w:rFonts w:ascii="Arial" w:hAnsi="Arial" w:cs="Arial"/>
                <w:color w:val="000000"/>
                <w:sz w:val="10"/>
                <w:szCs w:val="10"/>
              </w:rPr>
              <w:t>Cannot be measured until Nov 2013</w:t>
            </w:r>
          </w:p>
        </w:tc>
      </w:tr>
      <w:tr w:rsidR="00754927" w:rsidRPr="00547E82" w:rsidTr="00754927">
        <w:trPr>
          <w:trHeight w:val="443"/>
        </w:trPr>
        <w:tc>
          <w:tcPr>
            <w:tcW w:w="2441" w:type="dxa"/>
            <w:tcBorders>
              <w:top w:val="nil"/>
              <w:left w:val="single" w:sz="8" w:space="0" w:color="auto"/>
              <w:bottom w:val="single" w:sz="4" w:space="0" w:color="auto"/>
              <w:right w:val="single" w:sz="4" w:space="0" w:color="auto"/>
            </w:tcBorders>
            <w:shd w:val="clear" w:color="auto" w:fill="auto"/>
            <w:noWrap/>
            <w:vAlign w:val="bottom"/>
          </w:tcPr>
          <w:p w:rsidR="00754927" w:rsidRPr="00547E82" w:rsidRDefault="00754927" w:rsidP="00754927">
            <w:pPr>
              <w:rPr>
                <w:rFonts w:ascii="Arial" w:hAnsi="Arial" w:cs="Arial"/>
                <w:color w:val="000000"/>
                <w:sz w:val="16"/>
                <w:szCs w:val="16"/>
              </w:rPr>
            </w:pPr>
            <w:r w:rsidRPr="00547E82">
              <w:rPr>
                <w:rFonts w:ascii="Arial" w:hAnsi="Arial" w:cs="Arial"/>
                <w:color w:val="000000"/>
                <w:sz w:val="16"/>
                <w:szCs w:val="16"/>
              </w:rPr>
              <w:t>Employer Satisfaction (85%)</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4"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9" w:type="dxa"/>
            <w:tcBorders>
              <w:top w:val="nil"/>
              <w:left w:val="nil"/>
              <w:bottom w:val="single" w:sz="4" w:space="0" w:color="auto"/>
              <w:right w:val="single" w:sz="8" w:space="0" w:color="auto"/>
            </w:tcBorders>
            <w:shd w:val="clear" w:color="auto" w:fill="auto"/>
            <w:noWrap/>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626" w:type="dxa"/>
            <w:tcBorders>
              <w:top w:val="nil"/>
              <w:left w:val="nil"/>
              <w:bottom w:val="single" w:sz="4" w:space="0" w:color="auto"/>
              <w:right w:val="single" w:sz="8" w:space="0" w:color="auto"/>
            </w:tcBorders>
            <w:vAlign w:val="bottom"/>
          </w:tcPr>
          <w:p w:rsidR="00754927" w:rsidRPr="00547E82" w:rsidRDefault="00754927" w:rsidP="00754927">
            <w:pPr>
              <w:jc w:val="right"/>
              <w:rPr>
                <w:rFonts w:ascii="Arial" w:hAnsi="Arial" w:cs="Arial"/>
                <w:color w:val="000000"/>
                <w:sz w:val="16"/>
                <w:szCs w:val="16"/>
              </w:rPr>
            </w:pPr>
            <w:r w:rsidRPr="00547E82">
              <w:rPr>
                <w:rFonts w:ascii="Arial" w:hAnsi="Arial" w:cs="Arial"/>
                <w:color w:val="000000"/>
                <w:sz w:val="16"/>
                <w:szCs w:val="16"/>
              </w:rPr>
              <w:t>100%</w:t>
            </w:r>
          </w:p>
        </w:tc>
        <w:tc>
          <w:tcPr>
            <w:tcW w:w="744" w:type="dxa"/>
            <w:tcBorders>
              <w:top w:val="nil"/>
              <w:left w:val="nil"/>
              <w:bottom w:val="single" w:sz="4" w:space="0" w:color="auto"/>
              <w:right w:val="single" w:sz="8" w:space="0" w:color="auto"/>
            </w:tcBorders>
          </w:tcPr>
          <w:p w:rsidR="00754927" w:rsidRPr="008757CC" w:rsidRDefault="00754927" w:rsidP="00754927">
            <w:pPr>
              <w:jc w:val="center"/>
              <w:rPr>
                <w:rFonts w:ascii="Arial" w:hAnsi="Arial" w:cs="Arial"/>
                <w:color w:val="000000"/>
                <w:sz w:val="12"/>
                <w:szCs w:val="12"/>
              </w:rPr>
            </w:pPr>
            <w:r w:rsidRPr="008757CC">
              <w:rPr>
                <w:rFonts w:ascii="Arial" w:hAnsi="Arial" w:cs="Arial"/>
                <w:color w:val="000000"/>
                <w:sz w:val="10"/>
                <w:szCs w:val="10"/>
              </w:rPr>
              <w:t>Cannot be measured until Nov 2013</w:t>
            </w:r>
          </w:p>
        </w:tc>
      </w:tr>
      <w:tr w:rsidR="00754927" w:rsidRPr="00547E82" w:rsidTr="00754927">
        <w:trPr>
          <w:trHeight w:val="302"/>
        </w:trPr>
        <w:tc>
          <w:tcPr>
            <w:tcW w:w="2441"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9" w:type="dxa"/>
            <w:tcBorders>
              <w:top w:val="nil"/>
              <w:left w:val="nil"/>
              <w:bottom w:val="nil"/>
              <w:right w:val="nil"/>
            </w:tcBorders>
            <w:shd w:val="clear" w:color="auto" w:fill="auto"/>
            <w:noWrap/>
            <w:vAlign w:val="bottom"/>
            <w:hideMark/>
          </w:tcPr>
          <w:p w:rsidR="00754927" w:rsidRPr="00547E82" w:rsidRDefault="00754927" w:rsidP="00754927">
            <w:pPr>
              <w:rPr>
                <w:rFonts w:ascii="Arial" w:hAnsi="Arial" w:cs="Arial"/>
                <w:color w:val="000000"/>
                <w:sz w:val="16"/>
                <w:szCs w:val="16"/>
              </w:rPr>
            </w:pPr>
          </w:p>
        </w:tc>
        <w:tc>
          <w:tcPr>
            <w:tcW w:w="626" w:type="dxa"/>
            <w:tcBorders>
              <w:top w:val="nil"/>
              <w:left w:val="nil"/>
              <w:bottom w:val="nil"/>
              <w:right w:val="nil"/>
            </w:tcBorders>
          </w:tcPr>
          <w:p w:rsidR="00754927" w:rsidRPr="00547E82" w:rsidRDefault="00754927" w:rsidP="00754927">
            <w:pPr>
              <w:rPr>
                <w:rFonts w:ascii="Arial" w:hAnsi="Arial" w:cs="Arial"/>
                <w:color w:val="000000"/>
                <w:sz w:val="16"/>
                <w:szCs w:val="16"/>
              </w:rPr>
            </w:pPr>
          </w:p>
        </w:tc>
        <w:tc>
          <w:tcPr>
            <w:tcW w:w="626" w:type="dxa"/>
            <w:tcBorders>
              <w:top w:val="nil"/>
              <w:left w:val="nil"/>
              <w:bottom w:val="nil"/>
              <w:right w:val="nil"/>
            </w:tcBorders>
          </w:tcPr>
          <w:p w:rsidR="00754927" w:rsidRPr="00547E82" w:rsidRDefault="00754927" w:rsidP="00754927">
            <w:pPr>
              <w:jc w:val="right"/>
              <w:rPr>
                <w:rFonts w:ascii="Arial" w:hAnsi="Arial" w:cs="Arial"/>
                <w:color w:val="000000"/>
                <w:sz w:val="16"/>
                <w:szCs w:val="16"/>
              </w:rPr>
            </w:pPr>
          </w:p>
        </w:tc>
        <w:tc>
          <w:tcPr>
            <w:tcW w:w="744" w:type="dxa"/>
            <w:tcBorders>
              <w:top w:val="nil"/>
              <w:left w:val="nil"/>
              <w:bottom w:val="nil"/>
              <w:right w:val="nil"/>
            </w:tcBorders>
          </w:tcPr>
          <w:p w:rsidR="00754927" w:rsidRPr="00547E82" w:rsidRDefault="00754927" w:rsidP="00754927">
            <w:pPr>
              <w:jc w:val="right"/>
              <w:rPr>
                <w:rFonts w:ascii="Arial" w:hAnsi="Arial" w:cs="Arial"/>
                <w:color w:val="000000"/>
                <w:sz w:val="16"/>
                <w:szCs w:val="16"/>
              </w:rPr>
            </w:pPr>
          </w:p>
        </w:tc>
      </w:tr>
    </w:tbl>
    <w:p w:rsidR="00754927" w:rsidRDefault="00754927" w:rsidP="00377D40">
      <w:pPr>
        <w:spacing w:after="200" w:line="276" w:lineRule="auto"/>
        <w:rPr>
          <w:rFonts w:ascii="Arial" w:hAnsi="Arial" w:cs="Arial"/>
          <w:color w:val="000000" w:themeColor="text1"/>
        </w:rPr>
      </w:pPr>
      <w:r>
        <w:t>T</w:t>
      </w:r>
      <w:r w:rsidRPr="00133A1A">
        <w:t>he following is a trending data chart of the program outcomes:</w:t>
      </w:r>
    </w:p>
    <w:p w:rsidR="00754927" w:rsidRDefault="00754927" w:rsidP="00754927">
      <w:pPr>
        <w:rPr>
          <w:rFonts w:asciiTheme="minorHAnsi" w:hAnsiTheme="minorHAnsi"/>
          <w:color w:val="4F81BD" w:themeColor="accent1"/>
        </w:rPr>
      </w:pPr>
      <w:r w:rsidRPr="00A43B45">
        <w:rPr>
          <w:rFonts w:asciiTheme="minorHAnsi" w:hAnsiTheme="minorHAnsi"/>
          <w:color w:val="4F81BD" w:themeColor="accent1"/>
        </w:rPr>
        <w:t>Not mandated to measure outcome</w:t>
      </w:r>
      <w:r>
        <w:rPr>
          <w:rFonts w:asciiTheme="minorHAnsi" w:hAnsiTheme="minorHAnsi"/>
          <w:color w:val="4F81BD" w:themeColor="accent1"/>
        </w:rPr>
        <w:t xml:space="preserve"> until 2010</w:t>
      </w:r>
      <w:r w:rsidRPr="00A43B45">
        <w:rPr>
          <w:rFonts w:asciiTheme="minorHAnsi" w:hAnsiTheme="minorHAnsi"/>
          <w:color w:val="4F81BD" w:themeColor="accent1"/>
        </w:rPr>
        <w:t xml:space="preserve">.  </w:t>
      </w:r>
    </w:p>
    <w:p w:rsidR="00754927" w:rsidRPr="00A43B45" w:rsidRDefault="00754927" w:rsidP="00754927">
      <w:pPr>
        <w:rPr>
          <w:rFonts w:asciiTheme="minorHAnsi" w:hAnsiTheme="minorHAnsi"/>
          <w:color w:val="FF0000"/>
        </w:rPr>
      </w:pPr>
      <w:r>
        <w:rPr>
          <w:rFonts w:asciiTheme="minorHAnsi" w:hAnsiTheme="minorHAnsi"/>
          <w:color w:val="FF0000"/>
        </w:rPr>
        <w:t xml:space="preserve">Does not meet </w:t>
      </w:r>
      <w:r w:rsidR="00AD5AF9">
        <w:rPr>
          <w:rFonts w:asciiTheme="minorHAnsi" w:hAnsiTheme="minorHAnsi"/>
          <w:color w:val="FF0000"/>
        </w:rPr>
        <w:t xml:space="preserve">accreditation </w:t>
      </w:r>
      <w:r>
        <w:rPr>
          <w:rFonts w:asciiTheme="minorHAnsi" w:hAnsiTheme="minorHAnsi"/>
          <w:color w:val="FF0000"/>
        </w:rPr>
        <w:t>benchmark.</w:t>
      </w:r>
    </w:p>
    <w:p w:rsidR="00345349" w:rsidRDefault="00345349" w:rsidP="00377D40">
      <w:pPr>
        <w:spacing w:after="200" w:line="276" w:lineRule="auto"/>
        <w:rPr>
          <w:rFonts w:ascii="Arial" w:hAnsi="Arial" w:cs="Arial"/>
          <w:color w:val="000000" w:themeColor="text1"/>
        </w:rPr>
      </w:pPr>
    </w:p>
    <w:p w:rsidR="00A4001A" w:rsidRPr="00A4001A" w:rsidRDefault="00A4001A" w:rsidP="00A4001A">
      <w:pPr>
        <w:jc w:val="both"/>
        <w:rPr>
          <w:b/>
          <w:bCs/>
        </w:rPr>
      </w:pPr>
      <w:r w:rsidRPr="00A4001A">
        <w:rPr>
          <w:b/>
          <w:bCs/>
        </w:rPr>
        <w:t>Analysis</w:t>
      </w:r>
    </w:p>
    <w:p w:rsidR="00A4001A" w:rsidRDefault="00A4001A" w:rsidP="00A4001A">
      <w:pPr>
        <w:jc w:val="both"/>
      </w:pPr>
      <w:r w:rsidRPr="00A4001A">
        <w:t xml:space="preserve">The program's CST participation rate of 100% for the class of 2012 </w:t>
      </w:r>
      <w:r>
        <w:t xml:space="preserve">and 2013 </w:t>
      </w:r>
      <w:r w:rsidRPr="00A4001A">
        <w:t>continues to meet the ARCSTSA threshold. The program's CST pass rate of 45.5% for the Class of 2012 fell below the ARCSTSA threshold of 70%</w:t>
      </w:r>
      <w:r w:rsidRPr="00A4001A">
        <w:rPr>
          <w:bCs/>
        </w:rPr>
        <w:t>, which equates to 6 out of 11 students</w:t>
      </w:r>
      <w:r w:rsidRPr="00A4001A">
        <w:t xml:space="preserve">. </w:t>
      </w:r>
      <w:r>
        <w:t xml:space="preserve"> The CST pass rate for the  Class of 2013 was 86%</w:t>
      </w:r>
      <w:r w:rsidR="00252576">
        <w:t>, which is above the benchmark</w:t>
      </w:r>
      <w:r>
        <w:t xml:space="preserve">.  </w:t>
      </w:r>
    </w:p>
    <w:p w:rsidR="00A4001A" w:rsidRDefault="00A4001A" w:rsidP="00A4001A">
      <w:pPr>
        <w:jc w:val="both"/>
      </w:pPr>
    </w:p>
    <w:p w:rsidR="00A4001A" w:rsidRPr="00A4001A" w:rsidRDefault="00A4001A" w:rsidP="00A4001A">
      <w:pPr>
        <w:jc w:val="both"/>
      </w:pPr>
      <w:r w:rsidRPr="00A4001A">
        <w:t>The program's overall CST pass rate of 8</w:t>
      </w:r>
      <w:r>
        <w:t>6</w:t>
      </w:r>
      <w:r w:rsidRPr="00A4001A">
        <w:t>%, from 2008 to present, remains above the ARCSTSA threshold</w:t>
      </w:r>
      <w:r>
        <w:t xml:space="preserve"> of 70%.  It should also be noted the national pass rate for </w:t>
      </w:r>
      <w:r w:rsidR="00252576">
        <w:t xml:space="preserve">all individuals taking </w:t>
      </w:r>
      <w:r>
        <w:t>the CST exam is 55%.</w:t>
      </w:r>
      <w:r w:rsidR="00252576">
        <w:t xml:space="preserve">  This is notable as this includes practicing surgical technologists as well as students.  </w:t>
      </w:r>
    </w:p>
    <w:p w:rsidR="00A4001A" w:rsidRDefault="00A4001A" w:rsidP="00A4001A">
      <w:pPr>
        <w:jc w:val="both"/>
        <w:rPr>
          <w:b/>
          <w:bCs/>
        </w:rPr>
      </w:pPr>
    </w:p>
    <w:p w:rsidR="00A4001A" w:rsidRPr="00A4001A" w:rsidRDefault="00A4001A" w:rsidP="00A4001A">
      <w:pPr>
        <w:jc w:val="both"/>
        <w:rPr>
          <w:b/>
          <w:bCs/>
        </w:rPr>
      </w:pPr>
      <w:r w:rsidRPr="00A4001A">
        <w:rPr>
          <w:b/>
          <w:bCs/>
        </w:rPr>
        <w:t>Plan of Action</w:t>
      </w:r>
    </w:p>
    <w:p w:rsidR="00A4001A" w:rsidRPr="00A4001A" w:rsidRDefault="00A4001A" w:rsidP="00A4001A">
      <w:pPr>
        <w:jc w:val="both"/>
      </w:pPr>
      <w:r w:rsidRPr="00A4001A">
        <w:t xml:space="preserve">1.  Assess the pre-program GPAs for the graduates of the past 5 years, from 2008 to present.   Evaluate results and look for correlation between GPA and CST exam performance.  Based on data analysis, the program will study whether to raise the GPA prerequisite if a significant correlation is seen.  </w:t>
      </w:r>
    </w:p>
    <w:p w:rsidR="00A4001A" w:rsidRDefault="00A4001A" w:rsidP="00A4001A">
      <w:pPr>
        <w:jc w:val="both"/>
      </w:pPr>
    </w:p>
    <w:p w:rsidR="00A4001A" w:rsidRPr="00A4001A" w:rsidRDefault="00A4001A" w:rsidP="00A4001A">
      <w:pPr>
        <w:jc w:val="both"/>
      </w:pPr>
      <w:r w:rsidRPr="00A4001A">
        <w:t xml:space="preserve">2.  Assess science course GPAs for all graduates in the past 5 years, from 2008 to present.  Evaluate results and look for correlation between science course GPA and program outcomes.  Based on data analysis, the program will study whether to raise the GPA prerequisite if a significant correlation is seen.  </w:t>
      </w:r>
    </w:p>
    <w:p w:rsidR="00A4001A" w:rsidRDefault="00A4001A" w:rsidP="00A4001A">
      <w:pPr>
        <w:jc w:val="both"/>
      </w:pPr>
    </w:p>
    <w:p w:rsidR="00A4001A" w:rsidRPr="00A4001A" w:rsidRDefault="00A4001A" w:rsidP="00A4001A">
      <w:pPr>
        <w:jc w:val="both"/>
      </w:pPr>
      <w:r w:rsidRPr="00A4001A">
        <w:t xml:space="preserve">3.  Implement the Division’s TEAS exam (Test of Essential Academic Skills) for all students currently on the Program’s applicant list.  Implementation of this exam is a pilot and exploratory </w:t>
      </w:r>
      <w:r w:rsidRPr="00A4001A">
        <w:lastRenderedPageBreak/>
        <w:t xml:space="preserve">in nature and will be used to evaluate whether scores on this exam can help predict program success.  Based on data trends, the program will study whether to use a TEAS exam cutoff score as a criterion for admission.  </w:t>
      </w:r>
    </w:p>
    <w:p w:rsidR="00BC7390" w:rsidRDefault="00BC7390" w:rsidP="00A4001A">
      <w:pPr>
        <w:jc w:val="both"/>
      </w:pPr>
    </w:p>
    <w:p w:rsidR="00A4001A" w:rsidRPr="00A4001A" w:rsidRDefault="00A4001A" w:rsidP="00A4001A">
      <w:pPr>
        <w:jc w:val="both"/>
      </w:pPr>
      <w:r w:rsidRPr="00A4001A">
        <w:t>4. Assess student results on each CST exam content area for the past 5 years. Evaluate whether a deficiency in any one or more content areas are evident. Use results to examine if any possible curriculum changes need to be made based on the findings.</w:t>
      </w:r>
    </w:p>
    <w:p w:rsidR="00A4001A" w:rsidRDefault="00A4001A" w:rsidP="00A4001A">
      <w:pPr>
        <w:jc w:val="both"/>
      </w:pPr>
    </w:p>
    <w:p w:rsidR="00A4001A" w:rsidRPr="00A4001A" w:rsidRDefault="00A4001A" w:rsidP="00A4001A">
      <w:pPr>
        <w:jc w:val="both"/>
      </w:pPr>
      <w:r w:rsidRPr="00A4001A">
        <w:t xml:space="preserve">5.  In the past, the program has paid the fee for all students taking the CST exam.  This was done before the CST exam was required as an outcome measure as a way to help make our graduates more competitive in a market that has three AAS degree programs for Surgical Technology within a 10-mile radius of each other.  The lower exam scores may be indicative of low student ownership in their certification status.  Starting in 2014, the fee for the exam will be moved to the student. </w:t>
      </w:r>
    </w:p>
    <w:p w:rsidR="00A4001A" w:rsidRDefault="00A4001A" w:rsidP="00A4001A">
      <w:pPr>
        <w:jc w:val="both"/>
        <w:rPr>
          <w:b/>
          <w:bCs/>
        </w:rPr>
      </w:pPr>
    </w:p>
    <w:p w:rsidR="00A4001A" w:rsidRPr="00A4001A" w:rsidRDefault="00A4001A" w:rsidP="00A4001A">
      <w:pPr>
        <w:jc w:val="both"/>
        <w:rPr>
          <w:b/>
          <w:bCs/>
        </w:rPr>
      </w:pPr>
      <w:r w:rsidRPr="00A4001A">
        <w:rPr>
          <w:b/>
          <w:bCs/>
        </w:rPr>
        <w:t>Implementation</w:t>
      </w:r>
    </w:p>
    <w:p w:rsidR="00A4001A" w:rsidRPr="00A4001A" w:rsidRDefault="00A4001A" w:rsidP="00A4001A">
      <w:pPr>
        <w:jc w:val="both"/>
      </w:pPr>
      <w:r w:rsidRPr="00A4001A">
        <w:t>GPA study will begin in June, 2013.  Based on GPA study results of the past 5 years, a more competitive admission model may be implemented beginning Fall Semester, 2015.  Implementation at this time will allow the program to effectively notify all incoming students of admission requirement changes and to grandfather all students currently on the program applicant list.  Should it be determined that admissions changes are necessary, notification to the accrediting board will be made by the department chair.</w:t>
      </w:r>
    </w:p>
    <w:p w:rsidR="00746A40" w:rsidRDefault="00746A40" w:rsidP="00746A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440C4A" w:rsidRDefault="00440C4A"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pPr>
    </w:p>
    <w:p w:rsidR="003634AB" w:rsidRDefault="003634AB" w:rsidP="00377D40">
      <w:pPr>
        <w:spacing w:after="200" w:line="276" w:lineRule="auto"/>
        <w:rPr>
          <w:rFonts w:ascii="Arial" w:hAnsi="Arial" w:cs="Arial"/>
          <w:color w:val="000000" w:themeColor="text1"/>
        </w:rPr>
        <w:sectPr w:rsidR="003634A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440C4A">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440C4A">
        <w:trPr>
          <w:trHeight w:val="1399"/>
        </w:trPr>
        <w:tc>
          <w:tcPr>
            <w:tcW w:w="3951" w:type="dxa"/>
          </w:tcPr>
          <w:p w:rsidR="006C3182" w:rsidRDefault="006C3182" w:rsidP="006C3182">
            <w:pPr>
              <w:tabs>
                <w:tab w:val="left" w:pos="504"/>
              </w:tabs>
              <w:spacing w:after="120"/>
              <w:jc w:val="both"/>
              <w:rPr>
                <w:rFonts w:ascii="Arial" w:hAnsi="Arial" w:cs="Arial"/>
              </w:rPr>
            </w:pPr>
            <w:r w:rsidRPr="00CA0CF5">
              <w:rPr>
                <w:rFonts w:ascii="Arial" w:hAnsi="Arial" w:cs="Arial"/>
              </w:rPr>
              <w:t>The department’s goals include</w:t>
            </w:r>
            <w:r>
              <w:rPr>
                <w:rFonts w:ascii="Arial" w:hAnsi="Arial" w:cs="Arial"/>
              </w:rPr>
              <w:t>d</w:t>
            </w:r>
            <w:r w:rsidRPr="00CA0CF5">
              <w:rPr>
                <w:rFonts w:ascii="Arial" w:hAnsi="Arial" w:cs="Arial"/>
              </w:rPr>
              <w:t xml:space="preserve"> program expansion into both pre and post graduate non-cohort tracks.  This include</w:t>
            </w:r>
            <w:r>
              <w:rPr>
                <w:rFonts w:ascii="Arial" w:hAnsi="Arial" w:cs="Arial"/>
              </w:rPr>
              <w:t>d</w:t>
            </w:r>
            <w:r w:rsidRPr="00CA0CF5">
              <w:rPr>
                <w:rFonts w:ascii="Arial" w:hAnsi="Arial" w:cs="Arial"/>
              </w:rPr>
              <w:t xml:space="preserve"> development of new certificate programs that meet the needs of the perioperative community.  </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400BE3" w:rsidRPr="00400BE3">
              <w:rPr>
                <w:rFonts w:ascii="Arial" w:hAnsi="Arial" w:cs="Arial"/>
                <w:color w:val="000000" w:themeColor="text1"/>
                <w:bdr w:val="single" w:sz="4" w:space="0" w:color="auto"/>
              </w:rPr>
              <w:t>X</w:t>
            </w:r>
            <w:bookmarkEnd w:id="1"/>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632" w:type="dxa"/>
          </w:tcPr>
          <w:p w:rsidR="00A201E2" w:rsidRPr="00AD2C0C" w:rsidRDefault="008D141C" w:rsidP="00004C1E">
            <w:pPr>
              <w:pStyle w:val="ListParagraph"/>
              <w:ind w:left="0"/>
              <w:jc w:val="both"/>
              <w:rPr>
                <w:color w:val="000000" w:themeColor="text1"/>
              </w:rPr>
            </w:pPr>
            <w:r w:rsidRPr="00AD2C0C">
              <w:rPr>
                <w:color w:val="000000" w:themeColor="text1"/>
              </w:rPr>
              <w:t xml:space="preserve">The department is continuing work to expand its short term certificate offering with the Sterilization Technology Program.  </w:t>
            </w:r>
            <w:r w:rsidR="00B44D80" w:rsidRPr="00AD2C0C">
              <w:rPr>
                <w:color w:val="000000" w:themeColor="text1"/>
              </w:rPr>
              <w:t>This program was scheduled to open at the Courseview Campus Fall, 2013.  However, with the change in leadership and other unknown factors, this program did not premier as planned.  There are still plans to move forward with this project with a new implementation date of Fall 2014.</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880"/>
        <w:gridCol w:w="6300"/>
      </w:tblGrid>
      <w:tr w:rsidR="004C52FC" w:rsidRPr="0037786D" w:rsidTr="000E2463">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88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30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40C4A" w:rsidRPr="0037786D" w:rsidTr="000E2463">
        <w:tc>
          <w:tcPr>
            <w:tcW w:w="3708" w:type="dxa"/>
          </w:tcPr>
          <w:p w:rsidR="00440C4A" w:rsidRPr="00837DB3" w:rsidRDefault="00440C4A" w:rsidP="00837DB3">
            <w:pPr>
              <w:rPr>
                <w:rFonts w:ascii="Arial" w:hAnsi="Arial" w:cs="Arial"/>
              </w:rPr>
            </w:pPr>
            <w:r w:rsidRPr="002D3F96">
              <w:rPr>
                <w:rFonts w:ascii="Arial" w:hAnsi="Arial" w:cs="Arial"/>
              </w:rPr>
              <w:t>Document and analyze trend data of General Education outcomes across multiple sections and multiple years to identify successes and opportunities for improvements to assess the curriculum</w:t>
            </w:r>
            <w:r>
              <w:rPr>
                <w:rFonts w:ascii="Arial" w:hAnsi="Arial" w:cs="Arial"/>
              </w:rPr>
              <w:t>.</w:t>
            </w:r>
          </w:p>
        </w:tc>
        <w:tc>
          <w:tcPr>
            <w:tcW w:w="288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E2463" w:rsidRPr="000E2463">
              <w:rPr>
                <w:rFonts w:ascii="Arial" w:hAnsi="Arial" w:cs="Arial"/>
                <w:color w:val="000000" w:themeColor="text1"/>
                <w:bdr w:val="single" w:sz="4" w:space="0" w:color="auto"/>
              </w:rPr>
              <w:t>X</w:t>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300" w:type="dxa"/>
          </w:tcPr>
          <w:p w:rsidR="00440C4A" w:rsidRDefault="000E2463" w:rsidP="00004C1E">
            <w:pPr>
              <w:jc w:val="both"/>
            </w:pPr>
            <w:r>
              <w:t>We continue to assess the general education outcomes in each course according to the end of course evaluation rubric.</w:t>
            </w:r>
          </w:p>
        </w:tc>
      </w:tr>
      <w:tr w:rsidR="00440C4A" w:rsidRPr="0037786D" w:rsidTr="000E2463">
        <w:tc>
          <w:tcPr>
            <w:tcW w:w="3708" w:type="dxa"/>
          </w:tcPr>
          <w:p w:rsidR="00440C4A" w:rsidRPr="002D3F96" w:rsidRDefault="00440C4A" w:rsidP="006C3182">
            <w:pPr>
              <w:rPr>
                <w:rFonts w:ascii="Arial" w:hAnsi="Arial" w:cs="Arial"/>
              </w:rPr>
            </w:pPr>
            <w:r w:rsidRPr="002D3F96">
              <w:rPr>
                <w:rFonts w:ascii="Arial" w:hAnsi="Arial" w:cs="Arial"/>
              </w:rPr>
              <w:t>Look for ways to broaden diversity of student populations</w:t>
            </w:r>
            <w:r>
              <w:rPr>
                <w:rFonts w:ascii="Arial" w:hAnsi="Arial" w:cs="Arial"/>
              </w:rPr>
              <w:t>.</w:t>
            </w:r>
          </w:p>
          <w:p w:rsidR="00440C4A" w:rsidRPr="00654C15" w:rsidRDefault="00440C4A" w:rsidP="003E791C">
            <w:pPr>
              <w:pStyle w:val="ListParagraph"/>
              <w:ind w:left="0"/>
              <w:rPr>
                <w:rFonts w:ascii="Arial" w:hAnsi="Arial" w:cs="Arial"/>
                <w:color w:val="000000" w:themeColor="text1"/>
              </w:rPr>
            </w:pPr>
          </w:p>
        </w:tc>
        <w:tc>
          <w:tcPr>
            <w:tcW w:w="288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279C8" w:rsidRPr="000E2463">
              <w:rPr>
                <w:rFonts w:ascii="Arial" w:hAnsi="Arial" w:cs="Arial"/>
                <w:color w:val="000000" w:themeColor="text1"/>
                <w:bdr w:val="single" w:sz="4" w:space="0" w:color="auto"/>
              </w:rPr>
              <w:t>X</w:t>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Default="00440C4A" w:rsidP="000E2463">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E2463">
              <w:fldChar w:fldCharType="begin">
                <w:ffData>
                  <w:name w:val="Check1"/>
                  <w:enabled/>
                  <w:calcOnExit w:val="0"/>
                  <w:checkBox>
                    <w:sizeAuto/>
                    <w:default w:val="0"/>
                  </w:checkBox>
                </w:ffData>
              </w:fldChar>
            </w:r>
            <w:r w:rsidR="000E2463">
              <w:instrText xml:space="preserve"> FORMCHECKBOX </w:instrText>
            </w:r>
            <w:r w:rsidR="00DD3718">
              <w:fldChar w:fldCharType="separate"/>
            </w:r>
            <w:r w:rsidR="000E2463">
              <w:fldChar w:fldCharType="end"/>
            </w:r>
          </w:p>
          <w:p w:rsidR="000E2463" w:rsidRPr="0037786D" w:rsidRDefault="000E2463" w:rsidP="000E2463">
            <w:pPr>
              <w:pStyle w:val="ListParagraph"/>
              <w:ind w:left="0"/>
              <w:rPr>
                <w:rFonts w:ascii="Arial" w:hAnsi="Arial" w:cs="Arial"/>
                <w:color w:val="000000" w:themeColor="text1"/>
              </w:rPr>
            </w:pPr>
          </w:p>
        </w:tc>
        <w:tc>
          <w:tcPr>
            <w:tcW w:w="6300" w:type="dxa"/>
          </w:tcPr>
          <w:p w:rsidR="00837DB3" w:rsidRDefault="00837DB3" w:rsidP="00004C1E">
            <w:pPr>
              <w:jc w:val="both"/>
            </w:pPr>
            <w:r>
              <w:t xml:space="preserve">I continue monitor the diversity of the cohorts.  The program remains open admission and all students have an equal opportunity to begin the program.  Program cohorts </w:t>
            </w:r>
            <w:r w:rsidR="00C02F4D">
              <w:t>are close to</w:t>
            </w:r>
            <w:r>
              <w:t xml:space="preserve"> the minority population of the college with an average admission rate of 13.7% and graduation rate of 12.9%.</w:t>
            </w:r>
            <w:r w:rsidR="00C02F4D">
              <w:t xml:space="preserve">  The minority population of the college is 16.2%.</w:t>
            </w:r>
          </w:p>
          <w:p w:rsidR="00837DB3" w:rsidRDefault="00837DB3" w:rsidP="00004C1E">
            <w:pPr>
              <w:jc w:val="both"/>
            </w:pPr>
          </w:p>
          <w:p w:rsidR="00837DB3" w:rsidRPr="00837DB3" w:rsidRDefault="00837DB3" w:rsidP="00004C1E">
            <w:pPr>
              <w:jc w:val="both"/>
              <w:rPr>
                <w:color w:val="0070C0"/>
              </w:rPr>
            </w:pPr>
            <w:r w:rsidRPr="00837DB3">
              <w:rPr>
                <w:color w:val="0070C0"/>
              </w:rPr>
              <w:t>Please see Addendum 1 on page 1</w:t>
            </w:r>
            <w:r w:rsidR="00425A05">
              <w:rPr>
                <w:color w:val="0070C0"/>
              </w:rPr>
              <w:t>3</w:t>
            </w:r>
            <w:r w:rsidRPr="00837DB3">
              <w:rPr>
                <w:color w:val="0070C0"/>
              </w:rPr>
              <w:t xml:space="preserve"> of this report to see </w:t>
            </w:r>
            <w:r w:rsidR="00C02F4D">
              <w:rPr>
                <w:color w:val="0070C0"/>
              </w:rPr>
              <w:t xml:space="preserve">data of </w:t>
            </w:r>
            <w:r w:rsidRPr="00837DB3">
              <w:rPr>
                <w:color w:val="0070C0"/>
              </w:rPr>
              <w:t xml:space="preserve">the </w:t>
            </w:r>
            <w:r>
              <w:rPr>
                <w:color w:val="0070C0"/>
              </w:rPr>
              <w:t xml:space="preserve">program’s </w:t>
            </w:r>
            <w:r w:rsidRPr="00837DB3">
              <w:rPr>
                <w:color w:val="0070C0"/>
              </w:rPr>
              <w:t>Diversity Statistics from 2000-2012.</w:t>
            </w:r>
          </w:p>
          <w:p w:rsidR="00837DB3" w:rsidRDefault="00837DB3" w:rsidP="00004C1E">
            <w:pPr>
              <w:jc w:val="both"/>
            </w:pPr>
          </w:p>
          <w:p w:rsidR="00837DB3" w:rsidRDefault="005279C8" w:rsidP="00004C1E">
            <w:pPr>
              <w:jc w:val="both"/>
            </w:pPr>
            <w:r>
              <w:t xml:space="preserve">The program continues to participate in all Sinclair offered Career Fairs at area high schools.  These have included Wayne High School, West Carrollton, Mason, </w:t>
            </w:r>
            <w:r w:rsidR="003F3B08">
              <w:t xml:space="preserve">and </w:t>
            </w:r>
            <w:r>
              <w:t>Centerville.  The program also hosts many Tech Prep activities</w:t>
            </w:r>
            <w:r w:rsidR="003F3B08">
              <w:t xml:space="preserve"> that bring a diverse populations to our classroom and lab.  The program also travels to schools to do customized presentations.</w:t>
            </w:r>
          </w:p>
        </w:tc>
      </w:tr>
      <w:tr w:rsidR="00440C4A" w:rsidRPr="0037786D" w:rsidTr="000E2463">
        <w:tc>
          <w:tcPr>
            <w:tcW w:w="3708" w:type="dxa"/>
          </w:tcPr>
          <w:p w:rsidR="00440C4A" w:rsidRPr="002D3F96" w:rsidRDefault="00440C4A" w:rsidP="006C3182">
            <w:pPr>
              <w:rPr>
                <w:rFonts w:ascii="Arial" w:hAnsi="Arial" w:cs="Arial"/>
              </w:rPr>
            </w:pPr>
            <w:r w:rsidRPr="002D3F96">
              <w:rPr>
                <w:rFonts w:ascii="Arial" w:hAnsi="Arial" w:cs="Arial"/>
              </w:rPr>
              <w:t>Develop appropriate assessment of impact of the hybrid admissions process</w:t>
            </w:r>
            <w:r>
              <w:rPr>
                <w:rFonts w:ascii="Arial" w:hAnsi="Arial" w:cs="Arial"/>
              </w:rPr>
              <w:t>.</w:t>
            </w:r>
          </w:p>
          <w:p w:rsidR="00440C4A" w:rsidRPr="00654C15" w:rsidRDefault="00440C4A" w:rsidP="003E791C">
            <w:pPr>
              <w:pStyle w:val="ListParagraph"/>
              <w:ind w:left="0"/>
              <w:rPr>
                <w:rFonts w:ascii="Arial" w:hAnsi="Arial" w:cs="Arial"/>
                <w:color w:val="000000" w:themeColor="text1"/>
              </w:rPr>
            </w:pPr>
          </w:p>
        </w:tc>
        <w:tc>
          <w:tcPr>
            <w:tcW w:w="288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D0350" w:rsidRPr="000E2463">
              <w:rPr>
                <w:rFonts w:ascii="Arial" w:hAnsi="Arial" w:cs="Arial"/>
                <w:color w:val="000000" w:themeColor="text1"/>
                <w:bdr w:val="single" w:sz="4" w:space="0" w:color="auto"/>
              </w:rPr>
              <w:t>X</w:t>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300" w:type="dxa"/>
          </w:tcPr>
          <w:p w:rsidR="00440C4A" w:rsidRDefault="003F3B08" w:rsidP="00004C1E">
            <w:pPr>
              <w:jc w:val="both"/>
            </w:pPr>
            <w:r>
              <w:t xml:space="preserve">The program is currently designing a study to assess admission GPA and program success rates.  The admission process currently is based on date of application.  If a positive correlation is seen based on the study, the program will implement a hybrid based admission model.  </w:t>
            </w:r>
          </w:p>
        </w:tc>
      </w:tr>
      <w:tr w:rsidR="00440C4A" w:rsidRPr="0037786D" w:rsidTr="000E2463">
        <w:tc>
          <w:tcPr>
            <w:tcW w:w="3708" w:type="dxa"/>
          </w:tcPr>
          <w:p w:rsidR="00440C4A" w:rsidRPr="002D3F96" w:rsidRDefault="00612400" w:rsidP="006C3182">
            <w:pPr>
              <w:rPr>
                <w:rFonts w:ascii="Arial" w:hAnsi="Arial" w:cs="Arial"/>
              </w:rPr>
            </w:pPr>
            <w:r>
              <w:lastRenderedPageBreak/>
              <w:br w:type="page"/>
            </w:r>
            <w:r w:rsidR="00440C4A" w:rsidRPr="002D3F96">
              <w:rPr>
                <w:rFonts w:ascii="Arial" w:hAnsi="Arial" w:cs="Arial"/>
              </w:rPr>
              <w:t>Utilize existing campus resources, e.g., Service Learning, Career Services, Adjunct Faculty Services, Writing Center</w:t>
            </w:r>
            <w:r w:rsidR="00440C4A">
              <w:rPr>
                <w:rFonts w:ascii="Arial" w:hAnsi="Arial" w:cs="Arial"/>
              </w:rPr>
              <w:t>.</w:t>
            </w:r>
          </w:p>
          <w:p w:rsidR="00440C4A" w:rsidRPr="00654C15" w:rsidRDefault="00440C4A" w:rsidP="003E791C">
            <w:pPr>
              <w:pStyle w:val="ListParagraph"/>
              <w:ind w:left="0"/>
              <w:rPr>
                <w:rFonts w:ascii="Arial" w:hAnsi="Arial" w:cs="Arial"/>
                <w:color w:val="000000" w:themeColor="text1"/>
              </w:rPr>
            </w:pPr>
          </w:p>
        </w:tc>
        <w:tc>
          <w:tcPr>
            <w:tcW w:w="2880" w:type="dxa"/>
          </w:tcPr>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D0350" w:rsidRPr="000E2463">
              <w:rPr>
                <w:rFonts w:ascii="Arial" w:hAnsi="Arial" w:cs="Arial"/>
                <w:color w:val="000000" w:themeColor="text1"/>
                <w:bdr w:val="single" w:sz="4" w:space="0" w:color="auto"/>
              </w:rPr>
              <w:t>X</w:t>
            </w:r>
          </w:p>
          <w:p w:rsidR="00440C4A" w:rsidRDefault="00440C4A" w:rsidP="00637591">
            <w:pPr>
              <w:pStyle w:val="ListParagraph"/>
              <w:ind w:left="0"/>
              <w:rPr>
                <w:rFonts w:ascii="Arial" w:hAnsi="Arial" w:cs="Arial"/>
                <w:color w:val="000000" w:themeColor="text1"/>
              </w:rPr>
            </w:pPr>
          </w:p>
          <w:p w:rsidR="00440C4A"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637591">
            <w:pPr>
              <w:pStyle w:val="ListParagraph"/>
              <w:ind w:left="0"/>
              <w:rPr>
                <w:rFonts w:ascii="Arial" w:hAnsi="Arial" w:cs="Arial"/>
                <w:color w:val="000000" w:themeColor="text1"/>
              </w:rPr>
            </w:pPr>
          </w:p>
          <w:p w:rsidR="00440C4A" w:rsidRPr="0037786D" w:rsidRDefault="00440C4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300" w:type="dxa"/>
          </w:tcPr>
          <w:p w:rsidR="00440C4A" w:rsidRDefault="00612400" w:rsidP="00004C1E">
            <w:pPr>
              <w:jc w:val="both"/>
            </w:pPr>
            <w:r>
              <w:t xml:space="preserve">The students are currently working with David Bodary to implement their ‘Service Learning’ project.  To match a community need with relevancy to surgical technology, the students are collecting winter weather gear (gloves, hats, boots) for needy populations.  ‘Scare Away the Cold’ will run during the week of Halloween with departmental promotional ideas to help increase donations.  </w:t>
            </w:r>
          </w:p>
        </w:tc>
      </w:tr>
      <w:tr w:rsidR="00440C4A" w:rsidRPr="0037786D" w:rsidTr="000E2463">
        <w:tc>
          <w:tcPr>
            <w:tcW w:w="3708" w:type="dxa"/>
          </w:tcPr>
          <w:p w:rsidR="00440C4A" w:rsidRPr="002D3F96" w:rsidRDefault="00440C4A" w:rsidP="006C3182">
            <w:pPr>
              <w:rPr>
                <w:rFonts w:ascii="Arial" w:hAnsi="Arial" w:cs="Arial"/>
              </w:rPr>
            </w:pPr>
            <w:r w:rsidRPr="002D3F96">
              <w:rPr>
                <w:rFonts w:ascii="Arial" w:hAnsi="Arial" w:cs="Arial"/>
              </w:rPr>
              <w:t>Work with Jennifer Kostic to develop a plan for recruiting and hiring adjunct faculty who reflect the diversity of the community</w:t>
            </w:r>
            <w:r>
              <w:rPr>
                <w:rFonts w:ascii="Arial" w:hAnsi="Arial" w:cs="Arial"/>
              </w:rPr>
              <w:t>.</w:t>
            </w:r>
          </w:p>
          <w:p w:rsidR="00440C4A" w:rsidRPr="00654C15" w:rsidRDefault="00440C4A" w:rsidP="00D07030">
            <w:pPr>
              <w:pStyle w:val="ListParagraph"/>
              <w:ind w:left="0"/>
              <w:rPr>
                <w:rFonts w:ascii="Arial" w:hAnsi="Arial" w:cs="Arial"/>
                <w:color w:val="000000" w:themeColor="text1"/>
              </w:rPr>
            </w:pPr>
          </w:p>
        </w:tc>
        <w:tc>
          <w:tcPr>
            <w:tcW w:w="2880" w:type="dxa"/>
          </w:tcPr>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DA1FAD" w:rsidRPr="000E2463">
              <w:rPr>
                <w:rFonts w:ascii="Arial" w:hAnsi="Arial" w:cs="Arial"/>
                <w:color w:val="000000" w:themeColor="text1"/>
                <w:bdr w:val="single" w:sz="4" w:space="0" w:color="auto"/>
              </w:rPr>
              <w:t>X</w:t>
            </w:r>
          </w:p>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Pr="0037786D" w:rsidRDefault="00440C4A" w:rsidP="00DA1FA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A1FAD">
              <w:fldChar w:fldCharType="begin">
                <w:ffData>
                  <w:name w:val="Check1"/>
                  <w:enabled/>
                  <w:calcOnExit w:val="0"/>
                  <w:checkBox>
                    <w:sizeAuto/>
                    <w:default w:val="0"/>
                  </w:checkBox>
                </w:ffData>
              </w:fldChar>
            </w:r>
            <w:r w:rsidR="00DA1FAD">
              <w:instrText xml:space="preserve"> FORMCHECKBOX </w:instrText>
            </w:r>
            <w:r w:rsidR="00DD3718">
              <w:fldChar w:fldCharType="separate"/>
            </w:r>
            <w:r w:rsidR="00DA1FAD">
              <w:fldChar w:fldCharType="end"/>
            </w:r>
          </w:p>
        </w:tc>
        <w:tc>
          <w:tcPr>
            <w:tcW w:w="6300" w:type="dxa"/>
          </w:tcPr>
          <w:p w:rsidR="00440C4A" w:rsidRDefault="00BE6F3C" w:rsidP="00004C1E">
            <w:pPr>
              <w:jc w:val="both"/>
            </w:pPr>
            <w:r>
              <w:t>The department worked closely with Jennifer Kostic to quickly bring on a part-time faculty member to assist in teaching a Veterinary Technology course this past Spring Semester. This part-time faculty member is now a Full Time Tenured Track faculty member for the department.</w:t>
            </w:r>
            <w:r w:rsidR="00D12A4B" w:rsidRPr="00B95CEC">
              <w:rPr>
                <w:rFonts w:ascii="Arial" w:hAnsi="Arial" w:cs="Arial"/>
                <w:color w:val="000000" w:themeColor="text1"/>
              </w:rPr>
              <w:fldChar w:fldCharType="begin">
                <w:ffData>
                  <w:name w:val="Text1"/>
                  <w:enabled/>
                  <w:calcOnExit w:val="0"/>
                  <w:textInput/>
                </w:ffData>
              </w:fldChar>
            </w:r>
            <w:r w:rsidR="00440C4A" w:rsidRPr="00B95CEC">
              <w:rPr>
                <w:rFonts w:ascii="Arial" w:hAnsi="Arial" w:cs="Arial"/>
                <w:color w:val="000000" w:themeColor="text1"/>
              </w:rPr>
              <w:instrText xml:space="preserve"> FORMTEXT </w:instrText>
            </w:r>
            <w:r w:rsidR="00DD3718">
              <w:rPr>
                <w:rFonts w:ascii="Arial" w:hAnsi="Arial" w:cs="Arial"/>
                <w:color w:val="000000" w:themeColor="text1"/>
              </w:rPr>
            </w:r>
            <w:r w:rsidR="00DD3718">
              <w:rPr>
                <w:rFonts w:ascii="Arial" w:hAnsi="Arial" w:cs="Arial"/>
                <w:color w:val="000000" w:themeColor="text1"/>
              </w:rPr>
              <w:fldChar w:fldCharType="separate"/>
            </w:r>
            <w:r w:rsidR="00D12A4B" w:rsidRPr="00B95CEC">
              <w:rPr>
                <w:rFonts w:ascii="Arial" w:hAnsi="Arial" w:cs="Arial"/>
                <w:color w:val="000000" w:themeColor="text1"/>
              </w:rPr>
              <w:fldChar w:fldCharType="end"/>
            </w:r>
          </w:p>
        </w:tc>
      </w:tr>
      <w:tr w:rsidR="00440C4A" w:rsidRPr="0037786D" w:rsidTr="000E2463">
        <w:tc>
          <w:tcPr>
            <w:tcW w:w="3708" w:type="dxa"/>
          </w:tcPr>
          <w:p w:rsidR="00440C4A" w:rsidRPr="002D3F96" w:rsidRDefault="00440C4A" w:rsidP="006C3182">
            <w:pPr>
              <w:rPr>
                <w:rFonts w:ascii="Arial" w:hAnsi="Arial" w:cs="Arial"/>
              </w:rPr>
            </w:pPr>
            <w:r w:rsidRPr="002D3F96">
              <w:rPr>
                <w:rFonts w:ascii="Arial" w:hAnsi="Arial" w:cs="Arial"/>
              </w:rPr>
              <w:t>Maintain existing and new connections with hospitals to ensure adequate availability of clinical sites</w:t>
            </w:r>
            <w:r>
              <w:rPr>
                <w:rFonts w:ascii="Arial" w:hAnsi="Arial" w:cs="Arial"/>
              </w:rPr>
              <w:t>.</w:t>
            </w:r>
          </w:p>
          <w:p w:rsidR="00440C4A" w:rsidRPr="00225B53" w:rsidRDefault="00440C4A" w:rsidP="00225B53">
            <w:pPr>
              <w:spacing w:after="200" w:line="276" w:lineRule="auto"/>
              <w:rPr>
                <w:rFonts w:ascii="Arial" w:hAnsi="Arial" w:cs="Arial"/>
              </w:rPr>
            </w:pPr>
          </w:p>
          <w:p w:rsidR="00440C4A" w:rsidRPr="00654C15" w:rsidRDefault="00440C4A" w:rsidP="00D07030">
            <w:pPr>
              <w:pStyle w:val="ListParagraph"/>
              <w:ind w:left="0"/>
              <w:rPr>
                <w:rFonts w:ascii="Arial" w:hAnsi="Arial" w:cs="Arial"/>
                <w:color w:val="000000" w:themeColor="text1"/>
              </w:rPr>
            </w:pPr>
          </w:p>
        </w:tc>
        <w:tc>
          <w:tcPr>
            <w:tcW w:w="2880" w:type="dxa"/>
          </w:tcPr>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DA1FAD" w:rsidRPr="000E2463">
              <w:rPr>
                <w:rFonts w:ascii="Arial" w:hAnsi="Arial" w:cs="Arial"/>
                <w:color w:val="000000" w:themeColor="text1"/>
                <w:bdr w:val="single" w:sz="4" w:space="0" w:color="auto"/>
              </w:rPr>
              <w:t>X</w:t>
            </w:r>
          </w:p>
          <w:p w:rsidR="00440C4A" w:rsidRDefault="00440C4A" w:rsidP="00D07030">
            <w:pPr>
              <w:pStyle w:val="ListParagraph"/>
              <w:ind w:left="0"/>
              <w:rPr>
                <w:rFonts w:ascii="Arial" w:hAnsi="Arial" w:cs="Arial"/>
                <w:color w:val="000000" w:themeColor="text1"/>
              </w:rPr>
            </w:pPr>
          </w:p>
          <w:p w:rsidR="00440C4A"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D07030">
            <w:pPr>
              <w:pStyle w:val="ListParagraph"/>
              <w:ind w:left="0"/>
              <w:rPr>
                <w:rFonts w:ascii="Arial" w:hAnsi="Arial" w:cs="Arial"/>
                <w:color w:val="000000" w:themeColor="text1"/>
              </w:rPr>
            </w:pPr>
          </w:p>
          <w:p w:rsidR="00440C4A" w:rsidRPr="0037786D" w:rsidRDefault="00440C4A"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300" w:type="dxa"/>
          </w:tcPr>
          <w:p w:rsidR="00440C4A" w:rsidRDefault="00DA1FAD" w:rsidP="00004C1E">
            <w:pPr>
              <w:jc w:val="both"/>
            </w:pPr>
            <w:r>
              <w:t>The department will develop a plan to work closely with the Division’s Assistant Dean to develop contracts with two new large area healthcare facilities.  Specifically, Soin Medical Center and Miami Valley South.  Until recently, these facilities have resisted developing new contracts until staff is hired, oriented, and policies are in place.</w:t>
            </w:r>
          </w:p>
        </w:tc>
      </w:tr>
      <w:tr w:rsidR="00440C4A" w:rsidRPr="0037786D" w:rsidTr="000E2463">
        <w:tc>
          <w:tcPr>
            <w:tcW w:w="3708" w:type="dxa"/>
          </w:tcPr>
          <w:p w:rsidR="00440C4A" w:rsidRPr="002D3F96" w:rsidRDefault="00440C4A" w:rsidP="006C3182">
            <w:pPr>
              <w:rPr>
                <w:rFonts w:ascii="Arial" w:hAnsi="Arial" w:cs="Arial"/>
              </w:rPr>
            </w:pPr>
            <w:r w:rsidRPr="002D3F96">
              <w:rPr>
                <w:rFonts w:ascii="Arial" w:hAnsi="Arial" w:cs="Arial"/>
              </w:rPr>
              <w:t>Differentiate the position of our SUT program relative to others by marketing program quality, pass rates, cost of education, curriculum</w:t>
            </w:r>
            <w:r>
              <w:rPr>
                <w:rFonts w:ascii="Arial" w:hAnsi="Arial" w:cs="Arial"/>
              </w:rPr>
              <w:t>.</w:t>
            </w:r>
            <w:r w:rsidRPr="002D3F96">
              <w:rPr>
                <w:rFonts w:ascii="Arial" w:hAnsi="Arial" w:cs="Arial"/>
              </w:rPr>
              <w:t xml:space="preserve"> </w:t>
            </w:r>
          </w:p>
          <w:p w:rsidR="00440C4A" w:rsidRPr="00225B53" w:rsidRDefault="00440C4A" w:rsidP="00225B53">
            <w:pPr>
              <w:spacing w:after="200" w:line="276" w:lineRule="auto"/>
              <w:rPr>
                <w:rFonts w:ascii="Arial" w:hAnsi="Arial" w:cs="Arial"/>
              </w:rPr>
            </w:pPr>
          </w:p>
        </w:tc>
        <w:tc>
          <w:tcPr>
            <w:tcW w:w="2880" w:type="dxa"/>
          </w:tcPr>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In progress </w:t>
            </w:r>
            <w:r w:rsidR="00DA1FAD" w:rsidRPr="000E2463">
              <w:rPr>
                <w:rFonts w:ascii="Arial" w:hAnsi="Arial" w:cs="Arial"/>
                <w:color w:val="000000" w:themeColor="text1"/>
                <w:bdr w:val="single" w:sz="4" w:space="0" w:color="auto"/>
              </w:rPr>
              <w:t>X</w:t>
            </w:r>
          </w:p>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Completed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p w:rsidR="00440C4A" w:rsidRDefault="00440C4A" w:rsidP="006C3182">
            <w:pPr>
              <w:pStyle w:val="ListParagraph"/>
              <w:ind w:left="0"/>
              <w:rPr>
                <w:rFonts w:ascii="Arial" w:hAnsi="Arial" w:cs="Arial"/>
                <w:color w:val="000000" w:themeColor="text1"/>
              </w:rPr>
            </w:pPr>
          </w:p>
          <w:p w:rsidR="00440C4A" w:rsidRDefault="00440C4A" w:rsidP="006C31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12A4B">
              <w:fldChar w:fldCharType="begin">
                <w:ffData>
                  <w:name w:val="Check1"/>
                  <w:enabled/>
                  <w:calcOnExit w:val="0"/>
                  <w:checkBox>
                    <w:sizeAuto/>
                    <w:default w:val="0"/>
                  </w:checkBox>
                </w:ffData>
              </w:fldChar>
            </w:r>
            <w:r>
              <w:instrText xml:space="preserve"> FORMCHECKBOX </w:instrText>
            </w:r>
            <w:r w:rsidR="00DD3718">
              <w:fldChar w:fldCharType="separate"/>
            </w:r>
            <w:r w:rsidR="00D12A4B">
              <w:fldChar w:fldCharType="end"/>
            </w:r>
          </w:p>
        </w:tc>
        <w:tc>
          <w:tcPr>
            <w:tcW w:w="6300" w:type="dxa"/>
          </w:tcPr>
          <w:p w:rsidR="00D92CC0" w:rsidRDefault="00302EF4" w:rsidP="00004C1E">
            <w:pPr>
              <w:jc w:val="both"/>
            </w:pPr>
            <w:r>
              <w:t xml:space="preserve">The department has used existing resources to ensure information on the web is current, accurate, and assessable to prospective students who may be ‘shopping’ for a Surgical Technology Program.  </w:t>
            </w:r>
          </w:p>
          <w:p w:rsidR="00D92CC0" w:rsidRDefault="00D92CC0" w:rsidP="00004C1E">
            <w:pPr>
              <w:jc w:val="both"/>
            </w:pPr>
          </w:p>
          <w:p w:rsidR="00440C4A" w:rsidRDefault="00302EF4" w:rsidP="00004C1E">
            <w:pPr>
              <w:jc w:val="both"/>
            </w:pPr>
            <w:r>
              <w:t>There are 3 AAS Surgical Technology Programs within a 10 mile radius in Dayton alone.</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428" w:type="dxa"/>
        <w:shd w:val="clear" w:color="auto" w:fill="FFFFFF"/>
        <w:tblLayout w:type="fixed"/>
        <w:tblLook w:val="01E0" w:firstRow="1" w:lastRow="1" w:firstColumn="1" w:lastColumn="1" w:noHBand="0" w:noVBand="0"/>
      </w:tblPr>
      <w:tblGrid>
        <w:gridCol w:w="16"/>
        <w:gridCol w:w="3692"/>
        <w:gridCol w:w="1800"/>
        <w:gridCol w:w="1372"/>
        <w:gridCol w:w="2250"/>
        <w:gridCol w:w="4298"/>
      </w:tblGrid>
      <w:tr w:rsidR="00B34F9E" w:rsidRPr="004C52FC" w:rsidTr="00CF71C7">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800"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372"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29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CF71C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173752" w:rsidRPr="002144C9" w:rsidRDefault="00323F93" w:rsidP="00037152">
            <w:pPr>
              <w:rPr>
                <w:color w:val="000000" w:themeColor="text1"/>
              </w:rPr>
            </w:pPr>
            <w:r w:rsidRPr="002144C9">
              <w:rPr>
                <w:color w:val="000000" w:themeColor="text1"/>
              </w:rPr>
              <w:t>Case study exercise</w:t>
            </w:r>
            <w:r w:rsidR="005A41E6">
              <w:rPr>
                <w:color w:val="000000" w:themeColor="text1"/>
              </w:rPr>
              <w:t xml:space="preserve"> in SUT 1110 &amp; 1120</w:t>
            </w:r>
            <w:r w:rsidRPr="002144C9">
              <w:rPr>
                <w:color w:val="000000" w:themeColor="text1"/>
              </w:rPr>
              <w:t xml:space="preserve"> using ANGEL discussion forum</w:t>
            </w:r>
          </w:p>
          <w:p w:rsidR="00173752" w:rsidRPr="002144C9" w:rsidRDefault="00173752" w:rsidP="001D736E">
            <w:pPr>
              <w:ind w:left="72"/>
              <w:rPr>
                <w:color w:val="000000" w:themeColor="text1"/>
              </w:rPr>
            </w:pPr>
          </w:p>
        </w:tc>
        <w:tc>
          <w:tcPr>
            <w:tcW w:w="4298" w:type="dxa"/>
            <w:shd w:val="clear" w:color="auto" w:fill="auto"/>
          </w:tcPr>
          <w:p w:rsidR="00037152" w:rsidRPr="00D55216" w:rsidRDefault="00D55216" w:rsidP="00CF71C7">
            <w:pPr>
              <w:ind w:left="72"/>
              <w:rPr>
                <w:color w:val="000000" w:themeColor="text1"/>
              </w:rPr>
            </w:pPr>
            <w:r w:rsidRPr="00D55216">
              <w:rPr>
                <w:color w:val="000000" w:themeColor="text1"/>
              </w:rPr>
              <w:t>100% student participation met all assignment requirements i.e., adequate number of posts to classmates, identification of critical factors important to subject matter</w:t>
            </w:r>
            <w:r w:rsidR="00CF71C7">
              <w:rPr>
                <w:color w:val="000000" w:themeColor="text1"/>
              </w:rPr>
              <w:t xml:space="preserve"> etc.</w:t>
            </w:r>
          </w:p>
        </w:tc>
      </w:tr>
      <w:tr w:rsidR="00B34F9E" w:rsidRPr="004C52FC" w:rsidTr="00CF71C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29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CF71C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29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CF71C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29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173752" w:rsidRPr="004C52FC" w:rsidTr="00CF71C7">
        <w:trPr>
          <w:trHeight w:val="274"/>
        </w:trPr>
        <w:tc>
          <w:tcPr>
            <w:tcW w:w="3708" w:type="dxa"/>
            <w:gridSpan w:val="2"/>
            <w:tcBorders>
              <w:right w:val="single" w:sz="4" w:space="0" w:color="auto"/>
            </w:tcBorders>
            <w:shd w:val="clear" w:color="auto" w:fill="FFFFFF"/>
            <w:vAlign w:val="center"/>
          </w:tcPr>
          <w:p w:rsidR="00173752" w:rsidRPr="004C52FC" w:rsidRDefault="00173752" w:rsidP="00173752">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73752" w:rsidRPr="004C52FC" w:rsidRDefault="00173752" w:rsidP="00E706AE">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173752" w:rsidRPr="004C52FC" w:rsidRDefault="00173752"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173752" w:rsidRPr="004C52FC" w:rsidRDefault="00173752" w:rsidP="001D736E">
            <w:pPr>
              <w:ind w:left="72"/>
              <w:rPr>
                <w:rFonts w:asciiTheme="minorHAnsi" w:hAnsiTheme="minorHAnsi" w:cs="Arial"/>
                <w:color w:val="000000" w:themeColor="text1"/>
              </w:rPr>
            </w:pPr>
          </w:p>
        </w:tc>
        <w:tc>
          <w:tcPr>
            <w:tcW w:w="4298" w:type="dxa"/>
            <w:shd w:val="clear" w:color="auto" w:fill="000000" w:themeFill="text1"/>
          </w:tcPr>
          <w:p w:rsidR="00173752" w:rsidRPr="004C52FC" w:rsidRDefault="00173752" w:rsidP="001D736E">
            <w:pPr>
              <w:ind w:left="72"/>
              <w:rPr>
                <w:rFonts w:asciiTheme="minorHAnsi" w:hAnsiTheme="minorHAnsi" w:cs="Arial"/>
                <w:color w:val="000000" w:themeColor="text1"/>
              </w:rPr>
            </w:pPr>
          </w:p>
        </w:tc>
      </w:tr>
      <w:tr w:rsidR="00173752" w:rsidRPr="004C52FC" w:rsidTr="00CF71C7">
        <w:trPr>
          <w:trHeight w:val="274"/>
        </w:trPr>
        <w:tc>
          <w:tcPr>
            <w:tcW w:w="3708" w:type="dxa"/>
            <w:gridSpan w:val="2"/>
            <w:tcBorders>
              <w:right w:val="single" w:sz="4" w:space="0" w:color="auto"/>
            </w:tcBorders>
            <w:shd w:val="clear" w:color="auto" w:fill="FFFFFF"/>
            <w:vAlign w:val="center"/>
          </w:tcPr>
          <w:p w:rsidR="00173752" w:rsidRPr="004C52FC" w:rsidRDefault="00173752" w:rsidP="00173752">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73752" w:rsidRPr="004C52FC" w:rsidRDefault="00173752" w:rsidP="00E706AE">
            <w:pPr>
              <w:jc w:val="center"/>
              <w:rPr>
                <w:rFonts w:asciiTheme="minorHAnsi" w:hAnsiTheme="minorHAnsi"/>
              </w:rPr>
            </w:pPr>
            <w:r w:rsidRPr="004C52FC">
              <w:rPr>
                <w:rFonts w:asciiTheme="minorHAnsi" w:hAnsiTheme="minorHAnsi" w:cs="Arial"/>
                <w:color w:val="000000" w:themeColor="text1"/>
              </w:rPr>
              <w:t>All programs</w:t>
            </w:r>
          </w:p>
        </w:tc>
        <w:tc>
          <w:tcPr>
            <w:tcW w:w="1372" w:type="dxa"/>
            <w:shd w:val="clear" w:color="auto" w:fill="auto"/>
          </w:tcPr>
          <w:p w:rsidR="00173752" w:rsidRPr="004C52FC" w:rsidRDefault="00173752"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173752" w:rsidRPr="004C52FC" w:rsidRDefault="00173752" w:rsidP="001D736E">
            <w:pPr>
              <w:ind w:left="72"/>
              <w:rPr>
                <w:rFonts w:asciiTheme="minorHAnsi" w:hAnsiTheme="minorHAnsi" w:cs="Arial"/>
                <w:color w:val="000000" w:themeColor="text1"/>
              </w:rPr>
            </w:pPr>
          </w:p>
        </w:tc>
        <w:tc>
          <w:tcPr>
            <w:tcW w:w="4298" w:type="dxa"/>
            <w:shd w:val="clear" w:color="auto" w:fill="000000" w:themeFill="text1"/>
          </w:tcPr>
          <w:p w:rsidR="00173752" w:rsidRPr="004C52FC" w:rsidRDefault="00173752" w:rsidP="001D736E">
            <w:pPr>
              <w:ind w:left="72"/>
              <w:rPr>
                <w:rFonts w:asciiTheme="minorHAnsi" w:hAnsiTheme="minorHAnsi" w:cs="Arial"/>
                <w:color w:val="000000" w:themeColor="text1"/>
              </w:rPr>
            </w:pPr>
          </w:p>
        </w:tc>
      </w:tr>
      <w:tr w:rsidR="00173752" w:rsidRPr="004C52FC" w:rsidTr="00CF71C7">
        <w:trPr>
          <w:trHeight w:val="274"/>
        </w:trPr>
        <w:tc>
          <w:tcPr>
            <w:tcW w:w="3708" w:type="dxa"/>
            <w:gridSpan w:val="2"/>
            <w:shd w:val="clear" w:color="auto" w:fill="FFFFFF"/>
            <w:vAlign w:val="center"/>
          </w:tcPr>
          <w:p w:rsidR="00173752" w:rsidRPr="004C52FC" w:rsidRDefault="00173752" w:rsidP="003D6D6E">
            <w:pPr>
              <w:rPr>
                <w:rFonts w:asciiTheme="minorHAnsi" w:hAnsiTheme="minorHAnsi"/>
              </w:rPr>
            </w:pPr>
          </w:p>
        </w:tc>
        <w:tc>
          <w:tcPr>
            <w:tcW w:w="1800" w:type="dxa"/>
            <w:tcBorders>
              <w:top w:val="single" w:sz="4" w:space="0" w:color="auto"/>
            </w:tcBorders>
          </w:tcPr>
          <w:p w:rsidR="00173752" w:rsidRPr="004C52FC" w:rsidRDefault="00173752" w:rsidP="00BC12BF">
            <w:pPr>
              <w:jc w:val="center"/>
              <w:rPr>
                <w:rFonts w:asciiTheme="minorHAnsi" w:hAnsiTheme="minorHAnsi" w:cs="Arial"/>
                <w:color w:val="000000" w:themeColor="text1"/>
                <w:highlight w:val="yellow"/>
              </w:rPr>
            </w:pPr>
          </w:p>
        </w:tc>
        <w:tc>
          <w:tcPr>
            <w:tcW w:w="1372" w:type="dxa"/>
            <w:shd w:val="clear" w:color="auto" w:fill="auto"/>
          </w:tcPr>
          <w:p w:rsidR="00173752" w:rsidRPr="004C52FC" w:rsidRDefault="00173752" w:rsidP="00817DDA">
            <w:pPr>
              <w:jc w:val="center"/>
              <w:rPr>
                <w:rFonts w:asciiTheme="minorHAnsi" w:hAnsiTheme="minorHAnsi" w:cs="Arial"/>
                <w:color w:val="000000" w:themeColor="text1"/>
              </w:rPr>
            </w:pPr>
          </w:p>
        </w:tc>
        <w:tc>
          <w:tcPr>
            <w:tcW w:w="2250" w:type="dxa"/>
          </w:tcPr>
          <w:p w:rsidR="00173752" w:rsidRPr="004C52FC" w:rsidRDefault="00173752" w:rsidP="001D736E">
            <w:pPr>
              <w:ind w:left="72"/>
              <w:rPr>
                <w:rFonts w:asciiTheme="minorHAnsi" w:hAnsiTheme="minorHAnsi" w:cs="Arial"/>
                <w:color w:val="000000" w:themeColor="text1"/>
              </w:rPr>
            </w:pPr>
          </w:p>
        </w:tc>
        <w:tc>
          <w:tcPr>
            <w:tcW w:w="4298" w:type="dxa"/>
          </w:tcPr>
          <w:p w:rsidR="00173752" w:rsidRPr="004C52FC" w:rsidRDefault="00173752" w:rsidP="001D736E">
            <w:pPr>
              <w:ind w:left="72"/>
              <w:rPr>
                <w:rFonts w:asciiTheme="minorHAnsi" w:hAnsiTheme="minorHAnsi" w:cs="Arial"/>
                <w:color w:val="000000" w:themeColor="text1"/>
              </w:rPr>
            </w:pPr>
          </w:p>
        </w:tc>
      </w:tr>
      <w:tr w:rsidR="00173752" w:rsidRPr="004C52FC" w:rsidTr="00CF71C7">
        <w:trPr>
          <w:trHeight w:val="274"/>
        </w:trPr>
        <w:tc>
          <w:tcPr>
            <w:tcW w:w="3708" w:type="dxa"/>
            <w:gridSpan w:val="2"/>
            <w:shd w:val="clear" w:color="auto" w:fill="FFFFFF"/>
            <w:vAlign w:val="center"/>
          </w:tcPr>
          <w:p w:rsidR="00173752" w:rsidRPr="004C52FC" w:rsidRDefault="00173752">
            <w:pPr>
              <w:jc w:val="center"/>
              <w:rPr>
                <w:rFonts w:asciiTheme="minorHAnsi" w:hAnsiTheme="minorHAnsi"/>
                <w:b/>
              </w:rPr>
            </w:pPr>
            <w:r w:rsidRPr="004C52FC">
              <w:rPr>
                <w:rFonts w:asciiTheme="minorHAnsi" w:hAnsiTheme="minorHAnsi"/>
                <w:b/>
              </w:rPr>
              <w:t>Program Outcomes</w:t>
            </w:r>
          </w:p>
        </w:tc>
        <w:tc>
          <w:tcPr>
            <w:tcW w:w="1800" w:type="dxa"/>
          </w:tcPr>
          <w:p w:rsidR="00173752" w:rsidRPr="004C52FC" w:rsidRDefault="00173752"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72" w:type="dxa"/>
            <w:shd w:val="clear" w:color="auto" w:fill="auto"/>
          </w:tcPr>
          <w:p w:rsidR="00173752" w:rsidRPr="004C52FC" w:rsidRDefault="00173752"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173752" w:rsidRPr="004C52FC" w:rsidRDefault="00173752"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173752" w:rsidRPr="004C52FC" w:rsidRDefault="00173752"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173752" w:rsidRPr="004C52FC" w:rsidRDefault="00173752" w:rsidP="00C50A91">
            <w:pPr>
              <w:jc w:val="center"/>
              <w:rPr>
                <w:rFonts w:asciiTheme="minorHAnsi" w:hAnsiTheme="minorHAnsi" w:cs="Arial"/>
                <w:color w:val="000000" w:themeColor="text1"/>
                <w:sz w:val="20"/>
              </w:rPr>
            </w:pPr>
          </w:p>
        </w:tc>
        <w:tc>
          <w:tcPr>
            <w:tcW w:w="4298" w:type="dxa"/>
          </w:tcPr>
          <w:p w:rsidR="00173752" w:rsidRPr="004C52FC" w:rsidRDefault="00173752"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173752" w:rsidRPr="004C52FC" w:rsidRDefault="00173752"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73752" w:rsidRPr="004C52FC" w:rsidTr="00CF71C7">
        <w:trPr>
          <w:trHeight w:val="274"/>
        </w:trPr>
        <w:tc>
          <w:tcPr>
            <w:tcW w:w="3708" w:type="dxa"/>
            <w:gridSpan w:val="2"/>
            <w:shd w:val="clear" w:color="auto" w:fill="FFFFFF"/>
            <w:vAlign w:val="center"/>
          </w:tcPr>
          <w:p w:rsidR="00173752" w:rsidRPr="00814EB1" w:rsidRDefault="00173752" w:rsidP="0009262B">
            <w:pPr>
              <w:rPr>
                <w:rFonts w:ascii="Verdana" w:hAnsi="Verdana"/>
                <w:sz w:val="20"/>
                <w:szCs w:val="20"/>
              </w:rPr>
            </w:pPr>
            <w:r>
              <w:rPr>
                <w:rFonts w:ascii="Arial" w:hAnsi="Arial" w:cs="Arial"/>
              </w:rPr>
              <w:t>Utilize critical thinking as a basis for clinical judgment and anticipatory decision making when providing perioperative care.</w:t>
            </w:r>
          </w:p>
        </w:tc>
        <w:tc>
          <w:tcPr>
            <w:tcW w:w="1800" w:type="dxa"/>
            <w:vAlign w:val="center"/>
          </w:tcPr>
          <w:p w:rsidR="005A41E6" w:rsidRDefault="00173752" w:rsidP="005A41E6">
            <w:pPr>
              <w:rPr>
                <w:rFonts w:ascii="Arial" w:hAnsi="Arial" w:cs="Arial"/>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11</w:t>
            </w:r>
            <w:r>
              <w:rPr>
                <w:rFonts w:ascii="Arial" w:hAnsi="Arial" w:cs="Arial"/>
                <w:sz w:val="20"/>
                <w:szCs w:val="20"/>
              </w:rPr>
              <w:t>0</w:t>
            </w:r>
            <w:r w:rsidR="005A41E6">
              <w:rPr>
                <w:rFonts w:ascii="Arial" w:hAnsi="Arial" w:cs="Arial"/>
                <w:sz w:val="20"/>
                <w:szCs w:val="20"/>
              </w:rPr>
              <w:t>/</w:t>
            </w:r>
            <w:r>
              <w:rPr>
                <w:rFonts w:ascii="Arial" w:hAnsi="Arial" w:cs="Arial"/>
                <w:sz w:val="20"/>
                <w:szCs w:val="20"/>
              </w:rPr>
              <w:t>1117, 1</w:t>
            </w:r>
            <w:r w:rsidRPr="00EB3889">
              <w:rPr>
                <w:rFonts w:ascii="Arial" w:hAnsi="Arial" w:cs="Arial"/>
                <w:sz w:val="20"/>
                <w:szCs w:val="20"/>
              </w:rPr>
              <w:t>1</w:t>
            </w:r>
            <w:r>
              <w:rPr>
                <w:rFonts w:ascii="Arial" w:hAnsi="Arial" w:cs="Arial"/>
                <w:sz w:val="20"/>
                <w:szCs w:val="20"/>
              </w:rPr>
              <w:t>20</w:t>
            </w:r>
            <w:r w:rsidR="005A41E6">
              <w:rPr>
                <w:rFonts w:ascii="Arial" w:hAnsi="Arial" w:cs="Arial"/>
                <w:sz w:val="20"/>
                <w:szCs w:val="20"/>
              </w:rPr>
              <w:t>/</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005A41E6">
              <w:rPr>
                <w:rFonts w:ascii="Arial" w:hAnsi="Arial" w:cs="Arial"/>
                <w:sz w:val="20"/>
                <w:szCs w:val="20"/>
              </w:rPr>
              <w:t>/2117,</w:t>
            </w:r>
            <w:r w:rsidRPr="00EB3889">
              <w:rPr>
                <w:rFonts w:ascii="Arial" w:hAnsi="Arial" w:cs="Arial"/>
                <w:sz w:val="20"/>
                <w:szCs w:val="20"/>
              </w:rPr>
              <w:t xml:space="preserve"> 212</w:t>
            </w:r>
            <w:r>
              <w:rPr>
                <w:rFonts w:ascii="Arial" w:hAnsi="Arial" w:cs="Arial"/>
                <w:sz w:val="20"/>
                <w:szCs w:val="20"/>
              </w:rPr>
              <w:t>0</w:t>
            </w:r>
            <w:r w:rsidR="005A41E6">
              <w:rPr>
                <w:rFonts w:ascii="Arial" w:hAnsi="Arial" w:cs="Arial"/>
                <w:sz w:val="20"/>
                <w:szCs w:val="20"/>
              </w:rPr>
              <w:t>/</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005A41E6">
              <w:rPr>
                <w:rFonts w:ascii="Arial" w:hAnsi="Arial" w:cs="Arial"/>
                <w:sz w:val="20"/>
                <w:szCs w:val="20"/>
              </w:rPr>
              <w:t>/</w:t>
            </w:r>
            <w:r>
              <w:rPr>
                <w:rFonts w:ascii="Arial" w:hAnsi="Arial" w:cs="Arial"/>
                <w:sz w:val="20"/>
                <w:szCs w:val="20"/>
              </w:rPr>
              <w:t xml:space="preserve">2207, </w:t>
            </w:r>
          </w:p>
          <w:p w:rsidR="00173752" w:rsidRPr="00EB3889" w:rsidRDefault="00173752" w:rsidP="005A41E6">
            <w:pPr>
              <w:rPr>
                <w:rFonts w:ascii="Verdana" w:hAnsi="Verdana"/>
                <w:sz w:val="20"/>
                <w:szCs w:val="20"/>
              </w:rPr>
            </w:pPr>
            <w:r w:rsidRPr="00EB3889">
              <w:rPr>
                <w:rFonts w:ascii="Arial" w:hAnsi="Arial" w:cs="Arial"/>
                <w:sz w:val="20"/>
                <w:szCs w:val="20"/>
              </w:rPr>
              <w:t xml:space="preserve">BIO </w:t>
            </w:r>
            <w:r>
              <w:rPr>
                <w:rFonts w:ascii="Arial" w:hAnsi="Arial" w:cs="Arial"/>
                <w:sz w:val="20"/>
                <w:szCs w:val="20"/>
              </w:rPr>
              <w:t>1</w:t>
            </w:r>
            <w:r w:rsidRPr="00EB3889">
              <w:rPr>
                <w:rFonts w:ascii="Arial" w:hAnsi="Arial" w:cs="Arial"/>
                <w:sz w:val="20"/>
                <w:szCs w:val="20"/>
              </w:rPr>
              <w:t>1</w:t>
            </w:r>
            <w:r>
              <w:rPr>
                <w:rFonts w:ascii="Arial" w:hAnsi="Arial" w:cs="Arial"/>
                <w:sz w:val="20"/>
                <w:szCs w:val="20"/>
              </w:rPr>
              <w:t>2</w:t>
            </w:r>
            <w:r w:rsidRPr="00EB3889">
              <w:rPr>
                <w:rFonts w:ascii="Arial" w:hAnsi="Arial" w:cs="Arial"/>
                <w:sz w:val="20"/>
                <w:szCs w:val="20"/>
              </w:rPr>
              <w:t>1</w:t>
            </w:r>
            <w:r w:rsidR="005A41E6">
              <w:rPr>
                <w:rFonts w:ascii="Arial" w:hAnsi="Arial" w:cs="Arial"/>
                <w:sz w:val="20"/>
                <w:szCs w:val="20"/>
              </w:rPr>
              <w:t>,</w:t>
            </w:r>
            <w:r>
              <w:rPr>
                <w:rFonts w:ascii="Arial" w:hAnsi="Arial" w:cs="Arial"/>
                <w:sz w:val="20"/>
                <w:szCs w:val="20"/>
              </w:rPr>
              <w:t>1</w:t>
            </w:r>
            <w:r w:rsidR="00480B9A">
              <w:rPr>
                <w:rFonts w:ascii="Arial" w:hAnsi="Arial" w:cs="Arial"/>
                <w:sz w:val="20"/>
                <w:szCs w:val="20"/>
              </w:rPr>
              <w:t>2</w:t>
            </w:r>
            <w:r>
              <w:rPr>
                <w:rFonts w:ascii="Arial" w:hAnsi="Arial" w:cs="Arial"/>
                <w:sz w:val="20"/>
                <w:szCs w:val="20"/>
              </w:rPr>
              <w:t>2</w:t>
            </w:r>
            <w:r w:rsidRPr="00EB3889">
              <w:rPr>
                <w:rFonts w:ascii="Arial" w:hAnsi="Arial" w:cs="Arial"/>
                <w:sz w:val="20"/>
                <w:szCs w:val="20"/>
              </w:rPr>
              <w:t xml:space="preserve">2, </w:t>
            </w:r>
            <w:r>
              <w:rPr>
                <w:rFonts w:ascii="Arial" w:hAnsi="Arial" w:cs="Arial"/>
                <w:sz w:val="20"/>
                <w:szCs w:val="20"/>
              </w:rPr>
              <w:t>2</w:t>
            </w:r>
            <w:r w:rsidRPr="00EB3889">
              <w:rPr>
                <w:rFonts w:ascii="Arial" w:hAnsi="Arial" w:cs="Arial"/>
                <w:sz w:val="20"/>
                <w:szCs w:val="20"/>
              </w:rPr>
              <w:t xml:space="preserve">205;  ALH </w:t>
            </w:r>
            <w:r>
              <w:rPr>
                <w:rFonts w:ascii="Arial" w:hAnsi="Arial" w:cs="Arial"/>
                <w:sz w:val="20"/>
                <w:szCs w:val="20"/>
              </w:rPr>
              <w:t>1142, 1201</w:t>
            </w:r>
            <w:r w:rsidRPr="00EB3889">
              <w:rPr>
                <w:rFonts w:ascii="Arial" w:hAnsi="Arial" w:cs="Arial"/>
                <w:sz w:val="20"/>
                <w:szCs w:val="20"/>
              </w:rPr>
              <w:t>; MAT 1</w:t>
            </w:r>
            <w:r>
              <w:rPr>
                <w:rFonts w:ascii="Arial" w:hAnsi="Arial" w:cs="Arial"/>
                <w:sz w:val="20"/>
                <w:szCs w:val="20"/>
              </w:rPr>
              <w:t>130, SUT Elective</w:t>
            </w:r>
          </w:p>
        </w:tc>
        <w:tc>
          <w:tcPr>
            <w:tcW w:w="1372" w:type="dxa"/>
            <w:shd w:val="clear" w:color="auto" w:fill="auto"/>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CC0" w:rsidRDefault="00D92CC0" w:rsidP="00D92CC0">
            <w:r w:rsidRPr="003470C3">
              <w:t xml:space="preserve">End of </w:t>
            </w:r>
            <w:r>
              <w:t xml:space="preserve"> Semester</w:t>
            </w:r>
            <w:r w:rsidRPr="003470C3">
              <w:t xml:space="preserve"> Skills Assessment – SUT 111</w:t>
            </w:r>
            <w:r>
              <w:t xml:space="preserve">0 </w:t>
            </w:r>
            <w:r w:rsidRPr="003470C3">
              <w:t>/</w:t>
            </w:r>
            <w:r>
              <w:t xml:space="preserve"> </w:t>
            </w:r>
            <w:r w:rsidRPr="003470C3">
              <w:t>112</w:t>
            </w:r>
            <w:r>
              <w:t>0</w:t>
            </w:r>
          </w:p>
          <w:p w:rsidR="00D92CC0" w:rsidRDefault="00D92CC0" w:rsidP="00D92CC0"/>
          <w:p w:rsidR="00D92CC0" w:rsidRDefault="00D92CC0" w:rsidP="00D92CC0"/>
          <w:p w:rsidR="00173752" w:rsidRPr="004C52FC" w:rsidRDefault="00173752" w:rsidP="003470C3">
            <w:pPr>
              <w:rPr>
                <w:rFonts w:asciiTheme="minorHAnsi" w:hAnsiTheme="minorHAnsi" w:cs="Arial"/>
                <w:color w:val="000000" w:themeColor="text1"/>
              </w:rPr>
            </w:pPr>
          </w:p>
        </w:tc>
        <w:tc>
          <w:tcPr>
            <w:tcW w:w="4298" w:type="dxa"/>
          </w:tcPr>
          <w:p w:rsidR="00173752" w:rsidRDefault="00D92EF6" w:rsidP="003470C3">
            <w:pPr>
              <w:ind w:left="72"/>
            </w:pPr>
            <w:r>
              <w:t>100% pass rate on the summative skills assessment.</w:t>
            </w:r>
          </w:p>
          <w:p w:rsidR="00D92EF6" w:rsidRDefault="00D92EF6" w:rsidP="003470C3">
            <w:pPr>
              <w:ind w:left="72"/>
            </w:pPr>
          </w:p>
          <w:p w:rsidR="00D92EF6" w:rsidRDefault="00D92EF6" w:rsidP="003470C3">
            <w:pPr>
              <w:ind w:left="72"/>
            </w:pPr>
            <w:r>
              <w:t>All essential skills assessed using rubric.</w:t>
            </w:r>
          </w:p>
          <w:p w:rsidR="00CF71C7" w:rsidRDefault="00CF71C7" w:rsidP="003470C3">
            <w:pPr>
              <w:ind w:left="72"/>
            </w:pPr>
          </w:p>
          <w:p w:rsidR="00CF71C7" w:rsidRPr="004C52FC" w:rsidRDefault="00CF71C7" w:rsidP="003470C3">
            <w:pPr>
              <w:ind w:left="72"/>
              <w:rPr>
                <w:rFonts w:asciiTheme="minorHAnsi" w:hAnsiTheme="minorHAnsi" w:cs="Arial"/>
                <w:color w:val="000000" w:themeColor="text1"/>
              </w:rPr>
            </w:pPr>
          </w:p>
        </w:tc>
      </w:tr>
      <w:tr w:rsidR="00173752" w:rsidRPr="004C52FC" w:rsidTr="00CF71C7">
        <w:trPr>
          <w:trHeight w:val="72"/>
        </w:trPr>
        <w:tc>
          <w:tcPr>
            <w:tcW w:w="3708" w:type="dxa"/>
            <w:gridSpan w:val="2"/>
            <w:shd w:val="clear" w:color="auto" w:fill="FFFFFF"/>
            <w:vAlign w:val="center"/>
          </w:tcPr>
          <w:p w:rsidR="00173752" w:rsidRPr="00814EB1" w:rsidRDefault="00173752" w:rsidP="0009262B">
            <w:pPr>
              <w:rPr>
                <w:rFonts w:ascii="Verdana" w:hAnsi="Verdana"/>
                <w:sz w:val="20"/>
                <w:szCs w:val="20"/>
              </w:rPr>
            </w:pPr>
            <w:r>
              <w:rPr>
                <w:rFonts w:ascii="Arial" w:hAnsi="Arial" w:cs="Arial"/>
              </w:rPr>
              <w:t>Demonstrate safe performance of perioperative skills.</w:t>
            </w:r>
          </w:p>
        </w:tc>
        <w:tc>
          <w:tcPr>
            <w:tcW w:w="1800" w:type="dxa"/>
            <w:vAlign w:val="center"/>
          </w:tcPr>
          <w:p w:rsidR="00173752" w:rsidRPr="00EB3889" w:rsidRDefault="00173752" w:rsidP="0009262B">
            <w:pPr>
              <w:rPr>
                <w:rFonts w:ascii="Verdana" w:hAnsi="Verdana"/>
                <w:sz w:val="20"/>
                <w:szCs w:val="20"/>
              </w:rPr>
            </w:pPr>
            <w:r w:rsidRPr="00EB3889">
              <w:rPr>
                <w:rFonts w:ascii="Arial" w:hAnsi="Arial" w:cs="Arial"/>
                <w:sz w:val="20"/>
                <w:szCs w:val="20"/>
              </w:rPr>
              <w:t xml:space="preserve">SUT </w:t>
            </w:r>
            <w:r>
              <w:rPr>
                <w:rFonts w:ascii="Arial" w:hAnsi="Arial" w:cs="Arial"/>
                <w:sz w:val="20"/>
                <w:szCs w:val="20"/>
              </w:rPr>
              <w:t>1</w:t>
            </w:r>
            <w:r w:rsidRPr="00EB3889">
              <w:rPr>
                <w:rFonts w:ascii="Arial" w:hAnsi="Arial" w:cs="Arial"/>
                <w:sz w:val="20"/>
                <w:szCs w:val="20"/>
              </w:rPr>
              <w:t>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w:t>
            </w:r>
            <w:r>
              <w:rPr>
                <w:rFonts w:ascii="Arial" w:hAnsi="Arial" w:cs="Arial"/>
                <w:sz w:val="20"/>
                <w:szCs w:val="20"/>
              </w:rPr>
              <w:t xml:space="preserve"> 2207, </w:t>
            </w:r>
            <w:r w:rsidRPr="00EB3889">
              <w:rPr>
                <w:rFonts w:ascii="Arial" w:hAnsi="Arial" w:cs="Arial"/>
                <w:sz w:val="20"/>
                <w:szCs w:val="20"/>
              </w:rPr>
              <w:t xml:space="preserve"> 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w:t>
            </w:r>
            <w:r>
              <w:rPr>
                <w:rFonts w:ascii="Arial" w:hAnsi="Arial" w:cs="Arial"/>
                <w:sz w:val="20"/>
                <w:szCs w:val="20"/>
              </w:rPr>
              <w:lastRenderedPageBreak/>
              <w:t>or 2211</w:t>
            </w:r>
            <w:r w:rsidRPr="00EB3889">
              <w:rPr>
                <w:rFonts w:ascii="Arial" w:hAnsi="Arial" w:cs="Arial"/>
                <w:sz w:val="20"/>
                <w:szCs w:val="20"/>
              </w:rPr>
              <w:t xml:space="preserve">; HIM </w:t>
            </w:r>
            <w:r>
              <w:rPr>
                <w:rFonts w:ascii="Arial" w:hAnsi="Arial" w:cs="Arial"/>
                <w:sz w:val="20"/>
                <w:szCs w:val="20"/>
              </w:rPr>
              <w:t>1</w:t>
            </w:r>
            <w:r w:rsidRPr="00EB3889">
              <w:rPr>
                <w:rFonts w:ascii="Arial" w:hAnsi="Arial" w:cs="Arial"/>
                <w:sz w:val="20"/>
                <w:szCs w:val="20"/>
              </w:rPr>
              <w:t>1</w:t>
            </w:r>
            <w:r>
              <w:rPr>
                <w:rFonts w:ascii="Arial" w:hAnsi="Arial" w:cs="Arial"/>
                <w:sz w:val="20"/>
                <w:szCs w:val="20"/>
              </w:rPr>
              <w:t>0</w:t>
            </w:r>
            <w:r w:rsidRPr="00EB3889">
              <w:rPr>
                <w:rFonts w:ascii="Arial" w:hAnsi="Arial" w:cs="Arial"/>
                <w:sz w:val="20"/>
                <w:szCs w:val="20"/>
              </w:rPr>
              <w:t>1; MAT 1</w:t>
            </w:r>
            <w:r>
              <w:rPr>
                <w:rFonts w:ascii="Arial" w:hAnsi="Arial" w:cs="Arial"/>
                <w:sz w:val="20"/>
                <w:szCs w:val="20"/>
              </w:rPr>
              <w:t>130</w:t>
            </w:r>
            <w:r w:rsidRPr="00EB3889">
              <w:rPr>
                <w:rFonts w:ascii="Arial" w:hAnsi="Arial" w:cs="Arial"/>
                <w:sz w:val="20"/>
                <w:szCs w:val="20"/>
              </w:rPr>
              <w:t xml:space="preserve">;  BIO </w:t>
            </w:r>
            <w:r>
              <w:rPr>
                <w:rFonts w:ascii="Arial" w:hAnsi="Arial" w:cs="Arial"/>
                <w:sz w:val="20"/>
                <w:szCs w:val="20"/>
              </w:rPr>
              <w:t>1</w:t>
            </w:r>
            <w:r w:rsidRPr="00EB3889">
              <w:rPr>
                <w:rFonts w:ascii="Arial" w:hAnsi="Arial" w:cs="Arial"/>
                <w:sz w:val="20"/>
                <w:szCs w:val="20"/>
              </w:rPr>
              <w:t>1</w:t>
            </w:r>
            <w:r>
              <w:rPr>
                <w:rFonts w:ascii="Arial" w:hAnsi="Arial" w:cs="Arial"/>
                <w:sz w:val="20"/>
                <w:szCs w:val="20"/>
              </w:rPr>
              <w:t>21, 1122</w:t>
            </w:r>
            <w:r w:rsidRPr="00EB3889">
              <w:rPr>
                <w:rFonts w:ascii="Arial" w:hAnsi="Arial" w:cs="Arial"/>
                <w:sz w:val="20"/>
                <w:szCs w:val="20"/>
              </w:rPr>
              <w:t xml:space="preserve">, </w:t>
            </w:r>
            <w:r>
              <w:rPr>
                <w:rFonts w:ascii="Arial" w:hAnsi="Arial" w:cs="Arial"/>
                <w:sz w:val="20"/>
                <w:szCs w:val="20"/>
              </w:rPr>
              <w:t>2</w:t>
            </w:r>
            <w:r w:rsidRPr="00EB3889">
              <w:rPr>
                <w:rFonts w:ascii="Arial" w:hAnsi="Arial" w:cs="Arial"/>
                <w:sz w:val="20"/>
                <w:szCs w:val="20"/>
              </w:rPr>
              <w:t xml:space="preserve">205; ALH </w:t>
            </w:r>
            <w:r>
              <w:rPr>
                <w:rFonts w:ascii="Arial" w:hAnsi="Arial" w:cs="Arial"/>
                <w:sz w:val="20"/>
                <w:szCs w:val="20"/>
              </w:rPr>
              <w:t>1142</w:t>
            </w:r>
          </w:p>
        </w:tc>
        <w:tc>
          <w:tcPr>
            <w:tcW w:w="1372" w:type="dxa"/>
            <w:shd w:val="clear" w:color="auto" w:fill="auto"/>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lastRenderedPageBreak/>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EF6" w:rsidRPr="003470C3" w:rsidRDefault="00D92EF6" w:rsidP="00D92EF6">
            <w:r w:rsidRPr="003470C3">
              <w:t>End of  Semester Skills Assessment – SUT 1110 / 112</w:t>
            </w:r>
            <w:r>
              <w:t>0</w:t>
            </w:r>
          </w:p>
          <w:p w:rsidR="00173752" w:rsidRPr="004C52FC" w:rsidRDefault="00173752" w:rsidP="003470C3">
            <w:pPr>
              <w:ind w:left="72"/>
              <w:rPr>
                <w:rFonts w:asciiTheme="minorHAnsi" w:hAnsiTheme="minorHAnsi" w:cs="Arial"/>
                <w:color w:val="000000" w:themeColor="text1"/>
              </w:rPr>
            </w:pPr>
          </w:p>
        </w:tc>
        <w:tc>
          <w:tcPr>
            <w:tcW w:w="4298" w:type="dxa"/>
          </w:tcPr>
          <w:p w:rsidR="00173752" w:rsidRDefault="00D92EF6" w:rsidP="003470C3">
            <w:r>
              <w:t>100% pass rate on the summative skills assessment.</w:t>
            </w:r>
          </w:p>
          <w:p w:rsidR="00D92EF6" w:rsidRDefault="00D92EF6" w:rsidP="003470C3"/>
          <w:p w:rsidR="00D92EF6" w:rsidRPr="004C52FC" w:rsidRDefault="00D92EF6" w:rsidP="003470C3">
            <w:pPr>
              <w:rPr>
                <w:rFonts w:asciiTheme="minorHAnsi" w:hAnsiTheme="minorHAnsi" w:cs="Arial"/>
                <w:color w:val="000000" w:themeColor="text1"/>
              </w:rPr>
            </w:pPr>
            <w:r>
              <w:t>All essential skills assessed using rubric.</w:t>
            </w:r>
          </w:p>
        </w:tc>
      </w:tr>
      <w:tr w:rsidR="00173752" w:rsidRPr="004C52FC" w:rsidTr="00CF71C7">
        <w:trPr>
          <w:trHeight w:val="72"/>
        </w:trPr>
        <w:tc>
          <w:tcPr>
            <w:tcW w:w="3708" w:type="dxa"/>
            <w:gridSpan w:val="2"/>
            <w:shd w:val="clear" w:color="auto" w:fill="FFFFFF"/>
            <w:vAlign w:val="center"/>
          </w:tcPr>
          <w:p w:rsidR="00173752" w:rsidRPr="00814EB1" w:rsidRDefault="00173752" w:rsidP="0009262B">
            <w:pPr>
              <w:rPr>
                <w:rFonts w:ascii="Verdana" w:hAnsi="Verdana"/>
                <w:sz w:val="20"/>
                <w:szCs w:val="20"/>
              </w:rPr>
            </w:pPr>
            <w:r>
              <w:rPr>
                <w:rFonts w:ascii="Arial" w:hAnsi="Arial" w:cs="Arial"/>
              </w:rPr>
              <w:lastRenderedPageBreak/>
              <w:t>Demonstrate professional behaviors of caring, accountability, responsibility, and respect for the patient’s rights of privacy, confidentiality, dignity, comfort, and quality of care.</w:t>
            </w:r>
          </w:p>
        </w:tc>
        <w:tc>
          <w:tcPr>
            <w:tcW w:w="1800" w:type="dxa"/>
            <w:vAlign w:val="center"/>
          </w:tcPr>
          <w:p w:rsidR="00173752" w:rsidRPr="00EB3889" w:rsidRDefault="00173752" w:rsidP="0009262B">
            <w:pPr>
              <w:rPr>
                <w:rFonts w:ascii="Verdana" w:hAnsi="Verdana"/>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2207, </w:t>
            </w:r>
            <w:r w:rsidRPr="00EB3889">
              <w:rPr>
                <w:rFonts w:ascii="Arial" w:hAnsi="Arial" w:cs="Arial"/>
                <w:sz w:val="20"/>
                <w:szCs w:val="20"/>
              </w:rPr>
              <w:t xml:space="preserve">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or 2211</w:t>
            </w:r>
            <w:r w:rsidRPr="00EB3889">
              <w:rPr>
                <w:rFonts w:ascii="Arial" w:hAnsi="Arial" w:cs="Arial"/>
                <w:sz w:val="20"/>
                <w:szCs w:val="20"/>
              </w:rPr>
              <w:t xml:space="preserve">; ALH </w:t>
            </w:r>
            <w:r>
              <w:rPr>
                <w:rFonts w:ascii="Arial" w:hAnsi="Arial" w:cs="Arial"/>
                <w:sz w:val="20"/>
                <w:szCs w:val="20"/>
              </w:rPr>
              <w:t>1</w:t>
            </w:r>
            <w:r w:rsidRPr="00EB3889">
              <w:rPr>
                <w:rFonts w:ascii="Arial" w:hAnsi="Arial" w:cs="Arial"/>
                <w:sz w:val="20"/>
                <w:szCs w:val="20"/>
              </w:rPr>
              <w:t>10</w:t>
            </w:r>
            <w:r>
              <w:rPr>
                <w:rFonts w:ascii="Arial" w:hAnsi="Arial" w:cs="Arial"/>
                <w:sz w:val="20"/>
                <w:szCs w:val="20"/>
              </w:rPr>
              <w:t>1</w:t>
            </w:r>
            <w:r w:rsidRPr="00EB3889">
              <w:rPr>
                <w:rFonts w:ascii="Arial" w:hAnsi="Arial" w:cs="Arial"/>
                <w:sz w:val="20"/>
                <w:szCs w:val="20"/>
              </w:rPr>
              <w:t xml:space="preserve">; PSY </w:t>
            </w:r>
            <w:r>
              <w:rPr>
                <w:rFonts w:ascii="Arial" w:hAnsi="Arial" w:cs="Arial"/>
                <w:sz w:val="20"/>
                <w:szCs w:val="20"/>
              </w:rPr>
              <w:t>1100,</w:t>
            </w:r>
            <w:r w:rsidRPr="00EB3889">
              <w:rPr>
                <w:rFonts w:ascii="Arial" w:hAnsi="Arial" w:cs="Arial"/>
                <w:sz w:val="20"/>
                <w:szCs w:val="20"/>
              </w:rPr>
              <w:t xml:space="preserve"> HUM Elective</w:t>
            </w:r>
            <w:r>
              <w:rPr>
                <w:rFonts w:ascii="Arial" w:hAnsi="Arial" w:cs="Arial"/>
                <w:sz w:val="20"/>
                <w:szCs w:val="20"/>
              </w:rPr>
              <w:t>, SUT Elective</w:t>
            </w:r>
          </w:p>
        </w:tc>
        <w:tc>
          <w:tcPr>
            <w:tcW w:w="1372" w:type="dxa"/>
            <w:shd w:val="clear" w:color="auto" w:fill="auto"/>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EF6" w:rsidRDefault="00D92EF6" w:rsidP="00D92EF6">
            <w:pPr>
              <w:ind w:left="72"/>
            </w:pPr>
            <w:r>
              <w:t>End of Course Faculty and Preceptor Evaluations</w:t>
            </w:r>
          </w:p>
          <w:p w:rsidR="00173752" w:rsidRPr="004C52FC" w:rsidRDefault="00173752" w:rsidP="003470C3">
            <w:pPr>
              <w:ind w:left="72"/>
              <w:rPr>
                <w:rFonts w:asciiTheme="minorHAnsi" w:hAnsiTheme="minorHAnsi" w:cs="Arial"/>
                <w:color w:val="000000" w:themeColor="text1"/>
              </w:rPr>
            </w:pPr>
          </w:p>
        </w:tc>
        <w:tc>
          <w:tcPr>
            <w:tcW w:w="4298" w:type="dxa"/>
          </w:tcPr>
          <w:p w:rsidR="00173752" w:rsidRPr="004C52FC" w:rsidRDefault="00783322" w:rsidP="00E64C00">
            <w:pPr>
              <w:ind w:left="72"/>
              <w:rPr>
                <w:rFonts w:asciiTheme="minorHAnsi" w:hAnsiTheme="minorHAnsi" w:cs="Arial"/>
                <w:color w:val="000000" w:themeColor="text1"/>
              </w:rPr>
            </w:pPr>
            <w:r w:rsidRPr="00E64C00">
              <w:t xml:space="preserve">100% of the students evaluated using the </w:t>
            </w:r>
            <w:r>
              <w:t>end of course faculty and preceptor evaluations showed a score of 3 or 4 in each category.</w:t>
            </w:r>
            <w:r w:rsidR="00037152">
              <w:rPr>
                <w:rFonts w:ascii="Arial" w:hAnsi="Arial" w:cs="Arial"/>
                <w:color w:val="000000" w:themeColor="text1"/>
              </w:rPr>
              <w:fldChar w:fldCharType="begin">
                <w:ffData>
                  <w:name w:val="Text1"/>
                  <w:enabled/>
                  <w:calcOnExit w:val="0"/>
                  <w:textInput/>
                </w:ffData>
              </w:fldChar>
            </w:r>
            <w:r w:rsidR="00037152">
              <w:rPr>
                <w:rFonts w:ascii="Arial" w:hAnsi="Arial" w:cs="Arial"/>
                <w:color w:val="000000" w:themeColor="text1"/>
              </w:rPr>
              <w:instrText xml:space="preserve"> FORMTEXT </w:instrText>
            </w:r>
            <w:r w:rsidR="00037152">
              <w:rPr>
                <w:rFonts w:ascii="Arial" w:hAnsi="Arial" w:cs="Arial"/>
                <w:color w:val="000000" w:themeColor="text1"/>
              </w:rPr>
            </w:r>
            <w:r w:rsidR="00037152">
              <w:rPr>
                <w:rFonts w:ascii="Arial" w:hAnsi="Arial" w:cs="Arial"/>
                <w:color w:val="000000" w:themeColor="text1"/>
              </w:rPr>
              <w:fldChar w:fldCharType="separate"/>
            </w:r>
            <w:r w:rsidR="00037152">
              <w:rPr>
                <w:rFonts w:ascii="Arial" w:hAnsi="Arial" w:cs="Arial"/>
                <w:color w:val="000000" w:themeColor="text1"/>
              </w:rPr>
              <w:t> </w:t>
            </w:r>
            <w:r w:rsidR="00037152">
              <w:rPr>
                <w:rFonts w:ascii="Arial" w:hAnsi="Arial" w:cs="Arial"/>
                <w:color w:val="000000" w:themeColor="text1"/>
              </w:rPr>
              <w:t> </w:t>
            </w:r>
            <w:r w:rsidR="00037152">
              <w:rPr>
                <w:rFonts w:ascii="Arial" w:hAnsi="Arial" w:cs="Arial"/>
                <w:color w:val="000000" w:themeColor="text1"/>
              </w:rPr>
              <w:t> </w:t>
            </w:r>
            <w:r w:rsidR="00037152">
              <w:rPr>
                <w:rFonts w:ascii="Arial" w:hAnsi="Arial" w:cs="Arial"/>
                <w:color w:val="000000" w:themeColor="text1"/>
              </w:rPr>
              <w:t> </w:t>
            </w:r>
            <w:r w:rsidR="00037152">
              <w:rPr>
                <w:rFonts w:ascii="Arial" w:hAnsi="Arial" w:cs="Arial"/>
                <w:color w:val="000000" w:themeColor="text1"/>
              </w:rPr>
              <w:t> </w:t>
            </w:r>
            <w:r w:rsidR="00037152">
              <w:rPr>
                <w:rFonts w:ascii="Arial" w:hAnsi="Arial" w:cs="Arial"/>
                <w:color w:val="000000" w:themeColor="text1"/>
              </w:rPr>
              <w:fldChar w:fldCharType="end"/>
            </w:r>
          </w:p>
        </w:tc>
      </w:tr>
      <w:tr w:rsidR="00173752" w:rsidRPr="004C52FC" w:rsidTr="00CF71C7">
        <w:tblPrEx>
          <w:shd w:val="clear" w:color="auto" w:fill="auto"/>
          <w:tblLook w:val="04A0" w:firstRow="1" w:lastRow="0" w:firstColumn="1" w:lastColumn="0" w:noHBand="0" w:noVBand="1"/>
        </w:tblPrEx>
        <w:trPr>
          <w:trHeight w:val="72"/>
        </w:trPr>
        <w:tc>
          <w:tcPr>
            <w:tcW w:w="3708" w:type="dxa"/>
            <w:gridSpan w:val="2"/>
            <w:vAlign w:val="center"/>
          </w:tcPr>
          <w:p w:rsidR="00173752" w:rsidRDefault="00173752" w:rsidP="0009262B">
            <w:pPr>
              <w:rPr>
                <w:rFonts w:ascii="Arial" w:hAnsi="Arial" w:cs="Arial"/>
              </w:rPr>
            </w:pPr>
            <w:r>
              <w:rPr>
                <w:rFonts w:ascii="Arial" w:hAnsi="Arial" w:cs="Arial"/>
              </w:rPr>
              <w:t>Utilize effective interpersonal communication and group process skills.</w:t>
            </w:r>
          </w:p>
        </w:tc>
        <w:tc>
          <w:tcPr>
            <w:tcW w:w="1800" w:type="dxa"/>
            <w:vAlign w:val="center"/>
          </w:tcPr>
          <w:p w:rsidR="00173752" w:rsidRPr="00EB3889" w:rsidRDefault="00173752" w:rsidP="0009262B">
            <w:pPr>
              <w:rPr>
                <w:rFonts w:ascii="Arial" w:hAnsi="Arial" w:cs="Arial"/>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2127, 2</w:t>
            </w:r>
            <w:r w:rsidRPr="00EB3889">
              <w:rPr>
                <w:rFonts w:ascii="Arial" w:hAnsi="Arial" w:cs="Arial"/>
                <w:sz w:val="20"/>
                <w:szCs w:val="20"/>
              </w:rPr>
              <w:t>20</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2207, </w:t>
            </w:r>
            <w:r w:rsidRPr="00EB3889">
              <w:rPr>
                <w:rFonts w:ascii="Arial" w:hAnsi="Arial" w:cs="Arial"/>
                <w:sz w:val="20"/>
                <w:szCs w:val="20"/>
              </w:rPr>
              <w:t xml:space="preserve">COM </w:t>
            </w:r>
            <w:r>
              <w:rPr>
                <w:rFonts w:ascii="Arial" w:hAnsi="Arial" w:cs="Arial"/>
                <w:sz w:val="20"/>
                <w:szCs w:val="20"/>
              </w:rPr>
              <w:t>2</w:t>
            </w:r>
            <w:r w:rsidRPr="00EB3889">
              <w:rPr>
                <w:rFonts w:ascii="Arial" w:hAnsi="Arial" w:cs="Arial"/>
                <w:sz w:val="20"/>
                <w:szCs w:val="20"/>
              </w:rPr>
              <w:t>206</w:t>
            </w:r>
            <w:r>
              <w:rPr>
                <w:rFonts w:ascii="Arial" w:hAnsi="Arial" w:cs="Arial"/>
                <w:sz w:val="20"/>
                <w:szCs w:val="20"/>
              </w:rPr>
              <w:t xml:space="preserve"> or 2211</w:t>
            </w:r>
            <w:r w:rsidRPr="00EB3889">
              <w:rPr>
                <w:rFonts w:ascii="Arial" w:hAnsi="Arial" w:cs="Arial"/>
                <w:sz w:val="20"/>
                <w:szCs w:val="20"/>
              </w:rPr>
              <w:t xml:space="preserve">; ALH </w:t>
            </w:r>
            <w:r>
              <w:rPr>
                <w:rFonts w:ascii="Arial" w:hAnsi="Arial" w:cs="Arial"/>
                <w:sz w:val="20"/>
                <w:szCs w:val="20"/>
              </w:rPr>
              <w:t>1101</w:t>
            </w:r>
            <w:r w:rsidRPr="00EB3889">
              <w:rPr>
                <w:rFonts w:ascii="Arial" w:hAnsi="Arial" w:cs="Arial"/>
                <w:sz w:val="20"/>
                <w:szCs w:val="20"/>
              </w:rPr>
              <w:t>; ENG 11</w:t>
            </w:r>
            <w:r>
              <w:rPr>
                <w:rFonts w:ascii="Arial" w:hAnsi="Arial" w:cs="Arial"/>
                <w:sz w:val="20"/>
                <w:szCs w:val="20"/>
              </w:rPr>
              <w:t>0</w:t>
            </w:r>
            <w:r w:rsidRPr="00EB3889">
              <w:rPr>
                <w:rFonts w:ascii="Arial" w:hAnsi="Arial" w:cs="Arial"/>
                <w:sz w:val="20"/>
                <w:szCs w:val="20"/>
              </w:rPr>
              <w:t>1, PSY 11</w:t>
            </w:r>
            <w:r>
              <w:rPr>
                <w:rFonts w:ascii="Arial" w:hAnsi="Arial" w:cs="Arial"/>
                <w:sz w:val="20"/>
                <w:szCs w:val="20"/>
              </w:rPr>
              <w:t>00</w:t>
            </w:r>
          </w:p>
        </w:tc>
        <w:tc>
          <w:tcPr>
            <w:tcW w:w="1372" w:type="dxa"/>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EF6" w:rsidRDefault="00D92EF6" w:rsidP="00D92EF6">
            <w:pPr>
              <w:ind w:left="72"/>
            </w:pPr>
            <w:r>
              <w:t>End of Course Faculty and Preceptor Evaluations</w:t>
            </w:r>
          </w:p>
          <w:p w:rsidR="00173752" w:rsidRPr="004C52FC" w:rsidRDefault="00173752" w:rsidP="00E64C00">
            <w:pPr>
              <w:ind w:left="72"/>
              <w:rPr>
                <w:rFonts w:asciiTheme="minorHAnsi" w:hAnsiTheme="minorHAnsi" w:cs="Arial"/>
                <w:color w:val="000000" w:themeColor="text1"/>
              </w:rPr>
            </w:pPr>
          </w:p>
        </w:tc>
        <w:tc>
          <w:tcPr>
            <w:tcW w:w="4298" w:type="dxa"/>
          </w:tcPr>
          <w:p w:rsidR="00173752" w:rsidRPr="004C52FC" w:rsidRDefault="00783322" w:rsidP="00E64C00">
            <w:pPr>
              <w:ind w:left="72"/>
              <w:rPr>
                <w:rFonts w:asciiTheme="minorHAnsi" w:hAnsiTheme="minorHAnsi" w:cs="Arial"/>
                <w:color w:val="000000" w:themeColor="text1"/>
              </w:rPr>
            </w:pPr>
            <w:r w:rsidRPr="00E64C00">
              <w:t xml:space="preserve">100% of the students evaluated using the </w:t>
            </w:r>
            <w:r>
              <w:t>end of course faculty and preceptor evaluations showed a score of 3 or 4 in each category.</w:t>
            </w:r>
          </w:p>
        </w:tc>
      </w:tr>
      <w:tr w:rsidR="00173752" w:rsidRPr="004C52FC" w:rsidTr="00CF71C7">
        <w:tblPrEx>
          <w:shd w:val="clear" w:color="auto" w:fill="auto"/>
          <w:tblLook w:val="04A0" w:firstRow="1" w:lastRow="0" w:firstColumn="1" w:lastColumn="0" w:noHBand="0" w:noVBand="1"/>
        </w:tblPrEx>
        <w:trPr>
          <w:trHeight w:val="72"/>
        </w:trPr>
        <w:tc>
          <w:tcPr>
            <w:tcW w:w="3708" w:type="dxa"/>
            <w:gridSpan w:val="2"/>
            <w:vAlign w:val="center"/>
          </w:tcPr>
          <w:p w:rsidR="00173752" w:rsidRDefault="00173752" w:rsidP="0009262B">
            <w:pPr>
              <w:rPr>
                <w:rFonts w:ascii="Arial" w:hAnsi="Arial" w:cs="Arial"/>
              </w:rPr>
            </w:pPr>
            <w:r>
              <w:rPr>
                <w:rFonts w:ascii="Arial" w:hAnsi="Arial" w:cs="Arial"/>
              </w:rPr>
              <w:t>Assume the role of an involved, supportive surgical team member.</w:t>
            </w:r>
          </w:p>
        </w:tc>
        <w:tc>
          <w:tcPr>
            <w:tcW w:w="1800" w:type="dxa"/>
            <w:vAlign w:val="center"/>
          </w:tcPr>
          <w:p w:rsidR="00173752" w:rsidRPr="00EB3889" w:rsidRDefault="00173752" w:rsidP="0009262B">
            <w:pPr>
              <w:rPr>
                <w:rFonts w:ascii="Arial" w:hAnsi="Arial" w:cs="Arial"/>
                <w:sz w:val="20"/>
                <w:szCs w:val="20"/>
              </w:rPr>
            </w:pPr>
            <w:r w:rsidRPr="00EB3889">
              <w:rPr>
                <w:rFonts w:ascii="Arial" w:hAnsi="Arial" w:cs="Arial"/>
                <w:sz w:val="20"/>
                <w:szCs w:val="20"/>
              </w:rPr>
              <w:t>SUT 111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1117, </w:t>
            </w:r>
            <w:r w:rsidRPr="00EB3889">
              <w:rPr>
                <w:rFonts w:ascii="Arial" w:hAnsi="Arial" w:cs="Arial"/>
                <w:sz w:val="20"/>
                <w:szCs w:val="20"/>
              </w:rPr>
              <w:t>112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1127, </w:t>
            </w:r>
            <w:r w:rsidRPr="00EB3889">
              <w:rPr>
                <w:rFonts w:ascii="Arial" w:hAnsi="Arial" w:cs="Arial"/>
                <w:sz w:val="20"/>
                <w:szCs w:val="20"/>
              </w:rPr>
              <w:t>211</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2117, </w:t>
            </w:r>
            <w:r w:rsidRPr="00EB3889">
              <w:rPr>
                <w:rFonts w:ascii="Arial" w:hAnsi="Arial" w:cs="Arial"/>
                <w:sz w:val="20"/>
                <w:szCs w:val="20"/>
              </w:rPr>
              <w:t>212</w:t>
            </w:r>
            <w:r>
              <w:rPr>
                <w:rFonts w:ascii="Arial" w:hAnsi="Arial" w:cs="Arial"/>
                <w:sz w:val="20"/>
                <w:szCs w:val="20"/>
              </w:rPr>
              <w:t>0</w:t>
            </w:r>
            <w:r w:rsidRPr="00EB3889">
              <w:rPr>
                <w:rFonts w:ascii="Arial" w:hAnsi="Arial" w:cs="Arial"/>
                <w:sz w:val="20"/>
                <w:szCs w:val="20"/>
              </w:rPr>
              <w:t xml:space="preserve">, </w:t>
            </w:r>
            <w:r>
              <w:rPr>
                <w:rFonts w:ascii="Arial" w:hAnsi="Arial" w:cs="Arial"/>
                <w:sz w:val="20"/>
                <w:szCs w:val="20"/>
              </w:rPr>
              <w:t xml:space="preserve">2127, </w:t>
            </w:r>
            <w:r w:rsidRPr="00EB3889">
              <w:rPr>
                <w:rFonts w:ascii="Arial" w:hAnsi="Arial" w:cs="Arial"/>
                <w:sz w:val="20"/>
                <w:szCs w:val="20"/>
              </w:rPr>
              <w:t>220</w:t>
            </w:r>
            <w:r>
              <w:rPr>
                <w:rFonts w:ascii="Arial" w:hAnsi="Arial" w:cs="Arial"/>
                <w:sz w:val="20"/>
                <w:szCs w:val="20"/>
              </w:rPr>
              <w:t>0</w:t>
            </w:r>
            <w:r w:rsidRPr="00EB3889">
              <w:rPr>
                <w:rFonts w:ascii="Arial" w:hAnsi="Arial" w:cs="Arial"/>
                <w:sz w:val="20"/>
                <w:szCs w:val="20"/>
              </w:rPr>
              <w:t>;</w:t>
            </w:r>
            <w:r>
              <w:rPr>
                <w:rFonts w:ascii="Arial" w:hAnsi="Arial" w:cs="Arial"/>
                <w:sz w:val="20"/>
                <w:szCs w:val="20"/>
              </w:rPr>
              <w:t xml:space="preserve"> 2207, P</w:t>
            </w:r>
            <w:r w:rsidRPr="00EB3889">
              <w:rPr>
                <w:rFonts w:ascii="Arial" w:hAnsi="Arial" w:cs="Arial"/>
                <w:sz w:val="20"/>
                <w:szCs w:val="20"/>
              </w:rPr>
              <w:t>SY 11</w:t>
            </w:r>
            <w:r>
              <w:rPr>
                <w:rFonts w:ascii="Arial" w:hAnsi="Arial" w:cs="Arial"/>
                <w:sz w:val="20"/>
                <w:szCs w:val="20"/>
              </w:rPr>
              <w:t>00</w:t>
            </w:r>
            <w:r w:rsidRPr="00EB3889">
              <w:rPr>
                <w:rFonts w:ascii="Arial" w:hAnsi="Arial" w:cs="Arial"/>
                <w:sz w:val="20"/>
                <w:szCs w:val="20"/>
              </w:rPr>
              <w:t>; COM 2</w:t>
            </w:r>
            <w:r>
              <w:rPr>
                <w:rFonts w:ascii="Arial" w:hAnsi="Arial" w:cs="Arial"/>
                <w:sz w:val="20"/>
                <w:szCs w:val="20"/>
              </w:rPr>
              <w:t>2</w:t>
            </w:r>
            <w:r w:rsidRPr="00EB3889">
              <w:rPr>
                <w:rFonts w:ascii="Arial" w:hAnsi="Arial" w:cs="Arial"/>
                <w:sz w:val="20"/>
                <w:szCs w:val="20"/>
              </w:rPr>
              <w:t>06</w:t>
            </w:r>
            <w:r>
              <w:rPr>
                <w:rFonts w:ascii="Arial" w:hAnsi="Arial" w:cs="Arial"/>
                <w:sz w:val="20"/>
                <w:szCs w:val="20"/>
              </w:rPr>
              <w:t xml:space="preserve"> or 2211</w:t>
            </w:r>
            <w:r w:rsidRPr="00EB3889">
              <w:rPr>
                <w:rFonts w:ascii="Arial" w:hAnsi="Arial" w:cs="Arial"/>
                <w:sz w:val="20"/>
                <w:szCs w:val="20"/>
              </w:rPr>
              <w:t>; ALH 1</w:t>
            </w:r>
            <w:r>
              <w:rPr>
                <w:rFonts w:ascii="Arial" w:hAnsi="Arial" w:cs="Arial"/>
                <w:sz w:val="20"/>
                <w:szCs w:val="20"/>
              </w:rPr>
              <w:t>101</w:t>
            </w:r>
          </w:p>
        </w:tc>
        <w:tc>
          <w:tcPr>
            <w:tcW w:w="1372" w:type="dxa"/>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EF6" w:rsidRDefault="00D92EF6" w:rsidP="00D92EF6">
            <w:pPr>
              <w:ind w:left="72"/>
            </w:pPr>
            <w:r>
              <w:t>End of Course Faculty and Preceptor Evaluations</w:t>
            </w:r>
          </w:p>
          <w:p w:rsidR="00173752" w:rsidRPr="004C52FC" w:rsidRDefault="00173752" w:rsidP="00E64C00">
            <w:pPr>
              <w:ind w:left="72"/>
              <w:rPr>
                <w:rFonts w:asciiTheme="minorHAnsi" w:hAnsiTheme="minorHAnsi" w:cs="Arial"/>
                <w:color w:val="000000" w:themeColor="text1"/>
              </w:rPr>
            </w:pPr>
          </w:p>
        </w:tc>
        <w:tc>
          <w:tcPr>
            <w:tcW w:w="4298" w:type="dxa"/>
          </w:tcPr>
          <w:p w:rsidR="00173752" w:rsidRPr="004C52FC" w:rsidRDefault="00783322" w:rsidP="00E64C00">
            <w:pPr>
              <w:ind w:left="72"/>
              <w:rPr>
                <w:rFonts w:asciiTheme="minorHAnsi" w:hAnsiTheme="minorHAnsi" w:cs="Arial"/>
                <w:color w:val="000000" w:themeColor="text1"/>
              </w:rPr>
            </w:pPr>
            <w:r w:rsidRPr="00E64C00">
              <w:t xml:space="preserve">100% of the students evaluated using the </w:t>
            </w:r>
            <w:r>
              <w:t>end of course faculty and preceptor evaluations showed a score of 3 or 4 in each category.</w:t>
            </w:r>
          </w:p>
        </w:tc>
      </w:tr>
      <w:tr w:rsidR="00173752" w:rsidRPr="004C52FC" w:rsidTr="00CF71C7">
        <w:tblPrEx>
          <w:shd w:val="clear" w:color="auto" w:fill="auto"/>
          <w:tblLook w:val="04A0" w:firstRow="1" w:lastRow="0" w:firstColumn="1" w:lastColumn="0" w:noHBand="0" w:noVBand="1"/>
        </w:tblPrEx>
        <w:trPr>
          <w:trHeight w:val="72"/>
        </w:trPr>
        <w:tc>
          <w:tcPr>
            <w:tcW w:w="3708" w:type="dxa"/>
            <w:gridSpan w:val="2"/>
            <w:vAlign w:val="center"/>
          </w:tcPr>
          <w:p w:rsidR="00173752" w:rsidRDefault="00173752" w:rsidP="0009262B">
            <w:pPr>
              <w:rPr>
                <w:rFonts w:ascii="Arial" w:hAnsi="Arial" w:cs="Arial"/>
              </w:rPr>
            </w:pPr>
            <w:r>
              <w:rPr>
                <w:rFonts w:ascii="Arial" w:hAnsi="Arial" w:cs="Arial"/>
              </w:rPr>
              <w:t>Provide for physiological safety and emotional security of patient and surgical team.</w:t>
            </w:r>
          </w:p>
        </w:tc>
        <w:tc>
          <w:tcPr>
            <w:tcW w:w="1800" w:type="dxa"/>
            <w:vAlign w:val="center"/>
          </w:tcPr>
          <w:p w:rsidR="00173752" w:rsidRPr="003E3B54" w:rsidRDefault="00173752" w:rsidP="0009262B">
            <w:pPr>
              <w:rPr>
                <w:rFonts w:ascii="Arial" w:hAnsi="Arial" w:cs="Arial"/>
                <w:sz w:val="20"/>
                <w:szCs w:val="20"/>
              </w:rPr>
            </w:pPr>
            <w:r w:rsidRPr="003E3B54">
              <w:rPr>
                <w:rFonts w:ascii="Arial" w:hAnsi="Arial" w:cs="Arial"/>
                <w:sz w:val="20"/>
                <w:szCs w:val="20"/>
              </w:rPr>
              <w:t xml:space="preserve">SUT </w:t>
            </w:r>
            <w:r>
              <w:rPr>
                <w:rFonts w:ascii="Arial" w:hAnsi="Arial" w:cs="Arial"/>
                <w:sz w:val="20"/>
                <w:szCs w:val="20"/>
              </w:rPr>
              <w:t>1</w:t>
            </w:r>
            <w:r w:rsidRPr="003E3B54">
              <w:rPr>
                <w:rFonts w:ascii="Arial" w:hAnsi="Arial" w:cs="Arial"/>
                <w:sz w:val="20"/>
                <w:szCs w:val="20"/>
              </w:rPr>
              <w:t>11</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1117, 1</w:t>
            </w:r>
            <w:r w:rsidRPr="003E3B54">
              <w:rPr>
                <w:rFonts w:ascii="Arial" w:hAnsi="Arial" w:cs="Arial"/>
                <w:sz w:val="20"/>
                <w:szCs w:val="20"/>
              </w:rPr>
              <w:t>1</w:t>
            </w:r>
            <w:r>
              <w:rPr>
                <w:rFonts w:ascii="Arial" w:hAnsi="Arial" w:cs="Arial"/>
                <w:sz w:val="20"/>
                <w:szCs w:val="20"/>
              </w:rPr>
              <w:t>20</w:t>
            </w:r>
            <w:r w:rsidRPr="003E3B54">
              <w:rPr>
                <w:rFonts w:ascii="Arial" w:hAnsi="Arial" w:cs="Arial"/>
                <w:sz w:val="20"/>
                <w:szCs w:val="20"/>
              </w:rPr>
              <w:t xml:space="preserve">, </w:t>
            </w:r>
            <w:r>
              <w:rPr>
                <w:rFonts w:ascii="Arial" w:hAnsi="Arial" w:cs="Arial"/>
                <w:sz w:val="20"/>
                <w:szCs w:val="20"/>
              </w:rPr>
              <w:t xml:space="preserve">1127, </w:t>
            </w:r>
            <w:r w:rsidRPr="003E3B54">
              <w:rPr>
                <w:rFonts w:ascii="Arial" w:hAnsi="Arial" w:cs="Arial"/>
                <w:sz w:val="20"/>
                <w:szCs w:val="20"/>
              </w:rPr>
              <w:t>211</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 xml:space="preserve">2117, </w:t>
            </w:r>
            <w:r w:rsidRPr="003E3B54">
              <w:rPr>
                <w:rFonts w:ascii="Arial" w:hAnsi="Arial" w:cs="Arial"/>
                <w:sz w:val="20"/>
                <w:szCs w:val="20"/>
              </w:rPr>
              <w:t>212</w:t>
            </w:r>
            <w:r>
              <w:rPr>
                <w:rFonts w:ascii="Arial" w:hAnsi="Arial" w:cs="Arial"/>
                <w:sz w:val="20"/>
                <w:szCs w:val="20"/>
              </w:rPr>
              <w:t>0</w:t>
            </w:r>
            <w:r w:rsidRPr="003E3B54">
              <w:rPr>
                <w:rFonts w:ascii="Arial" w:hAnsi="Arial" w:cs="Arial"/>
                <w:sz w:val="20"/>
                <w:szCs w:val="20"/>
              </w:rPr>
              <w:t xml:space="preserve">, </w:t>
            </w:r>
            <w:r>
              <w:rPr>
                <w:rFonts w:ascii="Arial" w:hAnsi="Arial" w:cs="Arial"/>
                <w:sz w:val="20"/>
                <w:szCs w:val="20"/>
              </w:rPr>
              <w:t>2127, 2</w:t>
            </w:r>
            <w:r w:rsidRPr="003E3B54">
              <w:rPr>
                <w:rFonts w:ascii="Arial" w:hAnsi="Arial" w:cs="Arial"/>
                <w:sz w:val="20"/>
                <w:szCs w:val="20"/>
              </w:rPr>
              <w:t>20</w:t>
            </w:r>
            <w:r>
              <w:rPr>
                <w:rFonts w:ascii="Arial" w:hAnsi="Arial" w:cs="Arial"/>
                <w:sz w:val="20"/>
                <w:szCs w:val="20"/>
              </w:rPr>
              <w:t>0, 2207</w:t>
            </w:r>
            <w:r w:rsidRPr="003E3B54">
              <w:rPr>
                <w:rFonts w:ascii="Arial" w:hAnsi="Arial" w:cs="Arial"/>
                <w:sz w:val="20"/>
                <w:szCs w:val="20"/>
              </w:rPr>
              <w:t>; COM 2</w:t>
            </w:r>
            <w:r>
              <w:rPr>
                <w:rFonts w:ascii="Arial" w:hAnsi="Arial" w:cs="Arial"/>
                <w:sz w:val="20"/>
                <w:szCs w:val="20"/>
              </w:rPr>
              <w:t>2</w:t>
            </w:r>
            <w:r w:rsidRPr="003E3B54">
              <w:rPr>
                <w:rFonts w:ascii="Arial" w:hAnsi="Arial" w:cs="Arial"/>
                <w:sz w:val="20"/>
                <w:szCs w:val="20"/>
              </w:rPr>
              <w:t>06</w:t>
            </w:r>
            <w:r>
              <w:rPr>
                <w:rFonts w:ascii="Arial" w:hAnsi="Arial" w:cs="Arial"/>
                <w:sz w:val="20"/>
                <w:szCs w:val="20"/>
              </w:rPr>
              <w:t xml:space="preserve"> or 2211</w:t>
            </w:r>
            <w:r w:rsidRPr="003E3B54">
              <w:rPr>
                <w:rFonts w:ascii="Arial" w:hAnsi="Arial" w:cs="Arial"/>
                <w:sz w:val="20"/>
                <w:szCs w:val="20"/>
              </w:rPr>
              <w:t>; PSY 11</w:t>
            </w:r>
            <w:r>
              <w:rPr>
                <w:rFonts w:ascii="Arial" w:hAnsi="Arial" w:cs="Arial"/>
                <w:sz w:val="20"/>
                <w:szCs w:val="20"/>
              </w:rPr>
              <w:t>00</w:t>
            </w:r>
          </w:p>
        </w:tc>
        <w:tc>
          <w:tcPr>
            <w:tcW w:w="1372" w:type="dxa"/>
          </w:tcPr>
          <w:p w:rsidR="00173752" w:rsidRPr="004C52FC" w:rsidRDefault="00173752" w:rsidP="002E105D">
            <w:pPr>
              <w:rPr>
                <w:rFonts w:asciiTheme="minorHAnsi" w:hAnsiTheme="minorHAnsi" w:cs="Arial"/>
                <w:color w:val="000000" w:themeColor="text1"/>
              </w:rPr>
            </w:pPr>
            <w:r w:rsidRPr="00A81CF8">
              <w:rPr>
                <w:rFonts w:ascii="Arial" w:hAnsi="Arial" w:cs="Arial"/>
                <w:color w:val="000000" w:themeColor="text1"/>
              </w:rPr>
              <w:fldChar w:fldCharType="begin">
                <w:ffData>
                  <w:name w:val="Text1"/>
                  <w:enabled/>
                  <w:calcOnExit w:val="0"/>
                  <w:textInput/>
                </w:ffData>
              </w:fldChar>
            </w:r>
            <w:r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Pr="002E105D">
              <w:t>Assessed annually.</w:t>
            </w:r>
            <w:r w:rsidRPr="00A81CF8">
              <w:rPr>
                <w:rFonts w:ascii="Arial" w:hAnsi="Arial" w:cs="Arial"/>
                <w:color w:val="000000" w:themeColor="text1"/>
              </w:rPr>
              <w:fldChar w:fldCharType="end"/>
            </w:r>
          </w:p>
        </w:tc>
        <w:tc>
          <w:tcPr>
            <w:tcW w:w="2250" w:type="dxa"/>
          </w:tcPr>
          <w:p w:rsidR="00D92EF6" w:rsidRDefault="00D92EF6" w:rsidP="00D92EF6">
            <w:pPr>
              <w:ind w:left="72"/>
            </w:pPr>
            <w:r>
              <w:t>End of Course Faculty and Preceptor Evaluations</w:t>
            </w:r>
          </w:p>
          <w:p w:rsidR="00173752" w:rsidRPr="004C52FC" w:rsidRDefault="00173752" w:rsidP="00E64C00">
            <w:pPr>
              <w:ind w:left="72"/>
              <w:rPr>
                <w:rFonts w:asciiTheme="minorHAnsi" w:hAnsiTheme="minorHAnsi" w:cs="Arial"/>
                <w:color w:val="000000" w:themeColor="text1"/>
              </w:rPr>
            </w:pPr>
          </w:p>
        </w:tc>
        <w:tc>
          <w:tcPr>
            <w:tcW w:w="4298" w:type="dxa"/>
          </w:tcPr>
          <w:p w:rsidR="00173752" w:rsidRPr="004C52FC" w:rsidRDefault="00783322" w:rsidP="00E64C00">
            <w:pPr>
              <w:ind w:left="72"/>
              <w:rPr>
                <w:rFonts w:asciiTheme="minorHAnsi" w:hAnsiTheme="minorHAnsi" w:cs="Arial"/>
                <w:color w:val="000000" w:themeColor="text1"/>
              </w:rPr>
            </w:pPr>
            <w:r w:rsidRPr="00E64C00">
              <w:t xml:space="preserve">100% of the students evaluated using the </w:t>
            </w:r>
            <w:r>
              <w:t>end of course faculty and preceptor evaluations showed a score of 3 or 4 in each category.</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34398B" w:rsidP="003E791C">
      <w:pPr>
        <w:pStyle w:val="ListParagraph"/>
        <w:tabs>
          <w:tab w:val="left" w:pos="5040"/>
        </w:tabs>
        <w:ind w:left="0"/>
        <w:rPr>
          <w:rFonts w:ascii="Arial" w:hAnsi="Arial" w:cs="Arial"/>
          <w:color w:val="000000" w:themeColor="text1"/>
        </w:rPr>
      </w:pPr>
      <w:r>
        <w:rPr>
          <w:rFonts w:ascii="Arial" w:hAnsi="Arial" w:cs="Arial"/>
          <w:color w:val="000000" w:themeColor="text1"/>
        </w:rPr>
        <w:t>No changes planned.</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037152">
      <w:pPr>
        <w:tabs>
          <w:tab w:val="left" w:pos="5040"/>
        </w:tabs>
        <w:rPr>
          <w:rFonts w:ascii="Arial" w:hAnsi="Arial" w:cs="Arial"/>
          <w:color w:val="000000" w:themeColor="text1"/>
        </w:rPr>
      </w:pPr>
    </w:p>
    <w:p w:rsidR="00037152" w:rsidRPr="00037152" w:rsidRDefault="0034398B" w:rsidP="00037152">
      <w:pPr>
        <w:tabs>
          <w:tab w:val="left" w:pos="5040"/>
        </w:tabs>
        <w:rPr>
          <w:rFonts w:ascii="Arial" w:hAnsi="Arial" w:cs="Arial"/>
          <w:color w:val="000000" w:themeColor="text1"/>
        </w:rPr>
      </w:pPr>
      <w:r>
        <w:rPr>
          <w:rFonts w:ascii="Arial" w:hAnsi="Arial" w:cs="Arial"/>
          <w:color w:val="000000" w:themeColor="text1"/>
        </w:rPr>
        <w:t>NA</w:t>
      </w:r>
    </w:p>
    <w:p w:rsidR="002D428E" w:rsidRDefault="002D428E">
      <w:pPr>
        <w:pStyle w:val="ListParagraph"/>
        <w:tabs>
          <w:tab w:val="left" w:pos="5040"/>
        </w:tabs>
        <w:ind w:left="0"/>
        <w:rPr>
          <w:rFonts w:ascii="Arial" w:hAnsi="Arial" w:cs="Arial"/>
          <w:b/>
          <w:color w:val="000000" w:themeColor="text1"/>
        </w:rPr>
      </w:pPr>
    </w:p>
    <w:p w:rsidR="00440C4A" w:rsidRDefault="00440C4A">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34398B">
      <w:pPr>
        <w:pStyle w:val="ListParagraph"/>
        <w:tabs>
          <w:tab w:val="left" w:pos="5040"/>
        </w:tabs>
        <w:ind w:left="0"/>
        <w:rPr>
          <w:rFonts w:ascii="Arial" w:hAnsi="Arial" w:cs="Arial"/>
          <w:color w:val="000000" w:themeColor="text1"/>
        </w:rPr>
      </w:pPr>
      <w:r>
        <w:rPr>
          <w:rFonts w:ascii="Arial" w:hAnsi="Arial" w:cs="Arial"/>
          <w:color w:val="000000" w:themeColor="text1"/>
        </w:rPr>
        <w:t>No program outcomes changes planned.</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440C4A" w:rsidRDefault="0034398B" w:rsidP="00440C4A">
      <w:pPr>
        <w:tabs>
          <w:tab w:val="left" w:pos="5040"/>
        </w:tabs>
        <w:rPr>
          <w:rFonts w:ascii="Arial" w:hAnsi="Arial" w:cs="Arial"/>
          <w:color w:val="000000" w:themeColor="text1"/>
        </w:rPr>
      </w:pPr>
      <w:r>
        <w:rPr>
          <w:rFonts w:ascii="Arial" w:hAnsi="Arial" w:cs="Arial"/>
          <w:color w:val="000000" w:themeColor="text1"/>
        </w:rPr>
        <w:t>NA</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440C4A" w:rsidRDefault="0034398B" w:rsidP="00440C4A">
      <w:pPr>
        <w:tabs>
          <w:tab w:val="left" w:pos="5040"/>
        </w:tabs>
        <w:rPr>
          <w:rFonts w:ascii="Arial" w:hAnsi="Arial" w:cs="Arial"/>
          <w:color w:val="000000" w:themeColor="text1"/>
        </w:rPr>
      </w:pPr>
      <w:r w:rsidRPr="00942651">
        <w:t xml:space="preserve">The department will continue to use </w:t>
      </w:r>
      <w:r>
        <w:t>current</w:t>
      </w:r>
      <w:r w:rsidRPr="00942651">
        <w:t xml:space="preserve"> </w:t>
      </w:r>
      <w:r>
        <w:t xml:space="preserve">formative and summative </w:t>
      </w:r>
      <w:r w:rsidRPr="00942651">
        <w:t>assessment rubric</w:t>
      </w:r>
      <w:r>
        <w:t>s</w:t>
      </w:r>
      <w:r w:rsidRPr="00942651">
        <w:t xml:space="preserve"> as </w:t>
      </w:r>
      <w:r>
        <w:t>the</w:t>
      </w:r>
      <w:r w:rsidRPr="00942651">
        <w:t xml:space="preserve"> tool for assessment and evaluation.</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73752" w:rsidRDefault="00173752" w:rsidP="00173752">
      <w:pPr>
        <w:tabs>
          <w:tab w:val="left" w:pos="5040"/>
        </w:tabs>
        <w:rPr>
          <w:rFonts w:ascii="Arial" w:hAnsi="Arial" w:cs="Arial"/>
          <w:b/>
          <w:color w:val="000000" w:themeColor="text1"/>
        </w:rPr>
      </w:pPr>
    </w:p>
    <w:p w:rsidR="00037152" w:rsidRPr="00AD2C0C" w:rsidRDefault="00AD2C0C" w:rsidP="00173752">
      <w:pPr>
        <w:tabs>
          <w:tab w:val="left" w:pos="5040"/>
        </w:tabs>
        <w:rPr>
          <w:b/>
          <w:color w:val="000000" w:themeColor="text1"/>
        </w:rPr>
        <w:sectPr w:rsidR="00037152" w:rsidRPr="00AD2C0C" w:rsidSect="00A201E2">
          <w:pgSz w:w="12240" w:h="15840"/>
          <w:pgMar w:top="1152" w:right="1440" w:bottom="1152" w:left="1440" w:header="720" w:footer="288" w:gutter="0"/>
          <w:cols w:space="720"/>
          <w:docGrid w:linePitch="360"/>
        </w:sectPr>
      </w:pPr>
      <w:r w:rsidRPr="00AD2C0C">
        <w:rPr>
          <w:color w:val="000000" w:themeColor="text1"/>
        </w:rPr>
        <w:t>None</w:t>
      </w:r>
    </w:p>
    <w:p w:rsidR="00847243" w:rsidRPr="00173752" w:rsidRDefault="00174C4B" w:rsidP="00173752">
      <w:pPr>
        <w:tabs>
          <w:tab w:val="left" w:pos="5040"/>
        </w:tabs>
        <w:rPr>
          <w:rFonts w:ascii="Arial" w:hAnsi="Arial" w:cs="Arial"/>
          <w:b/>
          <w:color w:val="000000" w:themeColor="text1"/>
        </w:rPr>
      </w:pPr>
      <w:r w:rsidRPr="00173752">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3752" w:rsidRDefault="00173752" w:rsidP="00174C4B">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173752" w:rsidRPr="00173752" w:rsidTr="00173752">
        <w:trPr>
          <w:trHeight w:val="300"/>
        </w:trPr>
        <w:tc>
          <w:tcPr>
            <w:tcW w:w="960" w:type="dxa"/>
            <w:tcBorders>
              <w:top w:val="nil"/>
              <w:left w:val="nil"/>
              <w:bottom w:val="nil"/>
              <w:right w:val="nil"/>
            </w:tcBorders>
            <w:shd w:val="clear" w:color="auto" w:fill="auto"/>
            <w:noWrap/>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FY 12-13</w:t>
            </w:r>
          </w:p>
        </w:tc>
      </w:tr>
      <w:tr w:rsidR="00173752" w:rsidRPr="00173752" w:rsidTr="00173752">
        <w:trPr>
          <w:trHeight w:val="300"/>
        </w:trPr>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23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SUT.AAS</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12</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19</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17</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14</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2</w:t>
            </w:r>
          </w:p>
        </w:tc>
      </w:tr>
      <w:tr w:rsidR="00173752" w:rsidRPr="00173752" w:rsidTr="00173752">
        <w:trPr>
          <w:trHeight w:val="300"/>
        </w:trPr>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23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SUT.S.AAS</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11</w:t>
            </w:r>
          </w:p>
        </w:tc>
      </w:tr>
      <w:tr w:rsidR="00173752" w:rsidRPr="00173752" w:rsidTr="00173752">
        <w:trPr>
          <w:trHeight w:val="300"/>
        </w:trPr>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23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TBT.S.STC</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w:t>
            </w:r>
          </w:p>
        </w:tc>
      </w:tr>
      <w:tr w:rsidR="00173752" w:rsidRPr="00173752" w:rsidTr="00173752">
        <w:trPr>
          <w:trHeight w:val="300"/>
        </w:trPr>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23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TBT.STC</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18</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11</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7</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r>
    </w:tbl>
    <w:p w:rsidR="00173752" w:rsidRPr="00174C4B" w:rsidRDefault="00173752" w:rsidP="00174C4B">
      <w:pPr>
        <w:rPr>
          <w:rFonts w:ascii="Arial" w:hAnsi="Arial" w:cs="Arial"/>
          <w:b/>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173752" w:rsidRDefault="00173752" w:rsidP="00225B53">
      <w:pPr>
        <w:spacing w:after="200" w:line="276" w:lineRule="auto"/>
        <w:rPr>
          <w:rFonts w:ascii="Arial" w:hAnsi="Arial" w:cs="Arial"/>
          <w:b/>
          <w:color w:val="000000" w:themeColor="text1"/>
        </w:rPr>
      </w:pP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173752" w:rsidRPr="00173752" w:rsidTr="00173752">
        <w:trPr>
          <w:trHeight w:val="600"/>
        </w:trPr>
        <w:tc>
          <w:tcPr>
            <w:tcW w:w="1420" w:type="dxa"/>
            <w:tcBorders>
              <w:top w:val="nil"/>
              <w:left w:val="nil"/>
              <w:bottom w:val="nil"/>
              <w:right w:val="nil"/>
            </w:tcBorders>
            <w:shd w:val="clear" w:color="auto" w:fill="auto"/>
            <w:hideMark/>
          </w:tcPr>
          <w:p w:rsidR="00173752" w:rsidRPr="00173752" w:rsidRDefault="00173752" w:rsidP="00173752">
            <w:pPr>
              <w:rPr>
                <w:rFonts w:ascii="Calibri" w:hAnsi="Calibri" w:cs="Calibri"/>
                <w:b/>
                <w:bCs/>
                <w:color w:val="000000"/>
              </w:rPr>
            </w:pPr>
            <w:r w:rsidRPr="00173752">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173752" w:rsidRPr="00173752" w:rsidRDefault="00173752" w:rsidP="00173752">
            <w:pPr>
              <w:rPr>
                <w:rFonts w:ascii="Calibri" w:hAnsi="Calibri" w:cs="Calibri"/>
                <w:b/>
                <w:bCs/>
                <w:color w:val="000000"/>
              </w:rPr>
            </w:pPr>
            <w:r w:rsidRPr="00173752">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173752" w:rsidRPr="00173752" w:rsidRDefault="00173752" w:rsidP="00173752">
            <w:pPr>
              <w:rPr>
                <w:rFonts w:ascii="Calibri" w:hAnsi="Calibri" w:cs="Calibri"/>
                <w:b/>
                <w:bCs/>
                <w:color w:val="000000"/>
              </w:rPr>
            </w:pPr>
            <w:r w:rsidRPr="00173752">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173752" w:rsidRPr="00173752" w:rsidRDefault="00173752" w:rsidP="00173752">
            <w:pPr>
              <w:jc w:val="right"/>
              <w:rPr>
                <w:rFonts w:ascii="Calibri" w:hAnsi="Calibri" w:cs="Calibri"/>
                <w:b/>
                <w:bCs/>
                <w:color w:val="000000"/>
              </w:rPr>
            </w:pPr>
            <w:r w:rsidRPr="00173752">
              <w:rPr>
                <w:rFonts w:ascii="Calibri" w:hAnsi="Calibri" w:cs="Calibri"/>
                <w:b/>
                <w:bCs/>
                <w:color w:val="000000"/>
                <w:sz w:val="22"/>
                <w:szCs w:val="22"/>
              </w:rPr>
              <w:t>FY 12-13</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85.7%</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SUT-101</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90.9%</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SUT-1101</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76.9%</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SUT-1107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69.2%</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SUT-111</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94.7%</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86.7%</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SUT-1110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86.7%</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SUT-1117</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86.7%</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SUT-112</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SUT-201</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SUT-202</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SUT-2101</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SUT-2107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SUT-211</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95.0%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93.3%</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87.5%</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lastRenderedPageBreak/>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SUT-212</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94.4%</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SUT-2120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SUT-2127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SUT-213</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SUT-220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SUT-2200</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SUT-2207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auto" w:fill="auto"/>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SUT-2297</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r>
      <w:tr w:rsidR="00173752" w:rsidRPr="00173752" w:rsidTr="00173752">
        <w:trPr>
          <w:trHeight w:val="300"/>
        </w:trPr>
        <w:tc>
          <w:tcPr>
            <w:tcW w:w="14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0630</w:t>
            </w:r>
          </w:p>
        </w:tc>
        <w:tc>
          <w:tcPr>
            <w:tcW w:w="322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Surgical Technology</w:t>
            </w:r>
          </w:p>
        </w:tc>
        <w:tc>
          <w:tcPr>
            <w:tcW w:w="17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SUT-297</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73752" w:rsidRPr="00173752" w:rsidRDefault="00173752" w:rsidP="00173752">
            <w:pPr>
              <w:jc w:val="right"/>
              <w:rPr>
                <w:rFonts w:ascii="Calibri" w:hAnsi="Calibri" w:cs="Calibri"/>
                <w:color w:val="000000"/>
              </w:rPr>
            </w:pPr>
            <w:r w:rsidRPr="0017375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173752" w:rsidRPr="00173752" w:rsidRDefault="00173752" w:rsidP="00173752">
            <w:pPr>
              <w:rPr>
                <w:rFonts w:ascii="Calibri" w:hAnsi="Calibri" w:cs="Calibri"/>
                <w:color w:val="000000"/>
              </w:rPr>
            </w:pPr>
            <w:r w:rsidRPr="00173752">
              <w:rPr>
                <w:rFonts w:ascii="Calibri" w:hAnsi="Calibri" w:cs="Calibri"/>
                <w:color w:val="000000"/>
                <w:sz w:val="22"/>
                <w:szCs w:val="22"/>
              </w:rPr>
              <w:t>.</w:t>
            </w:r>
          </w:p>
        </w:tc>
      </w:tr>
    </w:tbl>
    <w:p w:rsidR="00173752" w:rsidRDefault="00173752" w:rsidP="00225B53">
      <w:pPr>
        <w:spacing w:after="200" w:line="276" w:lineRule="auto"/>
        <w:rPr>
          <w:rFonts w:ascii="Arial" w:hAnsi="Arial" w:cs="Arial"/>
          <w:b/>
          <w:color w:val="000000" w:themeColor="text1"/>
        </w:rPr>
      </w:pPr>
    </w:p>
    <w:p w:rsidR="00425A05" w:rsidRDefault="00425A05">
      <w:pPr>
        <w:spacing w:after="200" w:line="276" w:lineRule="auto"/>
        <w:rPr>
          <w:rFonts w:ascii="Arial" w:hAnsi="Arial" w:cs="Arial"/>
          <w:b/>
          <w:color w:val="000000" w:themeColor="text1"/>
        </w:rPr>
      </w:pPr>
      <w:r>
        <w:rPr>
          <w:rFonts w:ascii="Arial" w:hAnsi="Arial" w:cs="Arial"/>
          <w:b/>
          <w:color w:val="000000" w:themeColor="text1"/>
        </w:rPr>
        <w:br w:type="page"/>
      </w:r>
    </w:p>
    <w:p w:rsidR="00425A05" w:rsidRDefault="00425A05" w:rsidP="00225B53">
      <w:pPr>
        <w:spacing w:after="200" w:line="276" w:lineRule="auto"/>
        <w:rPr>
          <w:rFonts w:ascii="Arial" w:hAnsi="Arial" w:cs="Arial"/>
          <w:b/>
          <w:color w:val="000000" w:themeColor="text1"/>
        </w:rPr>
      </w:pPr>
      <w:r>
        <w:rPr>
          <w:rFonts w:ascii="Arial" w:hAnsi="Arial" w:cs="Arial"/>
          <w:b/>
          <w:color w:val="000000" w:themeColor="text1"/>
        </w:rPr>
        <w:lastRenderedPageBreak/>
        <w:t>ADDENDUM 1:</w:t>
      </w:r>
      <w:r>
        <w:rPr>
          <w:rFonts w:ascii="Arial" w:hAnsi="Arial" w:cs="Arial"/>
          <w:b/>
          <w:color w:val="000000" w:themeColor="text1"/>
        </w:rPr>
        <w:tab/>
        <w:t>Diversity Statistics SUT Program</w:t>
      </w:r>
    </w:p>
    <w:tbl>
      <w:tblPr>
        <w:tblW w:w="6580" w:type="dxa"/>
        <w:tblInd w:w="93" w:type="dxa"/>
        <w:tblLook w:val="04A0" w:firstRow="1" w:lastRow="0" w:firstColumn="1" w:lastColumn="0" w:noHBand="0" w:noVBand="1"/>
      </w:tblPr>
      <w:tblGrid>
        <w:gridCol w:w="1860"/>
        <w:gridCol w:w="2340"/>
        <w:gridCol w:w="2380"/>
      </w:tblGrid>
      <w:tr w:rsidR="00425A05" w:rsidRPr="00425A05" w:rsidTr="00425A05">
        <w:trPr>
          <w:trHeight w:val="315"/>
        </w:trPr>
        <w:tc>
          <w:tcPr>
            <w:tcW w:w="1860" w:type="dxa"/>
            <w:tcBorders>
              <w:top w:val="nil"/>
              <w:left w:val="nil"/>
              <w:bottom w:val="nil"/>
              <w:right w:val="nil"/>
            </w:tcBorders>
            <w:shd w:val="clear" w:color="auto" w:fill="auto"/>
            <w:noWrap/>
            <w:vAlign w:val="bottom"/>
            <w:hideMark/>
          </w:tcPr>
          <w:p w:rsidR="00425A05" w:rsidRPr="00004C1E" w:rsidRDefault="00425A05" w:rsidP="00425A05">
            <w:pPr>
              <w:rPr>
                <w:rFonts w:ascii="Arial" w:hAnsi="Arial" w:cs="Arial"/>
                <w:b/>
                <w:color w:val="000000"/>
              </w:rPr>
            </w:pPr>
            <w:r w:rsidRPr="00004C1E">
              <w:rPr>
                <w:rFonts w:ascii="Arial" w:hAnsi="Arial" w:cs="Arial"/>
                <w:b/>
                <w:color w:val="000000"/>
              </w:rPr>
              <w:t>2000-2012</w:t>
            </w:r>
          </w:p>
          <w:p w:rsidR="00425A05" w:rsidRPr="00425A05" w:rsidRDefault="00425A05" w:rsidP="00425A05">
            <w:pPr>
              <w:rPr>
                <w:rFonts w:ascii="Calibri" w:hAnsi="Calibri"/>
                <w:color w:val="000000"/>
                <w:sz w:val="22"/>
                <w:szCs w:val="22"/>
              </w:rPr>
            </w:pPr>
          </w:p>
        </w:tc>
        <w:tc>
          <w:tcPr>
            <w:tcW w:w="2340" w:type="dxa"/>
            <w:tcBorders>
              <w:top w:val="nil"/>
              <w:left w:val="nil"/>
              <w:bottom w:val="nil"/>
              <w:right w:val="nil"/>
            </w:tcBorders>
            <w:shd w:val="clear" w:color="auto" w:fill="auto"/>
            <w:noWrap/>
            <w:vAlign w:val="bottom"/>
            <w:hideMark/>
          </w:tcPr>
          <w:p w:rsidR="00425A05" w:rsidRPr="00425A05" w:rsidRDefault="00425A05" w:rsidP="00425A05">
            <w:pPr>
              <w:rPr>
                <w:rFonts w:ascii="Calibri" w:hAnsi="Calibri"/>
                <w:color w:val="000000"/>
                <w:sz w:val="22"/>
                <w:szCs w:val="22"/>
              </w:rPr>
            </w:pPr>
          </w:p>
        </w:tc>
        <w:tc>
          <w:tcPr>
            <w:tcW w:w="2380" w:type="dxa"/>
            <w:tcBorders>
              <w:top w:val="nil"/>
              <w:left w:val="nil"/>
              <w:bottom w:val="nil"/>
              <w:right w:val="nil"/>
            </w:tcBorders>
            <w:shd w:val="clear" w:color="auto" w:fill="auto"/>
            <w:noWrap/>
            <w:vAlign w:val="bottom"/>
            <w:hideMark/>
          </w:tcPr>
          <w:p w:rsidR="00425A05" w:rsidRPr="00425A05" w:rsidRDefault="00425A05" w:rsidP="00425A05">
            <w:pPr>
              <w:rPr>
                <w:rFonts w:ascii="Calibri" w:hAnsi="Calibri"/>
                <w:color w:val="000000"/>
                <w:sz w:val="22"/>
                <w:szCs w:val="22"/>
              </w:rPr>
            </w:pPr>
          </w:p>
        </w:tc>
      </w:tr>
      <w:tr w:rsidR="00425A05" w:rsidRPr="00425A05" w:rsidTr="00425A05">
        <w:trPr>
          <w:trHeight w:val="315"/>
        </w:trPr>
        <w:tc>
          <w:tcPr>
            <w:tcW w:w="1860" w:type="dxa"/>
            <w:tcBorders>
              <w:top w:val="single" w:sz="8" w:space="0" w:color="auto"/>
              <w:left w:val="single" w:sz="8" w:space="0" w:color="auto"/>
              <w:bottom w:val="single" w:sz="8" w:space="0" w:color="auto"/>
              <w:right w:val="nil"/>
            </w:tcBorders>
            <w:shd w:val="clear" w:color="auto" w:fill="auto"/>
            <w:noWrap/>
            <w:vAlign w:val="bottom"/>
            <w:hideMark/>
          </w:tcPr>
          <w:p w:rsidR="00425A05" w:rsidRPr="00425A05" w:rsidRDefault="00425A05" w:rsidP="00425A05">
            <w:pPr>
              <w:jc w:val="center"/>
              <w:rPr>
                <w:rFonts w:ascii="Calibri" w:hAnsi="Calibri"/>
                <w:b/>
                <w:bCs/>
                <w:color w:val="000000"/>
                <w:sz w:val="22"/>
                <w:szCs w:val="22"/>
              </w:rPr>
            </w:pPr>
            <w:r w:rsidRPr="00425A05">
              <w:rPr>
                <w:rFonts w:ascii="Calibri" w:hAnsi="Calibri"/>
                <w:b/>
                <w:bCs/>
                <w:color w:val="000000"/>
                <w:sz w:val="22"/>
                <w:szCs w:val="22"/>
              </w:rPr>
              <w:t>Admission Year</w:t>
            </w:r>
          </w:p>
        </w:tc>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5A05" w:rsidRPr="00425A05" w:rsidRDefault="00425A05" w:rsidP="00425A05">
            <w:pPr>
              <w:jc w:val="center"/>
              <w:rPr>
                <w:rFonts w:ascii="Calibri" w:hAnsi="Calibri"/>
                <w:b/>
                <w:bCs/>
                <w:color w:val="000000"/>
                <w:sz w:val="22"/>
                <w:szCs w:val="22"/>
              </w:rPr>
            </w:pPr>
            <w:r w:rsidRPr="00425A05">
              <w:rPr>
                <w:rFonts w:ascii="Calibri" w:hAnsi="Calibri"/>
                <w:b/>
                <w:bCs/>
                <w:color w:val="000000"/>
                <w:sz w:val="22"/>
                <w:szCs w:val="22"/>
              </w:rPr>
              <w:t>% Starting Program</w:t>
            </w:r>
          </w:p>
        </w:tc>
        <w:tc>
          <w:tcPr>
            <w:tcW w:w="2380" w:type="dxa"/>
            <w:tcBorders>
              <w:top w:val="single" w:sz="8" w:space="0" w:color="auto"/>
              <w:left w:val="nil"/>
              <w:bottom w:val="single" w:sz="8" w:space="0" w:color="auto"/>
              <w:right w:val="single" w:sz="8" w:space="0" w:color="auto"/>
            </w:tcBorders>
            <w:shd w:val="clear" w:color="auto" w:fill="auto"/>
            <w:noWrap/>
            <w:vAlign w:val="bottom"/>
            <w:hideMark/>
          </w:tcPr>
          <w:p w:rsidR="00425A05" w:rsidRPr="00425A05" w:rsidRDefault="00425A05" w:rsidP="00425A05">
            <w:pPr>
              <w:jc w:val="center"/>
              <w:rPr>
                <w:rFonts w:ascii="Calibri" w:hAnsi="Calibri"/>
                <w:b/>
                <w:bCs/>
                <w:color w:val="000000"/>
                <w:sz w:val="22"/>
                <w:szCs w:val="22"/>
              </w:rPr>
            </w:pPr>
            <w:r w:rsidRPr="00425A05">
              <w:rPr>
                <w:rFonts w:ascii="Calibri" w:hAnsi="Calibri"/>
                <w:b/>
                <w:bCs/>
                <w:color w:val="000000"/>
                <w:sz w:val="22"/>
                <w:szCs w:val="22"/>
              </w:rPr>
              <w:t>% Graduating</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2000</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22.0%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2001</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25.0%</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27.0%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2002</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15.7%</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14.2%</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2003</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13.6%</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8.0%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2004</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12.5%</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6.6%</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2005</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21.7%</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10.0%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2006</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15.7%</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16.6%</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2007</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10.0%</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11.0%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2008</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5.0%</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5.8%</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2009</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13.3%</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14.2%</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2010</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7.0%</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9.0%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2011</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12.5%</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15.3%</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2012</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6.6%</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8.0%</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2013</w:t>
            </w:r>
          </w:p>
        </w:tc>
        <w:tc>
          <w:tcPr>
            <w:tcW w:w="2340" w:type="dxa"/>
            <w:tcBorders>
              <w:top w:val="nil"/>
              <w:left w:val="nil"/>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 </w:t>
            </w:r>
          </w:p>
        </w:tc>
        <w:tc>
          <w:tcPr>
            <w:tcW w:w="2380" w:type="dxa"/>
            <w:tcBorders>
              <w:top w:val="nil"/>
              <w:left w:val="nil"/>
              <w:bottom w:val="single" w:sz="8" w:space="0" w:color="BFBFBF"/>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 </w:t>
            </w:r>
          </w:p>
        </w:tc>
      </w:tr>
      <w:tr w:rsidR="00425A05" w:rsidRPr="00425A05" w:rsidTr="00425A05">
        <w:trPr>
          <w:trHeight w:val="315"/>
        </w:trPr>
        <w:tc>
          <w:tcPr>
            <w:tcW w:w="1860" w:type="dxa"/>
            <w:tcBorders>
              <w:top w:val="nil"/>
              <w:left w:val="single" w:sz="8" w:space="0" w:color="auto"/>
              <w:bottom w:val="single" w:sz="8" w:space="0" w:color="BFBFBF"/>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2014</w:t>
            </w:r>
          </w:p>
        </w:tc>
        <w:tc>
          <w:tcPr>
            <w:tcW w:w="2340" w:type="dxa"/>
            <w:tcBorders>
              <w:top w:val="nil"/>
              <w:left w:val="nil"/>
              <w:bottom w:val="nil"/>
              <w:right w:val="single" w:sz="8" w:space="0" w:color="BFBFBF"/>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 </w:t>
            </w:r>
          </w:p>
        </w:tc>
        <w:tc>
          <w:tcPr>
            <w:tcW w:w="2380" w:type="dxa"/>
            <w:tcBorders>
              <w:top w:val="nil"/>
              <w:left w:val="nil"/>
              <w:bottom w:val="nil"/>
              <w:right w:val="single" w:sz="8" w:space="0" w:color="auto"/>
            </w:tcBorders>
            <w:shd w:val="clear" w:color="auto" w:fill="auto"/>
            <w:noWrap/>
            <w:vAlign w:val="bottom"/>
            <w:hideMark/>
          </w:tcPr>
          <w:p w:rsidR="00425A05" w:rsidRPr="00425A05" w:rsidRDefault="00425A05" w:rsidP="00425A05">
            <w:pPr>
              <w:jc w:val="center"/>
              <w:rPr>
                <w:rFonts w:ascii="Calibri" w:hAnsi="Calibri"/>
                <w:color w:val="000000"/>
                <w:sz w:val="22"/>
                <w:szCs w:val="22"/>
              </w:rPr>
            </w:pPr>
            <w:r w:rsidRPr="00425A05">
              <w:rPr>
                <w:rFonts w:ascii="Calibri" w:hAnsi="Calibri"/>
                <w:color w:val="000000"/>
                <w:sz w:val="22"/>
                <w:szCs w:val="22"/>
              </w:rPr>
              <w:t> </w:t>
            </w:r>
          </w:p>
        </w:tc>
      </w:tr>
      <w:tr w:rsidR="00425A05" w:rsidRPr="00425A05" w:rsidTr="00425A05">
        <w:trPr>
          <w:trHeight w:val="315"/>
        </w:trPr>
        <w:tc>
          <w:tcPr>
            <w:tcW w:w="1860" w:type="dxa"/>
            <w:tcBorders>
              <w:top w:val="nil"/>
              <w:left w:val="single" w:sz="8" w:space="0" w:color="auto"/>
              <w:bottom w:val="single" w:sz="8" w:space="0" w:color="auto"/>
              <w:right w:val="nil"/>
            </w:tcBorders>
            <w:shd w:val="clear" w:color="auto" w:fill="auto"/>
            <w:noWrap/>
            <w:vAlign w:val="bottom"/>
            <w:hideMark/>
          </w:tcPr>
          <w:p w:rsidR="00425A05" w:rsidRPr="00425A05" w:rsidRDefault="00425A05" w:rsidP="00425A05">
            <w:pPr>
              <w:rPr>
                <w:rFonts w:ascii="Calibri" w:hAnsi="Calibri"/>
                <w:color w:val="000000"/>
                <w:sz w:val="22"/>
                <w:szCs w:val="22"/>
              </w:rPr>
            </w:pPr>
            <w:r w:rsidRPr="00425A05">
              <w:rPr>
                <w:rFonts w:ascii="Calibri" w:hAnsi="Calibri"/>
                <w:color w:val="000000"/>
                <w:sz w:val="22"/>
                <w:szCs w:val="22"/>
              </w:rPr>
              <w:t> </w:t>
            </w:r>
          </w:p>
        </w:tc>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5A05" w:rsidRPr="00425A05" w:rsidRDefault="00425A05" w:rsidP="00425A05">
            <w:pPr>
              <w:jc w:val="center"/>
              <w:rPr>
                <w:rFonts w:ascii="Calibri" w:hAnsi="Calibri"/>
                <w:b/>
                <w:bCs/>
                <w:color w:val="000000"/>
                <w:sz w:val="22"/>
                <w:szCs w:val="22"/>
              </w:rPr>
            </w:pPr>
            <w:r w:rsidRPr="00425A05">
              <w:rPr>
                <w:rFonts w:ascii="Calibri" w:hAnsi="Calibri"/>
                <w:b/>
                <w:bCs/>
                <w:color w:val="000000"/>
                <w:sz w:val="22"/>
                <w:szCs w:val="22"/>
              </w:rPr>
              <w:t>13.7%</w:t>
            </w:r>
          </w:p>
        </w:tc>
        <w:tc>
          <w:tcPr>
            <w:tcW w:w="2380" w:type="dxa"/>
            <w:tcBorders>
              <w:top w:val="single" w:sz="8" w:space="0" w:color="auto"/>
              <w:left w:val="nil"/>
              <w:bottom w:val="single" w:sz="8" w:space="0" w:color="auto"/>
              <w:right w:val="single" w:sz="8" w:space="0" w:color="auto"/>
            </w:tcBorders>
            <w:shd w:val="clear" w:color="auto" w:fill="auto"/>
            <w:noWrap/>
            <w:vAlign w:val="bottom"/>
            <w:hideMark/>
          </w:tcPr>
          <w:p w:rsidR="00425A05" w:rsidRPr="00425A05" w:rsidRDefault="00425A05" w:rsidP="00425A05">
            <w:pPr>
              <w:jc w:val="center"/>
              <w:rPr>
                <w:rFonts w:ascii="Calibri" w:hAnsi="Calibri"/>
                <w:b/>
                <w:bCs/>
                <w:color w:val="000000"/>
                <w:sz w:val="22"/>
                <w:szCs w:val="22"/>
              </w:rPr>
            </w:pPr>
            <w:r w:rsidRPr="00425A05">
              <w:rPr>
                <w:rFonts w:ascii="Calibri" w:hAnsi="Calibri"/>
                <w:b/>
                <w:bCs/>
                <w:color w:val="000000"/>
                <w:sz w:val="22"/>
                <w:szCs w:val="22"/>
              </w:rPr>
              <w:t>12.9%</w:t>
            </w:r>
          </w:p>
        </w:tc>
      </w:tr>
    </w:tbl>
    <w:p w:rsidR="00425A05" w:rsidRDefault="00425A05" w:rsidP="00225B53">
      <w:pPr>
        <w:spacing w:after="200" w:line="276" w:lineRule="auto"/>
        <w:rPr>
          <w:rFonts w:ascii="Arial" w:hAnsi="Arial" w:cs="Arial"/>
          <w:b/>
          <w:color w:val="000000" w:themeColor="text1"/>
        </w:rPr>
      </w:pPr>
    </w:p>
    <w:p w:rsidR="00004C1E" w:rsidRPr="00004C1E" w:rsidRDefault="00004C1E" w:rsidP="00004C1E">
      <w:pPr>
        <w:spacing w:after="200" w:line="276" w:lineRule="auto"/>
        <w:rPr>
          <w:rFonts w:ascii="Arial" w:hAnsi="Arial" w:cs="Arial"/>
          <w:b/>
          <w:i/>
          <w:color w:val="000000" w:themeColor="text1"/>
          <w:sz w:val="20"/>
          <w:szCs w:val="20"/>
        </w:rPr>
      </w:pPr>
      <w:r w:rsidRPr="00004C1E">
        <w:rPr>
          <w:rFonts w:ascii="Arial" w:hAnsi="Arial" w:cs="Arial"/>
          <w:b/>
          <w:i/>
          <w:color w:val="000000" w:themeColor="text1"/>
          <w:sz w:val="20"/>
          <w:szCs w:val="20"/>
        </w:rPr>
        <w:t>Note:  Minority population at Sinclair Community College – Avg. 16.2%</w:t>
      </w:r>
    </w:p>
    <w:p w:rsidR="00425A05" w:rsidRDefault="00425A05" w:rsidP="00225B53">
      <w:pPr>
        <w:spacing w:after="200" w:line="276" w:lineRule="auto"/>
        <w:rPr>
          <w:rFonts w:ascii="Arial" w:hAnsi="Arial" w:cs="Arial"/>
          <w:b/>
          <w:color w:val="000000" w:themeColor="text1"/>
        </w:rPr>
      </w:pPr>
    </w:p>
    <w:sectPr w:rsidR="00425A05" w:rsidSect="00173752">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B3" w:rsidRDefault="00837DB3" w:rsidP="0094204C">
      <w:r>
        <w:separator/>
      </w:r>
    </w:p>
  </w:endnote>
  <w:endnote w:type="continuationSeparator" w:id="0">
    <w:p w:rsidR="00837DB3" w:rsidRDefault="00837DB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837DB3" w:rsidRDefault="00837DB3">
        <w:pPr>
          <w:pStyle w:val="Footer"/>
          <w:jc w:val="right"/>
        </w:pPr>
        <w:r>
          <w:fldChar w:fldCharType="begin"/>
        </w:r>
        <w:r>
          <w:instrText xml:space="preserve"> PAGE   \* MERGEFORMAT </w:instrText>
        </w:r>
        <w:r>
          <w:fldChar w:fldCharType="separate"/>
        </w:r>
        <w:r w:rsidR="00DD3718">
          <w:rPr>
            <w:noProof/>
          </w:rPr>
          <w:t>1</w:t>
        </w:r>
        <w:r>
          <w:rPr>
            <w:noProof/>
          </w:rPr>
          <w:fldChar w:fldCharType="end"/>
        </w:r>
      </w:p>
    </w:sdtContent>
  </w:sdt>
  <w:p w:rsidR="00837DB3" w:rsidRDefault="0083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B3" w:rsidRDefault="00837DB3" w:rsidP="0094204C">
      <w:r>
        <w:separator/>
      </w:r>
    </w:p>
  </w:footnote>
  <w:footnote w:type="continuationSeparator" w:id="0">
    <w:p w:rsidR="00837DB3" w:rsidRDefault="00837DB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7D3A0B"/>
    <w:multiLevelType w:val="hybridMultilevel"/>
    <w:tmpl w:val="E98AF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2"/>
  </w:num>
  <w:num w:numId="8">
    <w:abstractNumId w:val="10"/>
  </w:num>
  <w:num w:numId="9">
    <w:abstractNumId w:val="1"/>
  </w:num>
  <w:num w:numId="10">
    <w:abstractNumId w:val="13"/>
  </w:num>
  <w:num w:numId="11">
    <w:abstractNumId w:val="0"/>
  </w:num>
  <w:num w:numId="12">
    <w:abstractNumId w:val="11"/>
  </w:num>
  <w:num w:numId="13">
    <w:abstractNumId w:val="8"/>
  </w:num>
  <w:num w:numId="14">
    <w:abstractNumId w:val="3"/>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4C1E"/>
    <w:rsid w:val="000279EB"/>
    <w:rsid w:val="000337E6"/>
    <w:rsid w:val="00034CE6"/>
    <w:rsid w:val="00036DF9"/>
    <w:rsid w:val="00037152"/>
    <w:rsid w:val="00054BFD"/>
    <w:rsid w:val="00055733"/>
    <w:rsid w:val="00056964"/>
    <w:rsid w:val="000616F3"/>
    <w:rsid w:val="00063778"/>
    <w:rsid w:val="00065129"/>
    <w:rsid w:val="000738FE"/>
    <w:rsid w:val="00074BD5"/>
    <w:rsid w:val="00080933"/>
    <w:rsid w:val="0009262B"/>
    <w:rsid w:val="00097843"/>
    <w:rsid w:val="000A089D"/>
    <w:rsid w:val="000A2A44"/>
    <w:rsid w:val="000A4EE0"/>
    <w:rsid w:val="000B0229"/>
    <w:rsid w:val="000B0D23"/>
    <w:rsid w:val="000B261C"/>
    <w:rsid w:val="000D1111"/>
    <w:rsid w:val="000D3A39"/>
    <w:rsid w:val="000E2463"/>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33A1A"/>
    <w:rsid w:val="00142776"/>
    <w:rsid w:val="001532B7"/>
    <w:rsid w:val="001620F2"/>
    <w:rsid w:val="001628B1"/>
    <w:rsid w:val="00163B76"/>
    <w:rsid w:val="00173752"/>
    <w:rsid w:val="00173FE3"/>
    <w:rsid w:val="00174C4B"/>
    <w:rsid w:val="001803A0"/>
    <w:rsid w:val="00181457"/>
    <w:rsid w:val="00183806"/>
    <w:rsid w:val="00183A7F"/>
    <w:rsid w:val="00184AE5"/>
    <w:rsid w:val="0018798A"/>
    <w:rsid w:val="00190F5C"/>
    <w:rsid w:val="0019135D"/>
    <w:rsid w:val="00195555"/>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144C9"/>
    <w:rsid w:val="002245AB"/>
    <w:rsid w:val="00225B53"/>
    <w:rsid w:val="0022692B"/>
    <w:rsid w:val="002315EE"/>
    <w:rsid w:val="00252576"/>
    <w:rsid w:val="0025548D"/>
    <w:rsid w:val="00255C18"/>
    <w:rsid w:val="00255F7D"/>
    <w:rsid w:val="00256114"/>
    <w:rsid w:val="0025618C"/>
    <w:rsid w:val="00262914"/>
    <w:rsid w:val="00262EFB"/>
    <w:rsid w:val="00265A99"/>
    <w:rsid w:val="00266F2F"/>
    <w:rsid w:val="002672FA"/>
    <w:rsid w:val="0026791C"/>
    <w:rsid w:val="00276B75"/>
    <w:rsid w:val="00280C60"/>
    <w:rsid w:val="00281C63"/>
    <w:rsid w:val="0028603C"/>
    <w:rsid w:val="002922CE"/>
    <w:rsid w:val="00293D8D"/>
    <w:rsid w:val="00294780"/>
    <w:rsid w:val="002A1D8C"/>
    <w:rsid w:val="002C1797"/>
    <w:rsid w:val="002C56AC"/>
    <w:rsid w:val="002D0350"/>
    <w:rsid w:val="002D1DFE"/>
    <w:rsid w:val="002D2748"/>
    <w:rsid w:val="002D3CAD"/>
    <w:rsid w:val="002D428E"/>
    <w:rsid w:val="002E105D"/>
    <w:rsid w:val="002E175B"/>
    <w:rsid w:val="002E28B0"/>
    <w:rsid w:val="002E548B"/>
    <w:rsid w:val="002E61F3"/>
    <w:rsid w:val="002E6B01"/>
    <w:rsid w:val="002F63A2"/>
    <w:rsid w:val="00302EF4"/>
    <w:rsid w:val="00303041"/>
    <w:rsid w:val="003041DD"/>
    <w:rsid w:val="00305AE1"/>
    <w:rsid w:val="0030733F"/>
    <w:rsid w:val="00307A43"/>
    <w:rsid w:val="00315CE8"/>
    <w:rsid w:val="00320CDE"/>
    <w:rsid w:val="00320DF3"/>
    <w:rsid w:val="003233E7"/>
    <w:rsid w:val="00323F93"/>
    <w:rsid w:val="003254BC"/>
    <w:rsid w:val="003305BE"/>
    <w:rsid w:val="00330692"/>
    <w:rsid w:val="00337A3A"/>
    <w:rsid w:val="0034398B"/>
    <w:rsid w:val="00345349"/>
    <w:rsid w:val="003454F6"/>
    <w:rsid w:val="003470C3"/>
    <w:rsid w:val="00350D53"/>
    <w:rsid w:val="003634AB"/>
    <w:rsid w:val="003641BA"/>
    <w:rsid w:val="00371A40"/>
    <w:rsid w:val="00372B02"/>
    <w:rsid w:val="0037786D"/>
    <w:rsid w:val="00377D40"/>
    <w:rsid w:val="003A298D"/>
    <w:rsid w:val="003A734B"/>
    <w:rsid w:val="003B2034"/>
    <w:rsid w:val="003B5176"/>
    <w:rsid w:val="003B5F45"/>
    <w:rsid w:val="003B6EA6"/>
    <w:rsid w:val="003C0AE5"/>
    <w:rsid w:val="003C1C8E"/>
    <w:rsid w:val="003D2587"/>
    <w:rsid w:val="003D6946"/>
    <w:rsid w:val="003D6D6E"/>
    <w:rsid w:val="003E0BA5"/>
    <w:rsid w:val="003E791C"/>
    <w:rsid w:val="003F3B08"/>
    <w:rsid w:val="00400BE3"/>
    <w:rsid w:val="00404810"/>
    <w:rsid w:val="00414645"/>
    <w:rsid w:val="00424E5D"/>
    <w:rsid w:val="00425A05"/>
    <w:rsid w:val="00425F46"/>
    <w:rsid w:val="00430323"/>
    <w:rsid w:val="004348EB"/>
    <w:rsid w:val="00434F56"/>
    <w:rsid w:val="004359FC"/>
    <w:rsid w:val="00440C4A"/>
    <w:rsid w:val="004467C4"/>
    <w:rsid w:val="00455833"/>
    <w:rsid w:val="004604FB"/>
    <w:rsid w:val="00461386"/>
    <w:rsid w:val="00462D00"/>
    <w:rsid w:val="00464953"/>
    <w:rsid w:val="004712EB"/>
    <w:rsid w:val="00476425"/>
    <w:rsid w:val="0048088F"/>
    <w:rsid w:val="00480B9A"/>
    <w:rsid w:val="00480BB2"/>
    <w:rsid w:val="004818E1"/>
    <w:rsid w:val="00481A7E"/>
    <w:rsid w:val="0048427F"/>
    <w:rsid w:val="00495C9D"/>
    <w:rsid w:val="004B5893"/>
    <w:rsid w:val="004B6F71"/>
    <w:rsid w:val="004B7492"/>
    <w:rsid w:val="004C2B30"/>
    <w:rsid w:val="004C519C"/>
    <w:rsid w:val="004C52FC"/>
    <w:rsid w:val="004C7DB2"/>
    <w:rsid w:val="004D3BE1"/>
    <w:rsid w:val="004D3C8C"/>
    <w:rsid w:val="004E47AA"/>
    <w:rsid w:val="004E4BD6"/>
    <w:rsid w:val="004F0F7F"/>
    <w:rsid w:val="004F41D5"/>
    <w:rsid w:val="0050211F"/>
    <w:rsid w:val="0051294F"/>
    <w:rsid w:val="00516392"/>
    <w:rsid w:val="00516463"/>
    <w:rsid w:val="00520FBE"/>
    <w:rsid w:val="0052152C"/>
    <w:rsid w:val="00525F2A"/>
    <w:rsid w:val="005279C8"/>
    <w:rsid w:val="0054350A"/>
    <w:rsid w:val="005531E8"/>
    <w:rsid w:val="005674F9"/>
    <w:rsid w:val="00572E4E"/>
    <w:rsid w:val="00573ECD"/>
    <w:rsid w:val="00585766"/>
    <w:rsid w:val="005863ED"/>
    <w:rsid w:val="005864A4"/>
    <w:rsid w:val="005918B2"/>
    <w:rsid w:val="00597F85"/>
    <w:rsid w:val="005A41E6"/>
    <w:rsid w:val="005B7784"/>
    <w:rsid w:val="005D19D9"/>
    <w:rsid w:val="005F5F7E"/>
    <w:rsid w:val="005F6B5B"/>
    <w:rsid w:val="005F7377"/>
    <w:rsid w:val="00606C0C"/>
    <w:rsid w:val="00612400"/>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9519F"/>
    <w:rsid w:val="006A2AA3"/>
    <w:rsid w:val="006B5D02"/>
    <w:rsid w:val="006B6194"/>
    <w:rsid w:val="006C142B"/>
    <w:rsid w:val="006C28B1"/>
    <w:rsid w:val="006C3182"/>
    <w:rsid w:val="006C4C0B"/>
    <w:rsid w:val="006C4F5E"/>
    <w:rsid w:val="006D67EB"/>
    <w:rsid w:val="006E3686"/>
    <w:rsid w:val="006F0183"/>
    <w:rsid w:val="00716A26"/>
    <w:rsid w:val="00740D35"/>
    <w:rsid w:val="00746675"/>
    <w:rsid w:val="00746A40"/>
    <w:rsid w:val="00751FC5"/>
    <w:rsid w:val="00754927"/>
    <w:rsid w:val="00781DA4"/>
    <w:rsid w:val="007825CC"/>
    <w:rsid w:val="00783322"/>
    <w:rsid w:val="007856A2"/>
    <w:rsid w:val="0078669D"/>
    <w:rsid w:val="00786F00"/>
    <w:rsid w:val="00791FF2"/>
    <w:rsid w:val="0079281D"/>
    <w:rsid w:val="00794EA2"/>
    <w:rsid w:val="007A2EC8"/>
    <w:rsid w:val="007A43CE"/>
    <w:rsid w:val="007C1FEF"/>
    <w:rsid w:val="007C46D3"/>
    <w:rsid w:val="007C74F5"/>
    <w:rsid w:val="007E2A53"/>
    <w:rsid w:val="007E36F4"/>
    <w:rsid w:val="007F45E6"/>
    <w:rsid w:val="007F66F9"/>
    <w:rsid w:val="0080292B"/>
    <w:rsid w:val="008034BE"/>
    <w:rsid w:val="008056C5"/>
    <w:rsid w:val="00805C23"/>
    <w:rsid w:val="00807113"/>
    <w:rsid w:val="0081740A"/>
    <w:rsid w:val="00817DDA"/>
    <w:rsid w:val="00821011"/>
    <w:rsid w:val="008258DA"/>
    <w:rsid w:val="00827AE5"/>
    <w:rsid w:val="00837DB3"/>
    <w:rsid w:val="00847243"/>
    <w:rsid w:val="008642E1"/>
    <w:rsid w:val="00875A7C"/>
    <w:rsid w:val="00877383"/>
    <w:rsid w:val="00880686"/>
    <w:rsid w:val="008836F4"/>
    <w:rsid w:val="008860C1"/>
    <w:rsid w:val="008909D4"/>
    <w:rsid w:val="008942FA"/>
    <w:rsid w:val="00897A68"/>
    <w:rsid w:val="008B52A0"/>
    <w:rsid w:val="008D141C"/>
    <w:rsid w:val="008D4D55"/>
    <w:rsid w:val="008E063A"/>
    <w:rsid w:val="008F25E9"/>
    <w:rsid w:val="008F3D47"/>
    <w:rsid w:val="008F41A6"/>
    <w:rsid w:val="009108ED"/>
    <w:rsid w:val="00915CDA"/>
    <w:rsid w:val="00925394"/>
    <w:rsid w:val="0092540D"/>
    <w:rsid w:val="009268A3"/>
    <w:rsid w:val="0094204C"/>
    <w:rsid w:val="00942651"/>
    <w:rsid w:val="00952FA6"/>
    <w:rsid w:val="00961575"/>
    <w:rsid w:val="00963DD8"/>
    <w:rsid w:val="00981D62"/>
    <w:rsid w:val="00984F6E"/>
    <w:rsid w:val="009A2F4E"/>
    <w:rsid w:val="009A616E"/>
    <w:rsid w:val="009A69F0"/>
    <w:rsid w:val="009B4BEA"/>
    <w:rsid w:val="009C1092"/>
    <w:rsid w:val="009C505B"/>
    <w:rsid w:val="009D2DBD"/>
    <w:rsid w:val="009D4970"/>
    <w:rsid w:val="009E2519"/>
    <w:rsid w:val="009F2769"/>
    <w:rsid w:val="009F71F8"/>
    <w:rsid w:val="00A03C1A"/>
    <w:rsid w:val="00A076F3"/>
    <w:rsid w:val="00A11155"/>
    <w:rsid w:val="00A14B89"/>
    <w:rsid w:val="00A201E2"/>
    <w:rsid w:val="00A21E6E"/>
    <w:rsid w:val="00A279B7"/>
    <w:rsid w:val="00A316A8"/>
    <w:rsid w:val="00A341DF"/>
    <w:rsid w:val="00A36DEE"/>
    <w:rsid w:val="00A4001A"/>
    <w:rsid w:val="00A51345"/>
    <w:rsid w:val="00A54831"/>
    <w:rsid w:val="00A6078F"/>
    <w:rsid w:val="00A62968"/>
    <w:rsid w:val="00A63ACE"/>
    <w:rsid w:val="00A82BCC"/>
    <w:rsid w:val="00A8476F"/>
    <w:rsid w:val="00AB0EF6"/>
    <w:rsid w:val="00AB61F9"/>
    <w:rsid w:val="00AC0386"/>
    <w:rsid w:val="00AC62F8"/>
    <w:rsid w:val="00AD2C0C"/>
    <w:rsid w:val="00AD4FA7"/>
    <w:rsid w:val="00AD5AF9"/>
    <w:rsid w:val="00AE4AD2"/>
    <w:rsid w:val="00AE5F43"/>
    <w:rsid w:val="00AF1271"/>
    <w:rsid w:val="00AF6A23"/>
    <w:rsid w:val="00B11F28"/>
    <w:rsid w:val="00B11FBB"/>
    <w:rsid w:val="00B27095"/>
    <w:rsid w:val="00B31728"/>
    <w:rsid w:val="00B34F9E"/>
    <w:rsid w:val="00B42C55"/>
    <w:rsid w:val="00B44B23"/>
    <w:rsid w:val="00B44D80"/>
    <w:rsid w:val="00B4625A"/>
    <w:rsid w:val="00B608D5"/>
    <w:rsid w:val="00B61D81"/>
    <w:rsid w:val="00B700A5"/>
    <w:rsid w:val="00B71307"/>
    <w:rsid w:val="00B75DD0"/>
    <w:rsid w:val="00B764F8"/>
    <w:rsid w:val="00B81607"/>
    <w:rsid w:val="00B8227E"/>
    <w:rsid w:val="00B84D42"/>
    <w:rsid w:val="00B907D9"/>
    <w:rsid w:val="00B90F20"/>
    <w:rsid w:val="00B91F1E"/>
    <w:rsid w:val="00BA3246"/>
    <w:rsid w:val="00BA411F"/>
    <w:rsid w:val="00BA527A"/>
    <w:rsid w:val="00BB272C"/>
    <w:rsid w:val="00BB28CF"/>
    <w:rsid w:val="00BB4ABC"/>
    <w:rsid w:val="00BB4C9F"/>
    <w:rsid w:val="00BB5574"/>
    <w:rsid w:val="00BC12BF"/>
    <w:rsid w:val="00BC5FF1"/>
    <w:rsid w:val="00BC6C11"/>
    <w:rsid w:val="00BC7390"/>
    <w:rsid w:val="00BD2C4F"/>
    <w:rsid w:val="00BD3EF3"/>
    <w:rsid w:val="00BE51FF"/>
    <w:rsid w:val="00BE6F3C"/>
    <w:rsid w:val="00BF3561"/>
    <w:rsid w:val="00BF556C"/>
    <w:rsid w:val="00C02186"/>
    <w:rsid w:val="00C02F4D"/>
    <w:rsid w:val="00C05015"/>
    <w:rsid w:val="00C05EFD"/>
    <w:rsid w:val="00C22083"/>
    <w:rsid w:val="00C32DEA"/>
    <w:rsid w:val="00C45053"/>
    <w:rsid w:val="00C50A91"/>
    <w:rsid w:val="00C52D4C"/>
    <w:rsid w:val="00C52D74"/>
    <w:rsid w:val="00C5365F"/>
    <w:rsid w:val="00C56C48"/>
    <w:rsid w:val="00C611E5"/>
    <w:rsid w:val="00C616FD"/>
    <w:rsid w:val="00C63B58"/>
    <w:rsid w:val="00C7001F"/>
    <w:rsid w:val="00C71F16"/>
    <w:rsid w:val="00C744FB"/>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CF71C7"/>
    <w:rsid w:val="00D07030"/>
    <w:rsid w:val="00D12A4B"/>
    <w:rsid w:val="00D239CC"/>
    <w:rsid w:val="00D23E74"/>
    <w:rsid w:val="00D31DDA"/>
    <w:rsid w:val="00D32DF0"/>
    <w:rsid w:val="00D44D7D"/>
    <w:rsid w:val="00D52978"/>
    <w:rsid w:val="00D55216"/>
    <w:rsid w:val="00D57E53"/>
    <w:rsid w:val="00D60F74"/>
    <w:rsid w:val="00D632DC"/>
    <w:rsid w:val="00D708C3"/>
    <w:rsid w:val="00D72CCC"/>
    <w:rsid w:val="00D73E22"/>
    <w:rsid w:val="00D92CC0"/>
    <w:rsid w:val="00D92EF6"/>
    <w:rsid w:val="00D9642E"/>
    <w:rsid w:val="00DA1FAD"/>
    <w:rsid w:val="00DA5E37"/>
    <w:rsid w:val="00DA7FA2"/>
    <w:rsid w:val="00DB041B"/>
    <w:rsid w:val="00DB17B2"/>
    <w:rsid w:val="00DC0672"/>
    <w:rsid w:val="00DC5CEE"/>
    <w:rsid w:val="00DC7317"/>
    <w:rsid w:val="00DD3718"/>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4C00"/>
    <w:rsid w:val="00E66EBA"/>
    <w:rsid w:val="00E7049B"/>
    <w:rsid w:val="00E706AE"/>
    <w:rsid w:val="00E727F2"/>
    <w:rsid w:val="00E73A43"/>
    <w:rsid w:val="00E749F1"/>
    <w:rsid w:val="00E87116"/>
    <w:rsid w:val="00E90F22"/>
    <w:rsid w:val="00E96021"/>
    <w:rsid w:val="00E97968"/>
    <w:rsid w:val="00EA7AFE"/>
    <w:rsid w:val="00EB3C20"/>
    <w:rsid w:val="00EC0B9E"/>
    <w:rsid w:val="00EC1EB5"/>
    <w:rsid w:val="00EC258E"/>
    <w:rsid w:val="00EC6B80"/>
    <w:rsid w:val="00ED0C45"/>
    <w:rsid w:val="00ED4142"/>
    <w:rsid w:val="00EE4E34"/>
    <w:rsid w:val="00EF15CD"/>
    <w:rsid w:val="00EF6E21"/>
    <w:rsid w:val="00F0239E"/>
    <w:rsid w:val="00F05E0F"/>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7478F"/>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6E01"/>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2015172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0016856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27460103">
      <w:bodyDiv w:val="1"/>
      <w:marLeft w:val="0"/>
      <w:marRight w:val="0"/>
      <w:marTop w:val="0"/>
      <w:marBottom w:val="0"/>
      <w:divBdr>
        <w:top w:val="none" w:sz="0" w:space="0" w:color="auto"/>
        <w:left w:val="none" w:sz="0" w:space="0" w:color="auto"/>
        <w:bottom w:val="none" w:sz="0" w:space="0" w:color="auto"/>
        <w:right w:val="none" w:sz="0" w:space="0" w:color="auto"/>
      </w:divBdr>
    </w:div>
    <w:div w:id="1476600469">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002358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0630 - Surgical Technology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16</c:v>
                </c:pt>
                <c:pt idx="1">
                  <c:v>19</c:v>
                </c:pt>
                <c:pt idx="2">
                  <c:v>35</c:v>
                </c:pt>
                <c:pt idx="3">
                  <c:v>25</c:v>
                </c:pt>
                <c:pt idx="4" formatCode="General">
                  <c:v>17</c:v>
                </c:pt>
                <c:pt idx="5" formatCode="General">
                  <c:v>14</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44597248"/>
        <c:axId val="44598784"/>
      </c:barChart>
      <c:catAx>
        <c:axId val="44597248"/>
        <c:scaling>
          <c:orientation val="minMax"/>
        </c:scaling>
        <c:delete val="0"/>
        <c:axPos val="b"/>
        <c:majorTickMark val="out"/>
        <c:minorTickMark val="none"/>
        <c:tickLblPos val="nextTo"/>
        <c:crossAx val="44598784"/>
        <c:crosses val="autoZero"/>
        <c:auto val="1"/>
        <c:lblAlgn val="ctr"/>
        <c:lblOffset val="100"/>
        <c:noMultiLvlLbl val="0"/>
      </c:catAx>
      <c:valAx>
        <c:axId val="4459878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4459724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0630 - Surgical Technology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0.95099999999999996</c:v>
                </c:pt>
                <c:pt idx="1">
                  <c:v>0.97199999999999998</c:v>
                </c:pt>
                <c:pt idx="2">
                  <c:v>0.97799999999999998</c:v>
                </c:pt>
                <c:pt idx="3">
                  <c:v>0.96599999999999997</c:v>
                </c:pt>
                <c:pt idx="4">
                  <c:v>0.96899999999999997</c:v>
                </c:pt>
                <c:pt idx="5">
                  <c:v>0.91600000000000004</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0.77500000000000002</c:v>
                </c:pt>
                <c:pt idx="4">
                  <c:v>0.79800000000000004</c:v>
                </c:pt>
                <c:pt idx="5">
                  <c:v>0.77700000000000002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18293248"/>
        <c:axId val="118294784"/>
      </c:barChart>
      <c:catAx>
        <c:axId val="118293248"/>
        <c:scaling>
          <c:orientation val="minMax"/>
        </c:scaling>
        <c:delete val="0"/>
        <c:axPos val="b"/>
        <c:numFmt formatCode="0.0%" sourceLinked="1"/>
        <c:majorTickMark val="none"/>
        <c:minorTickMark val="none"/>
        <c:tickLblPos val="nextTo"/>
        <c:crossAx val="118294784"/>
        <c:crosses val="autoZero"/>
        <c:auto val="1"/>
        <c:lblAlgn val="ctr"/>
        <c:lblOffset val="100"/>
        <c:noMultiLvlLbl val="0"/>
      </c:catAx>
      <c:valAx>
        <c:axId val="11829478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1829324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474F-6E3A-4D89-B187-F35CAE89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Willin-Mulay, Susan</cp:lastModifiedBy>
  <cp:revision>2</cp:revision>
  <cp:lastPrinted>2012-05-11T12:59:00Z</cp:lastPrinted>
  <dcterms:created xsi:type="dcterms:W3CDTF">2013-10-08T18:24:00Z</dcterms:created>
  <dcterms:modified xsi:type="dcterms:W3CDTF">2013-10-08T18:24:00Z</dcterms:modified>
</cp:coreProperties>
</file>