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1F29DF" w:rsidRPr="0088047C">
        <w:rPr>
          <w:rFonts w:ascii="Arial" w:hAnsi="Arial" w:cs="Arial"/>
          <w:b/>
          <w:u w:val="single"/>
        </w:rPr>
        <w:t>Respiratory Care</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Pr="001F29DF" w:rsidRDefault="004E47AA" w:rsidP="004E47AA">
      <w:pPr>
        <w:pStyle w:val="ListParagraph"/>
        <w:rPr>
          <w:b/>
          <w:sz w:val="20"/>
          <w:szCs w:val="20"/>
        </w:rPr>
      </w:pPr>
    </w:p>
    <w:p w:rsidR="004E47AA" w:rsidRPr="001F29DF" w:rsidRDefault="004E47AA" w:rsidP="004E47AA">
      <w:pPr>
        <w:pStyle w:val="ListParagraph"/>
        <w:numPr>
          <w:ilvl w:val="2"/>
          <w:numId w:val="5"/>
        </w:numPr>
        <w:rPr>
          <w:b/>
        </w:rPr>
      </w:pPr>
      <w:r w:rsidRPr="001F29DF">
        <w:rPr>
          <w:b/>
        </w:rPr>
        <w:t>Course Success Rates – Please report the course success rates for:</w:t>
      </w:r>
    </w:p>
    <w:p w:rsidR="00B44B23" w:rsidRPr="001F29DF" w:rsidRDefault="00B44B23" w:rsidP="00B44B23">
      <w:pPr>
        <w:pStyle w:val="ListParagraph"/>
        <w:ind w:left="2160"/>
        <w:rPr>
          <w:b/>
        </w:rPr>
      </w:pPr>
    </w:p>
    <w:p w:rsidR="004E47AA" w:rsidRPr="001F29DF" w:rsidRDefault="004E47AA" w:rsidP="003D2587">
      <w:pPr>
        <w:pStyle w:val="ListParagraph"/>
        <w:numPr>
          <w:ilvl w:val="4"/>
          <w:numId w:val="23"/>
        </w:numPr>
        <w:rPr>
          <w:b/>
        </w:rPr>
      </w:pPr>
      <w:r w:rsidRPr="001F29DF">
        <w:rPr>
          <w:b/>
        </w:rPr>
        <w:t>Highest enrollment courses</w:t>
      </w:r>
      <w:r w:rsidR="003734ED" w:rsidRPr="001F29DF">
        <w:rPr>
          <w:b/>
        </w:rPr>
        <w:t xml:space="preserve"> – N/A</w:t>
      </w:r>
    </w:p>
    <w:p w:rsidR="005864A4" w:rsidRPr="001F29DF" w:rsidRDefault="004E47AA" w:rsidP="003D2587">
      <w:pPr>
        <w:pStyle w:val="ListParagraph"/>
        <w:numPr>
          <w:ilvl w:val="4"/>
          <w:numId w:val="23"/>
        </w:numPr>
        <w:rPr>
          <w:rFonts w:ascii="Arial" w:hAnsi="Arial" w:cs="Arial"/>
          <w:b/>
        </w:rPr>
      </w:pPr>
      <w:r w:rsidRPr="001F29DF">
        <w:rPr>
          <w:b/>
        </w:rPr>
        <w:t>Any courses that deviate - high and low - from the typical success rate for your department</w:t>
      </w:r>
      <w:r w:rsidR="00F17C08" w:rsidRPr="001F29DF">
        <w:rPr>
          <w:b/>
        </w:rPr>
        <w:t xml:space="preserve"> </w:t>
      </w:r>
      <w:r w:rsidR="003734ED" w:rsidRPr="001F29DF">
        <w:rPr>
          <w:b/>
        </w:rPr>
        <w:t>– N</w:t>
      </w:r>
      <w:r w:rsidR="001F29DF" w:rsidRPr="001F29DF">
        <w:rPr>
          <w:b/>
        </w:rPr>
        <w:t>/</w:t>
      </w:r>
      <w:r w:rsidR="003734ED" w:rsidRPr="001F29DF">
        <w:rPr>
          <w:b/>
        </w:rPr>
        <w:t>A</w:t>
      </w:r>
    </w:p>
    <w:p w:rsidR="009D4970" w:rsidRPr="001F29DF" w:rsidRDefault="009D4970" w:rsidP="009D4970">
      <w:pPr>
        <w:pStyle w:val="ListParagraph"/>
        <w:rPr>
          <w:b/>
        </w:rPr>
      </w:pPr>
    </w:p>
    <w:p w:rsidR="009D4970" w:rsidRPr="001F29DF" w:rsidRDefault="009D4970" w:rsidP="009D4970">
      <w:pPr>
        <w:pStyle w:val="ListParagraph"/>
        <w:numPr>
          <w:ilvl w:val="2"/>
          <w:numId w:val="5"/>
        </w:numPr>
        <w:rPr>
          <w:b/>
        </w:rPr>
      </w:pPr>
      <w:r w:rsidRPr="001F29DF">
        <w:rPr>
          <w:b/>
        </w:rPr>
        <w:t>Degree and certificate completion (where applicable)</w:t>
      </w:r>
    </w:p>
    <w:p w:rsidR="003734ED" w:rsidRDefault="003734ED" w:rsidP="003734ED">
      <w:pPr>
        <w:rPr>
          <w:b/>
        </w:rPr>
      </w:pPr>
    </w:p>
    <w:tbl>
      <w:tblPr>
        <w:tblStyle w:val="TableGrid"/>
        <w:tblW w:w="6384" w:type="dxa"/>
        <w:tblInd w:w="1497" w:type="dxa"/>
        <w:tblLook w:val="04A0" w:firstRow="1" w:lastRow="0" w:firstColumn="1" w:lastColumn="0" w:noHBand="0" w:noVBand="1"/>
      </w:tblPr>
      <w:tblGrid>
        <w:gridCol w:w="3192"/>
        <w:gridCol w:w="3192"/>
      </w:tblGrid>
      <w:tr w:rsidR="007E7815" w:rsidRPr="001D0819" w:rsidTr="007E7815">
        <w:tc>
          <w:tcPr>
            <w:tcW w:w="3192" w:type="dxa"/>
            <w:tcBorders>
              <w:top w:val="nil"/>
              <w:left w:val="nil"/>
            </w:tcBorders>
          </w:tcPr>
          <w:p w:rsidR="007E7815" w:rsidRPr="001D0819" w:rsidRDefault="007E7815" w:rsidP="003734ED">
            <w:pPr>
              <w:rPr>
                <w:rFonts w:ascii="Arial" w:hAnsi="Arial" w:cs="Arial"/>
                <w:b/>
              </w:rPr>
            </w:pPr>
          </w:p>
        </w:tc>
        <w:tc>
          <w:tcPr>
            <w:tcW w:w="3192" w:type="dxa"/>
          </w:tcPr>
          <w:p w:rsidR="007E7815" w:rsidRPr="001D0819" w:rsidRDefault="007E7815" w:rsidP="003734ED">
            <w:pPr>
              <w:jc w:val="center"/>
              <w:rPr>
                <w:rFonts w:ascii="Arial" w:hAnsi="Arial" w:cs="Arial"/>
                <w:b/>
              </w:rPr>
            </w:pPr>
            <w:r w:rsidRPr="001D0819">
              <w:rPr>
                <w:rFonts w:ascii="Arial" w:hAnsi="Arial" w:cs="Arial"/>
                <w:b/>
              </w:rPr>
              <w:t>Graduates</w:t>
            </w:r>
          </w:p>
        </w:tc>
      </w:tr>
      <w:tr w:rsidR="007E7815" w:rsidRPr="001D0819" w:rsidTr="007E7815">
        <w:tc>
          <w:tcPr>
            <w:tcW w:w="3192" w:type="dxa"/>
          </w:tcPr>
          <w:p w:rsidR="007E7815" w:rsidRPr="001D0819" w:rsidRDefault="007E7815" w:rsidP="007E7815">
            <w:pPr>
              <w:rPr>
                <w:rFonts w:ascii="Arial" w:hAnsi="Arial" w:cs="Arial"/>
                <w:b/>
              </w:rPr>
            </w:pPr>
            <w:r w:rsidRPr="001D0819">
              <w:rPr>
                <w:rFonts w:ascii="Arial" w:hAnsi="Arial" w:cs="Arial"/>
                <w:b/>
              </w:rPr>
              <w:t>2009 Cohort/Graduating Class of 2011</w:t>
            </w:r>
          </w:p>
        </w:tc>
        <w:tc>
          <w:tcPr>
            <w:tcW w:w="3192" w:type="dxa"/>
          </w:tcPr>
          <w:p w:rsidR="007E7815" w:rsidRPr="001D0819" w:rsidRDefault="007E7815" w:rsidP="003734ED">
            <w:pPr>
              <w:jc w:val="center"/>
              <w:rPr>
                <w:rFonts w:ascii="Arial" w:hAnsi="Arial" w:cs="Arial"/>
                <w:b/>
              </w:rPr>
            </w:pPr>
          </w:p>
          <w:p w:rsidR="007E7815" w:rsidRPr="001D0819" w:rsidRDefault="007E7815" w:rsidP="003734ED">
            <w:pPr>
              <w:jc w:val="center"/>
              <w:rPr>
                <w:rFonts w:ascii="Arial" w:hAnsi="Arial" w:cs="Arial"/>
                <w:b/>
              </w:rPr>
            </w:pPr>
            <w:r w:rsidRPr="001D0819">
              <w:rPr>
                <w:rFonts w:ascii="Arial" w:hAnsi="Arial" w:cs="Arial"/>
                <w:b/>
              </w:rPr>
              <w:t>19  (6 in-progress)</w:t>
            </w:r>
          </w:p>
        </w:tc>
      </w:tr>
      <w:tr w:rsidR="007E7815" w:rsidRPr="001D0819" w:rsidTr="007E7815">
        <w:tc>
          <w:tcPr>
            <w:tcW w:w="3192" w:type="dxa"/>
          </w:tcPr>
          <w:p w:rsidR="007E7815" w:rsidRPr="001D0819" w:rsidRDefault="007E7815" w:rsidP="007E7815">
            <w:pPr>
              <w:rPr>
                <w:rFonts w:ascii="Arial" w:hAnsi="Arial" w:cs="Arial"/>
                <w:b/>
              </w:rPr>
            </w:pPr>
            <w:r w:rsidRPr="001D0819">
              <w:rPr>
                <w:rFonts w:ascii="Arial" w:hAnsi="Arial" w:cs="Arial"/>
                <w:b/>
              </w:rPr>
              <w:t xml:space="preserve">2008 Cohort/Graduating Class of 2010 </w:t>
            </w:r>
          </w:p>
        </w:tc>
        <w:tc>
          <w:tcPr>
            <w:tcW w:w="3192" w:type="dxa"/>
          </w:tcPr>
          <w:p w:rsidR="007E7815" w:rsidRPr="001D0819" w:rsidRDefault="007E7815" w:rsidP="003734ED">
            <w:pPr>
              <w:rPr>
                <w:rFonts w:ascii="Arial" w:hAnsi="Arial" w:cs="Arial"/>
                <w:b/>
              </w:rPr>
            </w:pPr>
          </w:p>
          <w:p w:rsidR="007E7815" w:rsidRPr="001D0819" w:rsidRDefault="007E7815" w:rsidP="007E7815">
            <w:pPr>
              <w:jc w:val="center"/>
              <w:rPr>
                <w:rFonts w:ascii="Arial" w:hAnsi="Arial" w:cs="Arial"/>
                <w:b/>
              </w:rPr>
            </w:pPr>
            <w:r w:rsidRPr="001D0819">
              <w:rPr>
                <w:rFonts w:ascii="Arial" w:hAnsi="Arial" w:cs="Arial"/>
                <w:b/>
              </w:rPr>
              <w:t>30</w:t>
            </w:r>
          </w:p>
        </w:tc>
      </w:tr>
      <w:tr w:rsidR="007E7815" w:rsidRPr="001D0819" w:rsidTr="007E7815">
        <w:tc>
          <w:tcPr>
            <w:tcW w:w="3192" w:type="dxa"/>
          </w:tcPr>
          <w:p w:rsidR="007E7815" w:rsidRPr="001D0819" w:rsidRDefault="007E7815" w:rsidP="003734ED">
            <w:pPr>
              <w:rPr>
                <w:rFonts w:ascii="Arial" w:hAnsi="Arial" w:cs="Arial"/>
                <w:b/>
              </w:rPr>
            </w:pPr>
            <w:r w:rsidRPr="001D0819">
              <w:rPr>
                <w:rFonts w:ascii="Arial" w:hAnsi="Arial" w:cs="Arial"/>
                <w:b/>
              </w:rPr>
              <w:t>2007 Cohort/Graduating  Class of 2009</w:t>
            </w:r>
          </w:p>
        </w:tc>
        <w:tc>
          <w:tcPr>
            <w:tcW w:w="3192" w:type="dxa"/>
          </w:tcPr>
          <w:p w:rsidR="007E7815" w:rsidRPr="001D0819" w:rsidRDefault="007E7815" w:rsidP="003734ED">
            <w:pPr>
              <w:rPr>
                <w:rFonts w:ascii="Arial" w:hAnsi="Arial" w:cs="Arial"/>
                <w:b/>
              </w:rPr>
            </w:pPr>
          </w:p>
          <w:p w:rsidR="007E7815" w:rsidRPr="001D0819" w:rsidRDefault="007E7815" w:rsidP="007E7815">
            <w:pPr>
              <w:jc w:val="center"/>
              <w:rPr>
                <w:rFonts w:ascii="Arial" w:hAnsi="Arial" w:cs="Arial"/>
                <w:b/>
              </w:rPr>
            </w:pPr>
            <w:r w:rsidRPr="001D0819">
              <w:rPr>
                <w:rFonts w:ascii="Arial" w:hAnsi="Arial" w:cs="Arial"/>
                <w:b/>
              </w:rPr>
              <w:t>23</w:t>
            </w:r>
          </w:p>
        </w:tc>
      </w:tr>
      <w:tr w:rsidR="008A6FAE" w:rsidRPr="001D0819" w:rsidTr="007E7815">
        <w:tc>
          <w:tcPr>
            <w:tcW w:w="3192" w:type="dxa"/>
          </w:tcPr>
          <w:p w:rsidR="008A6FAE" w:rsidRPr="001D0819" w:rsidRDefault="008A6FAE" w:rsidP="003734ED">
            <w:pPr>
              <w:rPr>
                <w:rFonts w:ascii="Arial" w:hAnsi="Arial" w:cs="Arial"/>
                <w:b/>
              </w:rPr>
            </w:pPr>
            <w:r w:rsidRPr="001D0819">
              <w:rPr>
                <w:rFonts w:ascii="Arial" w:hAnsi="Arial" w:cs="Arial"/>
                <w:b/>
              </w:rPr>
              <w:t>2006 Cohort/Graduating Class of 2008</w:t>
            </w:r>
          </w:p>
        </w:tc>
        <w:tc>
          <w:tcPr>
            <w:tcW w:w="3192" w:type="dxa"/>
          </w:tcPr>
          <w:p w:rsidR="008A6FAE" w:rsidRPr="001D0819" w:rsidRDefault="008A6FAE" w:rsidP="003734ED">
            <w:pPr>
              <w:rPr>
                <w:rFonts w:ascii="Arial" w:hAnsi="Arial" w:cs="Arial"/>
                <w:b/>
              </w:rPr>
            </w:pPr>
          </w:p>
          <w:p w:rsidR="008A6FAE" w:rsidRPr="001D0819" w:rsidRDefault="008A6FAE" w:rsidP="008A6FAE">
            <w:pPr>
              <w:jc w:val="center"/>
              <w:rPr>
                <w:rFonts w:ascii="Arial" w:hAnsi="Arial" w:cs="Arial"/>
                <w:b/>
              </w:rPr>
            </w:pPr>
            <w:r w:rsidRPr="001D0819">
              <w:rPr>
                <w:rFonts w:ascii="Arial" w:hAnsi="Arial" w:cs="Arial"/>
                <w:b/>
              </w:rPr>
              <w:t>25</w:t>
            </w:r>
          </w:p>
        </w:tc>
      </w:tr>
    </w:tbl>
    <w:p w:rsidR="003734ED" w:rsidRDefault="003734ED" w:rsidP="003734ED">
      <w:pPr>
        <w:rPr>
          <w:b/>
        </w:rPr>
      </w:pPr>
    </w:p>
    <w:p w:rsidR="009D4970" w:rsidRDefault="009D4970" w:rsidP="009D4970">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496A63" w:rsidRDefault="00496A63" w:rsidP="00496A63">
      <w:pPr>
        <w:ind w:left="1980"/>
        <w:rPr>
          <w:b/>
        </w:rPr>
      </w:pPr>
    </w:p>
    <w:p w:rsidR="001F29DF" w:rsidRPr="001D0819" w:rsidRDefault="001F29DF" w:rsidP="00496A63">
      <w:pPr>
        <w:ind w:left="1980"/>
        <w:rPr>
          <w:rFonts w:ascii="Arial" w:hAnsi="Arial" w:cs="Arial"/>
          <w:b/>
        </w:rPr>
      </w:pPr>
      <w:r w:rsidRPr="001D0819">
        <w:rPr>
          <w:rFonts w:ascii="Arial" w:hAnsi="Arial" w:cs="Arial"/>
          <w:b/>
        </w:rPr>
        <w:t>The data provided in the next</w:t>
      </w:r>
      <w:r w:rsidR="00666097">
        <w:rPr>
          <w:rFonts w:ascii="Arial" w:hAnsi="Arial" w:cs="Arial"/>
          <w:b/>
        </w:rPr>
        <w:t xml:space="preserve"> </w:t>
      </w:r>
      <w:r w:rsidRPr="001D0819">
        <w:rPr>
          <w:rFonts w:ascii="Arial" w:hAnsi="Arial" w:cs="Arial"/>
          <w:b/>
        </w:rPr>
        <w:t>table reflects information obtained by graduating class and as reported annually to the Commission for Accreditation of Respiratory Care (CoARC).</w:t>
      </w:r>
      <w:r w:rsidR="008A6FAE" w:rsidRPr="001D0819">
        <w:rPr>
          <w:rFonts w:ascii="Arial" w:hAnsi="Arial" w:cs="Arial"/>
          <w:b/>
        </w:rPr>
        <w:t xml:space="preserve">   </w:t>
      </w:r>
    </w:p>
    <w:p w:rsidR="001F29DF" w:rsidRPr="001D0819" w:rsidRDefault="001F29DF" w:rsidP="00496A63">
      <w:pPr>
        <w:ind w:left="1980"/>
        <w:rPr>
          <w:rFonts w:ascii="Arial" w:hAnsi="Arial" w:cs="Arial"/>
          <w:b/>
        </w:rPr>
      </w:pPr>
    </w:p>
    <w:p w:rsidR="001F29DF" w:rsidRDefault="008A6FAE" w:rsidP="00496A63">
      <w:pPr>
        <w:ind w:left="1980"/>
        <w:rPr>
          <w:rFonts w:ascii="Arial" w:hAnsi="Arial" w:cs="Arial"/>
          <w:b/>
        </w:rPr>
      </w:pPr>
      <w:r w:rsidRPr="001D0819">
        <w:rPr>
          <w:rFonts w:ascii="Arial" w:hAnsi="Arial" w:cs="Arial"/>
          <w:b/>
        </w:rPr>
        <w:t>T</w:t>
      </w:r>
      <w:r w:rsidR="001F29DF" w:rsidRPr="001D0819">
        <w:rPr>
          <w:rFonts w:ascii="Arial" w:hAnsi="Arial" w:cs="Arial"/>
          <w:b/>
        </w:rPr>
        <w:t>he aggregate data and percentages are based only on the</w:t>
      </w:r>
      <w:r w:rsidR="0088047C">
        <w:rPr>
          <w:rFonts w:ascii="Arial" w:hAnsi="Arial" w:cs="Arial"/>
          <w:b/>
        </w:rPr>
        <w:t xml:space="preserve"> performance of</w:t>
      </w:r>
      <w:r w:rsidR="001F29DF" w:rsidRPr="001D0819">
        <w:rPr>
          <w:rFonts w:ascii="Arial" w:hAnsi="Arial" w:cs="Arial"/>
          <w:b/>
        </w:rPr>
        <w:t xml:space="preserve"> graduates</w:t>
      </w:r>
      <w:r w:rsidR="006D5EE1" w:rsidRPr="001D0819">
        <w:rPr>
          <w:rFonts w:ascii="Arial" w:hAnsi="Arial" w:cs="Arial"/>
          <w:b/>
        </w:rPr>
        <w:t>-t</w:t>
      </w:r>
      <w:r w:rsidR="001F29DF" w:rsidRPr="001D0819">
        <w:rPr>
          <w:rFonts w:ascii="Arial" w:hAnsi="Arial" w:cs="Arial"/>
          <w:b/>
        </w:rPr>
        <w:t>o</w:t>
      </w:r>
      <w:r w:rsidR="006D5EE1" w:rsidRPr="001D0819">
        <w:rPr>
          <w:rFonts w:ascii="Arial" w:hAnsi="Arial" w:cs="Arial"/>
          <w:b/>
        </w:rPr>
        <w:t>-</w:t>
      </w:r>
      <w:r w:rsidR="001F29DF" w:rsidRPr="001D0819">
        <w:rPr>
          <w:rFonts w:ascii="Arial" w:hAnsi="Arial" w:cs="Arial"/>
          <w:b/>
        </w:rPr>
        <w:t xml:space="preserve">date, or those who have attempted that particular </w:t>
      </w:r>
      <w:r w:rsidRPr="001D0819">
        <w:rPr>
          <w:rFonts w:ascii="Arial" w:hAnsi="Arial" w:cs="Arial"/>
          <w:b/>
        </w:rPr>
        <w:t>credentialing examination of the National Board for Respiratory Care (NBRC).</w:t>
      </w:r>
    </w:p>
    <w:p w:rsidR="00666097" w:rsidRPr="001D0819" w:rsidRDefault="00666097" w:rsidP="00496A63">
      <w:pPr>
        <w:ind w:left="1980"/>
        <w:rPr>
          <w:rFonts w:ascii="Arial" w:hAnsi="Arial" w:cs="Arial"/>
          <w:b/>
        </w:rPr>
      </w:pPr>
    </w:p>
    <w:p w:rsidR="001F29DF" w:rsidRPr="001D0819" w:rsidRDefault="008A6FAE" w:rsidP="00496A63">
      <w:pPr>
        <w:ind w:left="1980"/>
        <w:rPr>
          <w:rFonts w:ascii="Arial" w:hAnsi="Arial" w:cs="Arial"/>
          <w:b/>
        </w:rPr>
      </w:pPr>
      <w:r w:rsidRPr="001D0819">
        <w:rPr>
          <w:rFonts w:ascii="Arial" w:hAnsi="Arial" w:cs="Arial"/>
          <w:b/>
        </w:rPr>
        <w:t>The Certification for Respiratory Therapists (CRT) is the only exam required at this time for a license to practice in the State of Ohio.</w:t>
      </w:r>
    </w:p>
    <w:p w:rsidR="001F29DF" w:rsidRPr="006D5EE1" w:rsidRDefault="001F29DF" w:rsidP="00496A63">
      <w:pPr>
        <w:ind w:left="1980"/>
        <w:rPr>
          <w:b/>
        </w:rPr>
      </w:pPr>
    </w:p>
    <w:tbl>
      <w:tblPr>
        <w:tblStyle w:val="TableGrid"/>
        <w:tblW w:w="9855" w:type="dxa"/>
        <w:tblInd w:w="-162" w:type="dxa"/>
        <w:tblLook w:val="04A0" w:firstRow="1" w:lastRow="0" w:firstColumn="1" w:lastColumn="0" w:noHBand="0" w:noVBand="1"/>
      </w:tblPr>
      <w:tblGrid>
        <w:gridCol w:w="2160"/>
        <w:gridCol w:w="2008"/>
        <w:gridCol w:w="1925"/>
        <w:gridCol w:w="1872"/>
        <w:gridCol w:w="1890"/>
      </w:tblGrid>
      <w:tr w:rsidR="001F29DF" w:rsidRPr="001D0819" w:rsidTr="008A6FAE">
        <w:tc>
          <w:tcPr>
            <w:tcW w:w="2160" w:type="dxa"/>
            <w:tcBorders>
              <w:top w:val="nil"/>
              <w:left w:val="nil"/>
            </w:tcBorders>
          </w:tcPr>
          <w:p w:rsidR="001F29DF" w:rsidRPr="001D0819" w:rsidRDefault="001F29DF" w:rsidP="005864A4">
            <w:pPr>
              <w:rPr>
                <w:rFonts w:ascii="Arial" w:hAnsi="Arial" w:cs="Arial"/>
                <w:b/>
              </w:rPr>
            </w:pPr>
          </w:p>
        </w:tc>
        <w:tc>
          <w:tcPr>
            <w:tcW w:w="2008" w:type="dxa"/>
          </w:tcPr>
          <w:p w:rsidR="001F29DF" w:rsidRPr="001D0819" w:rsidRDefault="001F29DF" w:rsidP="00496A63">
            <w:pPr>
              <w:jc w:val="center"/>
              <w:rPr>
                <w:rFonts w:ascii="Arial" w:hAnsi="Arial" w:cs="Arial"/>
                <w:b/>
              </w:rPr>
            </w:pPr>
            <w:r w:rsidRPr="001D0819">
              <w:rPr>
                <w:rFonts w:ascii="Arial" w:hAnsi="Arial" w:cs="Arial"/>
                <w:b/>
              </w:rPr>
              <w:t>2011 Graduates</w:t>
            </w:r>
          </w:p>
        </w:tc>
        <w:tc>
          <w:tcPr>
            <w:tcW w:w="1925" w:type="dxa"/>
          </w:tcPr>
          <w:p w:rsidR="001F29DF" w:rsidRPr="001D0819" w:rsidRDefault="001F29DF" w:rsidP="00496A63">
            <w:pPr>
              <w:jc w:val="center"/>
              <w:rPr>
                <w:rFonts w:ascii="Arial" w:hAnsi="Arial" w:cs="Arial"/>
                <w:b/>
              </w:rPr>
            </w:pPr>
            <w:r w:rsidRPr="001D0819">
              <w:rPr>
                <w:rFonts w:ascii="Arial" w:hAnsi="Arial" w:cs="Arial"/>
                <w:b/>
              </w:rPr>
              <w:t>2010 Graduates</w:t>
            </w:r>
          </w:p>
        </w:tc>
        <w:tc>
          <w:tcPr>
            <w:tcW w:w="1872" w:type="dxa"/>
          </w:tcPr>
          <w:p w:rsidR="001F29DF" w:rsidRPr="001D0819" w:rsidRDefault="001F29DF" w:rsidP="00496A63">
            <w:pPr>
              <w:jc w:val="center"/>
              <w:rPr>
                <w:rFonts w:ascii="Arial" w:hAnsi="Arial" w:cs="Arial"/>
                <w:b/>
              </w:rPr>
            </w:pPr>
            <w:r w:rsidRPr="001D0819">
              <w:rPr>
                <w:rFonts w:ascii="Arial" w:hAnsi="Arial" w:cs="Arial"/>
                <w:b/>
              </w:rPr>
              <w:t>2009 Graduates</w:t>
            </w:r>
          </w:p>
        </w:tc>
        <w:tc>
          <w:tcPr>
            <w:tcW w:w="1890" w:type="dxa"/>
          </w:tcPr>
          <w:p w:rsidR="001F29DF" w:rsidRPr="001D0819" w:rsidRDefault="001F29DF" w:rsidP="00496A63">
            <w:pPr>
              <w:jc w:val="center"/>
              <w:rPr>
                <w:rFonts w:ascii="Arial" w:hAnsi="Arial" w:cs="Arial"/>
                <w:b/>
              </w:rPr>
            </w:pPr>
            <w:r w:rsidRPr="001D0819">
              <w:rPr>
                <w:rFonts w:ascii="Arial" w:hAnsi="Arial" w:cs="Arial"/>
                <w:b/>
              </w:rPr>
              <w:t>2008 Graduates</w:t>
            </w:r>
          </w:p>
        </w:tc>
      </w:tr>
      <w:tr w:rsidR="001F29DF" w:rsidRPr="001D0819" w:rsidTr="008A6FAE">
        <w:tc>
          <w:tcPr>
            <w:tcW w:w="2160" w:type="dxa"/>
          </w:tcPr>
          <w:p w:rsidR="001F29DF" w:rsidRPr="001D0819" w:rsidRDefault="001F29DF" w:rsidP="005864A4">
            <w:pPr>
              <w:rPr>
                <w:rFonts w:ascii="Arial" w:hAnsi="Arial" w:cs="Arial"/>
                <w:b/>
              </w:rPr>
            </w:pPr>
          </w:p>
          <w:p w:rsidR="001F29DF" w:rsidRPr="001D0819" w:rsidRDefault="008A6FAE" w:rsidP="008A6FAE">
            <w:pPr>
              <w:rPr>
                <w:rFonts w:ascii="Arial" w:hAnsi="Arial" w:cs="Arial"/>
                <w:b/>
              </w:rPr>
            </w:pPr>
            <w:r w:rsidRPr="001D0819">
              <w:rPr>
                <w:rFonts w:ascii="Arial" w:hAnsi="Arial" w:cs="Arial"/>
                <w:b/>
              </w:rPr>
              <w:t>Certification C</w:t>
            </w:r>
            <w:r w:rsidR="001F29DF" w:rsidRPr="001D0819">
              <w:rPr>
                <w:rFonts w:ascii="Arial" w:hAnsi="Arial" w:cs="Arial"/>
                <w:b/>
              </w:rPr>
              <w:t>RT</w:t>
            </w:r>
          </w:p>
          <w:p w:rsidR="008A6FAE" w:rsidRPr="001D0819" w:rsidRDefault="008A6FAE" w:rsidP="008A6FAE">
            <w:pPr>
              <w:rPr>
                <w:rFonts w:ascii="Arial" w:hAnsi="Arial" w:cs="Arial"/>
                <w:b/>
              </w:rPr>
            </w:pPr>
          </w:p>
        </w:tc>
        <w:tc>
          <w:tcPr>
            <w:tcW w:w="2008" w:type="dxa"/>
          </w:tcPr>
          <w:p w:rsidR="001F29DF" w:rsidRPr="001D0819" w:rsidRDefault="001F29DF" w:rsidP="003B77B6">
            <w:pPr>
              <w:jc w:val="center"/>
              <w:rPr>
                <w:rFonts w:ascii="Arial" w:hAnsi="Arial" w:cs="Arial"/>
                <w:b/>
              </w:rPr>
            </w:pPr>
          </w:p>
          <w:p w:rsidR="001F29DF" w:rsidRPr="001D0819" w:rsidRDefault="001F29DF" w:rsidP="008A6FAE">
            <w:pPr>
              <w:jc w:val="center"/>
              <w:rPr>
                <w:rFonts w:ascii="Arial" w:hAnsi="Arial" w:cs="Arial"/>
                <w:b/>
              </w:rPr>
            </w:pPr>
            <w:r w:rsidRPr="001D0819">
              <w:rPr>
                <w:rFonts w:ascii="Arial" w:hAnsi="Arial" w:cs="Arial"/>
                <w:b/>
              </w:rPr>
              <w:t>18/18 (100%)</w:t>
            </w:r>
          </w:p>
        </w:tc>
        <w:tc>
          <w:tcPr>
            <w:tcW w:w="1925" w:type="dxa"/>
          </w:tcPr>
          <w:p w:rsidR="001F29DF" w:rsidRPr="001D0819" w:rsidRDefault="001F29DF" w:rsidP="003B77B6">
            <w:pPr>
              <w:jc w:val="center"/>
              <w:rPr>
                <w:rFonts w:ascii="Arial" w:hAnsi="Arial" w:cs="Arial"/>
                <w:b/>
              </w:rPr>
            </w:pPr>
          </w:p>
          <w:p w:rsidR="001F29DF" w:rsidRPr="001D0819" w:rsidRDefault="001F29DF" w:rsidP="003B77B6">
            <w:pPr>
              <w:jc w:val="center"/>
              <w:rPr>
                <w:rFonts w:ascii="Arial" w:hAnsi="Arial" w:cs="Arial"/>
                <w:b/>
              </w:rPr>
            </w:pPr>
            <w:r w:rsidRPr="001D0819">
              <w:rPr>
                <w:rFonts w:ascii="Arial" w:hAnsi="Arial" w:cs="Arial"/>
                <w:b/>
              </w:rPr>
              <w:t>30/30 (100%)</w:t>
            </w:r>
          </w:p>
        </w:tc>
        <w:tc>
          <w:tcPr>
            <w:tcW w:w="1872" w:type="dxa"/>
          </w:tcPr>
          <w:p w:rsidR="001F29DF" w:rsidRPr="001D0819" w:rsidRDefault="001F29DF" w:rsidP="003B77B6">
            <w:pPr>
              <w:jc w:val="center"/>
              <w:rPr>
                <w:rFonts w:ascii="Arial" w:hAnsi="Arial" w:cs="Arial"/>
                <w:b/>
              </w:rPr>
            </w:pPr>
          </w:p>
          <w:p w:rsidR="001F29DF" w:rsidRPr="001D0819" w:rsidRDefault="001F29DF" w:rsidP="003B77B6">
            <w:pPr>
              <w:jc w:val="center"/>
              <w:rPr>
                <w:rFonts w:ascii="Arial" w:hAnsi="Arial" w:cs="Arial"/>
                <w:b/>
              </w:rPr>
            </w:pPr>
            <w:r w:rsidRPr="001D0819">
              <w:rPr>
                <w:rFonts w:ascii="Arial" w:hAnsi="Arial" w:cs="Arial"/>
                <w:b/>
              </w:rPr>
              <w:t>23/23 (100%)</w:t>
            </w:r>
          </w:p>
        </w:tc>
        <w:tc>
          <w:tcPr>
            <w:tcW w:w="1890" w:type="dxa"/>
          </w:tcPr>
          <w:p w:rsidR="001F29DF" w:rsidRPr="001D0819" w:rsidRDefault="001F29DF" w:rsidP="003B77B6">
            <w:pPr>
              <w:jc w:val="center"/>
              <w:rPr>
                <w:rFonts w:ascii="Arial" w:hAnsi="Arial" w:cs="Arial"/>
                <w:b/>
              </w:rPr>
            </w:pPr>
          </w:p>
          <w:p w:rsidR="001F29DF" w:rsidRPr="001D0819" w:rsidRDefault="001F29DF" w:rsidP="003B77B6">
            <w:pPr>
              <w:jc w:val="center"/>
              <w:rPr>
                <w:rFonts w:ascii="Arial" w:hAnsi="Arial" w:cs="Arial"/>
                <w:b/>
              </w:rPr>
            </w:pPr>
            <w:r w:rsidRPr="001D0819">
              <w:rPr>
                <w:rFonts w:ascii="Arial" w:hAnsi="Arial" w:cs="Arial"/>
                <w:b/>
              </w:rPr>
              <w:t>25/25 (100%)</w:t>
            </w:r>
          </w:p>
        </w:tc>
      </w:tr>
      <w:tr w:rsidR="001F29DF" w:rsidRPr="001D0819" w:rsidTr="008A6FAE">
        <w:tc>
          <w:tcPr>
            <w:tcW w:w="2160" w:type="dxa"/>
          </w:tcPr>
          <w:p w:rsidR="001F29DF" w:rsidRPr="001D0819" w:rsidRDefault="001F29DF" w:rsidP="005864A4">
            <w:pPr>
              <w:rPr>
                <w:rFonts w:ascii="Arial" w:hAnsi="Arial" w:cs="Arial"/>
                <w:b/>
              </w:rPr>
            </w:pPr>
          </w:p>
          <w:p w:rsidR="001F29DF" w:rsidRPr="001D0819" w:rsidRDefault="001F29DF" w:rsidP="005864A4">
            <w:pPr>
              <w:rPr>
                <w:rFonts w:ascii="Arial" w:hAnsi="Arial" w:cs="Arial"/>
                <w:b/>
              </w:rPr>
            </w:pPr>
            <w:r w:rsidRPr="001D0819">
              <w:rPr>
                <w:rFonts w:ascii="Arial" w:hAnsi="Arial" w:cs="Arial"/>
                <w:b/>
              </w:rPr>
              <w:t>Written RRT</w:t>
            </w:r>
          </w:p>
        </w:tc>
        <w:tc>
          <w:tcPr>
            <w:tcW w:w="2008" w:type="dxa"/>
          </w:tcPr>
          <w:p w:rsidR="001F29DF" w:rsidRPr="001D0819" w:rsidRDefault="001F29DF" w:rsidP="003B77B6">
            <w:pPr>
              <w:jc w:val="center"/>
              <w:rPr>
                <w:rFonts w:ascii="Arial" w:hAnsi="Arial" w:cs="Arial"/>
                <w:b/>
              </w:rPr>
            </w:pPr>
          </w:p>
          <w:p w:rsidR="001F29DF" w:rsidRPr="001D0819" w:rsidRDefault="001F29DF" w:rsidP="008A6FAE">
            <w:pPr>
              <w:jc w:val="center"/>
              <w:rPr>
                <w:rFonts w:ascii="Arial" w:hAnsi="Arial" w:cs="Arial"/>
                <w:b/>
              </w:rPr>
            </w:pPr>
            <w:r w:rsidRPr="001D0819">
              <w:rPr>
                <w:rFonts w:ascii="Arial" w:hAnsi="Arial" w:cs="Arial"/>
                <w:b/>
              </w:rPr>
              <w:t>11/13 (84.6%)</w:t>
            </w:r>
          </w:p>
        </w:tc>
        <w:tc>
          <w:tcPr>
            <w:tcW w:w="1925" w:type="dxa"/>
          </w:tcPr>
          <w:p w:rsidR="001F29DF" w:rsidRPr="001D0819" w:rsidRDefault="001F29DF" w:rsidP="003B77B6">
            <w:pPr>
              <w:jc w:val="center"/>
              <w:rPr>
                <w:rFonts w:ascii="Arial" w:hAnsi="Arial" w:cs="Arial"/>
                <w:b/>
              </w:rPr>
            </w:pPr>
          </w:p>
          <w:p w:rsidR="001F29DF" w:rsidRPr="001D0819" w:rsidRDefault="001F29DF" w:rsidP="008A6FAE">
            <w:pPr>
              <w:jc w:val="center"/>
              <w:rPr>
                <w:rFonts w:ascii="Arial" w:hAnsi="Arial" w:cs="Arial"/>
                <w:b/>
              </w:rPr>
            </w:pPr>
            <w:r w:rsidRPr="001D0819">
              <w:rPr>
                <w:rFonts w:ascii="Arial" w:hAnsi="Arial" w:cs="Arial"/>
                <w:b/>
              </w:rPr>
              <w:t>28/28 (100%)</w:t>
            </w:r>
          </w:p>
        </w:tc>
        <w:tc>
          <w:tcPr>
            <w:tcW w:w="1872" w:type="dxa"/>
          </w:tcPr>
          <w:p w:rsidR="001F29DF" w:rsidRPr="001D0819" w:rsidRDefault="001F29DF" w:rsidP="003B77B6">
            <w:pPr>
              <w:jc w:val="center"/>
              <w:rPr>
                <w:rFonts w:ascii="Arial" w:hAnsi="Arial" w:cs="Arial"/>
                <w:b/>
              </w:rPr>
            </w:pPr>
          </w:p>
          <w:p w:rsidR="001F29DF" w:rsidRPr="001D0819" w:rsidRDefault="001F29DF" w:rsidP="008A6FAE">
            <w:pPr>
              <w:jc w:val="center"/>
              <w:rPr>
                <w:rFonts w:ascii="Arial" w:hAnsi="Arial" w:cs="Arial"/>
                <w:b/>
              </w:rPr>
            </w:pPr>
            <w:r w:rsidRPr="001D0819">
              <w:rPr>
                <w:rFonts w:ascii="Arial" w:hAnsi="Arial" w:cs="Arial"/>
                <w:b/>
              </w:rPr>
              <w:t>21/21 (100%)</w:t>
            </w:r>
          </w:p>
          <w:p w:rsidR="008A6FAE" w:rsidRPr="001D0819" w:rsidRDefault="008A6FAE" w:rsidP="008A6FAE">
            <w:pPr>
              <w:jc w:val="center"/>
              <w:rPr>
                <w:rFonts w:ascii="Arial" w:hAnsi="Arial" w:cs="Arial"/>
                <w:b/>
              </w:rPr>
            </w:pPr>
          </w:p>
        </w:tc>
        <w:tc>
          <w:tcPr>
            <w:tcW w:w="1890" w:type="dxa"/>
          </w:tcPr>
          <w:p w:rsidR="001F29DF" w:rsidRPr="001D0819" w:rsidRDefault="001F29DF" w:rsidP="003B77B6">
            <w:pPr>
              <w:jc w:val="center"/>
              <w:rPr>
                <w:rFonts w:ascii="Arial" w:hAnsi="Arial" w:cs="Arial"/>
                <w:b/>
              </w:rPr>
            </w:pPr>
          </w:p>
          <w:p w:rsidR="008A6FAE" w:rsidRPr="001D0819" w:rsidRDefault="008A6FAE" w:rsidP="003B77B6">
            <w:pPr>
              <w:jc w:val="center"/>
              <w:rPr>
                <w:rFonts w:ascii="Arial" w:hAnsi="Arial" w:cs="Arial"/>
                <w:b/>
              </w:rPr>
            </w:pPr>
            <w:r w:rsidRPr="001D0819">
              <w:rPr>
                <w:rFonts w:ascii="Arial" w:hAnsi="Arial" w:cs="Arial"/>
                <w:b/>
              </w:rPr>
              <w:t>22/24 (91.7%)</w:t>
            </w:r>
          </w:p>
        </w:tc>
      </w:tr>
      <w:tr w:rsidR="001F29DF" w:rsidRPr="001D0819" w:rsidTr="008A6FAE">
        <w:tc>
          <w:tcPr>
            <w:tcW w:w="2160" w:type="dxa"/>
          </w:tcPr>
          <w:p w:rsidR="001F29DF" w:rsidRPr="001D0819" w:rsidRDefault="001F29DF" w:rsidP="005864A4">
            <w:pPr>
              <w:rPr>
                <w:rFonts w:ascii="Arial" w:hAnsi="Arial" w:cs="Arial"/>
                <w:b/>
              </w:rPr>
            </w:pPr>
          </w:p>
          <w:p w:rsidR="001F29DF" w:rsidRPr="001D0819" w:rsidRDefault="001F29DF" w:rsidP="008A6FAE">
            <w:pPr>
              <w:rPr>
                <w:rFonts w:ascii="Arial" w:hAnsi="Arial" w:cs="Arial"/>
                <w:b/>
              </w:rPr>
            </w:pPr>
            <w:r w:rsidRPr="001D0819">
              <w:rPr>
                <w:rFonts w:ascii="Arial" w:hAnsi="Arial" w:cs="Arial"/>
                <w:b/>
              </w:rPr>
              <w:t>Clin</w:t>
            </w:r>
            <w:r w:rsidR="00181E76" w:rsidRPr="001D0819">
              <w:rPr>
                <w:rFonts w:ascii="Arial" w:hAnsi="Arial" w:cs="Arial"/>
                <w:b/>
              </w:rPr>
              <w:t xml:space="preserve">ical </w:t>
            </w:r>
            <w:r w:rsidR="008A6FAE" w:rsidRPr="001D0819">
              <w:rPr>
                <w:rFonts w:ascii="Arial" w:hAnsi="Arial" w:cs="Arial"/>
                <w:b/>
              </w:rPr>
              <w:t>S</w:t>
            </w:r>
            <w:r w:rsidRPr="001D0819">
              <w:rPr>
                <w:rFonts w:ascii="Arial" w:hAnsi="Arial" w:cs="Arial"/>
                <w:b/>
              </w:rPr>
              <w:t>im</w:t>
            </w:r>
            <w:r w:rsidR="00181E76" w:rsidRPr="001D0819">
              <w:rPr>
                <w:rFonts w:ascii="Arial" w:hAnsi="Arial" w:cs="Arial"/>
                <w:b/>
              </w:rPr>
              <w:t xml:space="preserve">ulation </w:t>
            </w:r>
            <w:r w:rsidRPr="001D0819">
              <w:rPr>
                <w:rFonts w:ascii="Arial" w:hAnsi="Arial" w:cs="Arial"/>
                <w:b/>
              </w:rPr>
              <w:t>RRT</w:t>
            </w:r>
          </w:p>
          <w:p w:rsidR="008A6FAE" w:rsidRPr="001D0819" w:rsidRDefault="008A6FAE" w:rsidP="008A6FAE">
            <w:pPr>
              <w:rPr>
                <w:rFonts w:ascii="Arial" w:hAnsi="Arial" w:cs="Arial"/>
                <w:b/>
              </w:rPr>
            </w:pPr>
          </w:p>
        </w:tc>
        <w:tc>
          <w:tcPr>
            <w:tcW w:w="2008" w:type="dxa"/>
          </w:tcPr>
          <w:p w:rsidR="001F29DF" w:rsidRPr="001D0819" w:rsidRDefault="001F29DF" w:rsidP="003B77B6">
            <w:pPr>
              <w:jc w:val="center"/>
              <w:rPr>
                <w:rFonts w:ascii="Arial" w:hAnsi="Arial" w:cs="Arial"/>
                <w:b/>
              </w:rPr>
            </w:pPr>
          </w:p>
          <w:p w:rsidR="001F29DF" w:rsidRPr="001D0819" w:rsidRDefault="001F29DF" w:rsidP="008A6FAE">
            <w:pPr>
              <w:jc w:val="center"/>
              <w:rPr>
                <w:rFonts w:ascii="Arial" w:hAnsi="Arial" w:cs="Arial"/>
                <w:b/>
              </w:rPr>
            </w:pPr>
            <w:r w:rsidRPr="001D0819">
              <w:rPr>
                <w:rFonts w:ascii="Arial" w:hAnsi="Arial" w:cs="Arial"/>
                <w:b/>
              </w:rPr>
              <w:t>10/13 (76.9%</w:t>
            </w:r>
            <w:r w:rsidR="00181E76" w:rsidRPr="001D0819">
              <w:rPr>
                <w:rFonts w:ascii="Arial" w:hAnsi="Arial" w:cs="Arial"/>
                <w:b/>
              </w:rPr>
              <w:t>)</w:t>
            </w:r>
          </w:p>
        </w:tc>
        <w:tc>
          <w:tcPr>
            <w:tcW w:w="1925" w:type="dxa"/>
          </w:tcPr>
          <w:p w:rsidR="001F29DF" w:rsidRPr="001D0819" w:rsidRDefault="001F29DF" w:rsidP="003B77B6">
            <w:pPr>
              <w:jc w:val="center"/>
              <w:rPr>
                <w:rFonts w:ascii="Arial" w:hAnsi="Arial" w:cs="Arial"/>
                <w:b/>
              </w:rPr>
            </w:pPr>
          </w:p>
          <w:p w:rsidR="001F29DF" w:rsidRPr="001D0819" w:rsidRDefault="001F29DF" w:rsidP="008A6FAE">
            <w:pPr>
              <w:jc w:val="center"/>
              <w:rPr>
                <w:rFonts w:ascii="Arial" w:hAnsi="Arial" w:cs="Arial"/>
                <w:b/>
              </w:rPr>
            </w:pPr>
            <w:r w:rsidRPr="001D0819">
              <w:rPr>
                <w:rFonts w:ascii="Arial" w:hAnsi="Arial" w:cs="Arial"/>
                <w:b/>
              </w:rPr>
              <w:t>27/28 (96.4%)</w:t>
            </w:r>
          </w:p>
        </w:tc>
        <w:tc>
          <w:tcPr>
            <w:tcW w:w="1872" w:type="dxa"/>
          </w:tcPr>
          <w:p w:rsidR="001F29DF" w:rsidRPr="001D0819" w:rsidRDefault="001F29DF" w:rsidP="003B77B6">
            <w:pPr>
              <w:jc w:val="center"/>
              <w:rPr>
                <w:rFonts w:ascii="Arial" w:hAnsi="Arial" w:cs="Arial"/>
                <w:b/>
              </w:rPr>
            </w:pPr>
          </w:p>
          <w:p w:rsidR="001F29DF" w:rsidRPr="001D0819" w:rsidRDefault="001F29DF" w:rsidP="008A6FAE">
            <w:pPr>
              <w:jc w:val="center"/>
              <w:rPr>
                <w:rFonts w:ascii="Arial" w:hAnsi="Arial" w:cs="Arial"/>
                <w:b/>
              </w:rPr>
            </w:pPr>
            <w:r w:rsidRPr="001D0819">
              <w:rPr>
                <w:rFonts w:ascii="Arial" w:hAnsi="Arial" w:cs="Arial"/>
                <w:b/>
              </w:rPr>
              <w:t>20/21 (95.2%)</w:t>
            </w:r>
          </w:p>
        </w:tc>
        <w:tc>
          <w:tcPr>
            <w:tcW w:w="1890" w:type="dxa"/>
          </w:tcPr>
          <w:p w:rsidR="001F29DF" w:rsidRPr="001D0819" w:rsidRDefault="001F29DF" w:rsidP="003B77B6">
            <w:pPr>
              <w:jc w:val="center"/>
              <w:rPr>
                <w:rFonts w:ascii="Arial" w:hAnsi="Arial" w:cs="Arial"/>
                <w:b/>
              </w:rPr>
            </w:pPr>
          </w:p>
          <w:p w:rsidR="008A6FAE" w:rsidRPr="001D0819" w:rsidRDefault="008A6FAE" w:rsidP="003B77B6">
            <w:pPr>
              <w:jc w:val="center"/>
              <w:rPr>
                <w:rFonts w:ascii="Arial" w:hAnsi="Arial" w:cs="Arial"/>
                <w:b/>
              </w:rPr>
            </w:pPr>
            <w:r w:rsidRPr="001D0819">
              <w:rPr>
                <w:rFonts w:ascii="Arial" w:hAnsi="Arial" w:cs="Arial"/>
                <w:b/>
              </w:rPr>
              <w:t>21/22 (95.5%)</w:t>
            </w:r>
          </w:p>
        </w:tc>
      </w:tr>
      <w:tr w:rsidR="001F29DF" w:rsidRPr="001D0819" w:rsidTr="008A6FAE">
        <w:tc>
          <w:tcPr>
            <w:tcW w:w="2160" w:type="dxa"/>
          </w:tcPr>
          <w:p w:rsidR="008A6FAE" w:rsidRPr="001D0819" w:rsidRDefault="008A6FAE" w:rsidP="005864A4">
            <w:pPr>
              <w:rPr>
                <w:rFonts w:ascii="Arial" w:hAnsi="Arial" w:cs="Arial"/>
                <w:b/>
              </w:rPr>
            </w:pPr>
          </w:p>
          <w:p w:rsidR="001F29DF" w:rsidRPr="001D0819" w:rsidRDefault="001F29DF" w:rsidP="005864A4">
            <w:pPr>
              <w:rPr>
                <w:rFonts w:ascii="Arial" w:hAnsi="Arial" w:cs="Arial"/>
                <w:b/>
              </w:rPr>
            </w:pPr>
            <w:r w:rsidRPr="001D0819">
              <w:rPr>
                <w:rFonts w:ascii="Arial" w:hAnsi="Arial" w:cs="Arial"/>
                <w:b/>
              </w:rPr>
              <w:t>Overall Employer Satisfaction</w:t>
            </w:r>
          </w:p>
          <w:p w:rsidR="00181E76" w:rsidRPr="001D0819" w:rsidRDefault="00181E76" w:rsidP="005864A4">
            <w:pPr>
              <w:rPr>
                <w:rFonts w:ascii="Arial" w:hAnsi="Arial" w:cs="Arial"/>
                <w:b/>
              </w:rPr>
            </w:pPr>
          </w:p>
        </w:tc>
        <w:tc>
          <w:tcPr>
            <w:tcW w:w="2008" w:type="dxa"/>
          </w:tcPr>
          <w:p w:rsidR="001F29DF" w:rsidRPr="001D0819" w:rsidRDefault="001F29DF" w:rsidP="003B77B6">
            <w:pPr>
              <w:jc w:val="center"/>
              <w:rPr>
                <w:rFonts w:ascii="Arial" w:hAnsi="Arial" w:cs="Arial"/>
                <w:b/>
              </w:rPr>
            </w:pPr>
          </w:p>
          <w:p w:rsidR="001F29DF" w:rsidRPr="001D0819" w:rsidRDefault="001F29DF" w:rsidP="001F29DF">
            <w:pPr>
              <w:jc w:val="center"/>
              <w:rPr>
                <w:rFonts w:ascii="Arial" w:hAnsi="Arial" w:cs="Arial"/>
                <w:b/>
              </w:rPr>
            </w:pPr>
            <w:r w:rsidRPr="001D0819">
              <w:rPr>
                <w:rFonts w:ascii="Arial" w:hAnsi="Arial" w:cs="Arial"/>
                <w:b/>
              </w:rPr>
              <w:t>TBD</w:t>
            </w:r>
          </w:p>
        </w:tc>
        <w:tc>
          <w:tcPr>
            <w:tcW w:w="1925" w:type="dxa"/>
          </w:tcPr>
          <w:p w:rsidR="001F29DF" w:rsidRPr="001D0819" w:rsidRDefault="001F29DF" w:rsidP="003B77B6">
            <w:pPr>
              <w:jc w:val="center"/>
              <w:rPr>
                <w:rFonts w:ascii="Arial" w:hAnsi="Arial" w:cs="Arial"/>
                <w:b/>
              </w:rPr>
            </w:pPr>
          </w:p>
          <w:p w:rsidR="001F29DF" w:rsidRPr="001D0819" w:rsidRDefault="001F29DF" w:rsidP="001F29DF">
            <w:pPr>
              <w:jc w:val="center"/>
              <w:rPr>
                <w:rFonts w:ascii="Arial" w:hAnsi="Arial" w:cs="Arial"/>
                <w:b/>
              </w:rPr>
            </w:pPr>
            <w:r w:rsidRPr="001D0819">
              <w:rPr>
                <w:rFonts w:ascii="Arial" w:hAnsi="Arial" w:cs="Arial"/>
                <w:b/>
              </w:rPr>
              <w:t>95.8%</w:t>
            </w:r>
          </w:p>
        </w:tc>
        <w:tc>
          <w:tcPr>
            <w:tcW w:w="1872" w:type="dxa"/>
          </w:tcPr>
          <w:p w:rsidR="001F29DF" w:rsidRPr="001D0819" w:rsidRDefault="001F29DF" w:rsidP="003B77B6">
            <w:pPr>
              <w:jc w:val="center"/>
              <w:rPr>
                <w:rFonts w:ascii="Arial" w:hAnsi="Arial" w:cs="Arial"/>
                <w:b/>
              </w:rPr>
            </w:pPr>
          </w:p>
          <w:p w:rsidR="001F29DF" w:rsidRPr="001D0819" w:rsidRDefault="001F29DF" w:rsidP="003B77B6">
            <w:pPr>
              <w:jc w:val="center"/>
              <w:rPr>
                <w:rFonts w:ascii="Arial" w:hAnsi="Arial" w:cs="Arial"/>
                <w:b/>
              </w:rPr>
            </w:pPr>
            <w:r w:rsidRPr="001D0819">
              <w:rPr>
                <w:rFonts w:ascii="Arial" w:hAnsi="Arial" w:cs="Arial"/>
                <w:b/>
              </w:rPr>
              <w:t>94.4%</w:t>
            </w:r>
          </w:p>
        </w:tc>
        <w:tc>
          <w:tcPr>
            <w:tcW w:w="1890" w:type="dxa"/>
          </w:tcPr>
          <w:p w:rsidR="001F29DF" w:rsidRPr="001D0819" w:rsidRDefault="001F29DF" w:rsidP="003B77B6">
            <w:pPr>
              <w:jc w:val="center"/>
              <w:rPr>
                <w:rFonts w:ascii="Arial" w:hAnsi="Arial" w:cs="Arial"/>
                <w:b/>
              </w:rPr>
            </w:pPr>
          </w:p>
          <w:p w:rsidR="008A6FAE" w:rsidRPr="001D0819" w:rsidRDefault="00D53959" w:rsidP="003B77B6">
            <w:pPr>
              <w:jc w:val="center"/>
              <w:rPr>
                <w:rFonts w:ascii="Arial" w:hAnsi="Arial" w:cs="Arial"/>
                <w:b/>
              </w:rPr>
            </w:pPr>
            <w:r w:rsidRPr="001D0819">
              <w:rPr>
                <w:rFonts w:ascii="Arial" w:hAnsi="Arial" w:cs="Arial"/>
                <w:b/>
              </w:rPr>
              <w:t>8</w:t>
            </w:r>
            <w:r w:rsidR="008A6FAE" w:rsidRPr="001D0819">
              <w:rPr>
                <w:rFonts w:ascii="Arial" w:hAnsi="Arial" w:cs="Arial"/>
                <w:b/>
              </w:rPr>
              <w:t>8.8%</w:t>
            </w:r>
          </w:p>
        </w:tc>
      </w:tr>
      <w:tr w:rsidR="001F29DF" w:rsidRPr="001D0819" w:rsidTr="008A6FAE">
        <w:tc>
          <w:tcPr>
            <w:tcW w:w="2160" w:type="dxa"/>
          </w:tcPr>
          <w:p w:rsidR="001F29DF" w:rsidRPr="001D0819" w:rsidRDefault="001F29DF" w:rsidP="005864A4">
            <w:pPr>
              <w:rPr>
                <w:rFonts w:ascii="Arial" w:hAnsi="Arial" w:cs="Arial"/>
                <w:b/>
              </w:rPr>
            </w:pPr>
          </w:p>
          <w:p w:rsidR="001F29DF" w:rsidRPr="001D0819" w:rsidRDefault="001F29DF" w:rsidP="005864A4">
            <w:pPr>
              <w:rPr>
                <w:rFonts w:ascii="Arial" w:hAnsi="Arial" w:cs="Arial"/>
                <w:b/>
              </w:rPr>
            </w:pPr>
            <w:r w:rsidRPr="001D0819">
              <w:rPr>
                <w:rFonts w:ascii="Arial" w:hAnsi="Arial" w:cs="Arial"/>
                <w:b/>
              </w:rPr>
              <w:t>Overall Graduate Satisfaction</w:t>
            </w:r>
          </w:p>
          <w:p w:rsidR="00181E76" w:rsidRPr="001D0819" w:rsidRDefault="00181E76" w:rsidP="005864A4">
            <w:pPr>
              <w:rPr>
                <w:rFonts w:ascii="Arial" w:hAnsi="Arial" w:cs="Arial"/>
                <w:b/>
              </w:rPr>
            </w:pPr>
          </w:p>
        </w:tc>
        <w:tc>
          <w:tcPr>
            <w:tcW w:w="2008" w:type="dxa"/>
          </w:tcPr>
          <w:p w:rsidR="001F29DF" w:rsidRPr="001D0819" w:rsidRDefault="001F29DF" w:rsidP="003B77B6">
            <w:pPr>
              <w:jc w:val="center"/>
              <w:rPr>
                <w:rFonts w:ascii="Arial" w:hAnsi="Arial" w:cs="Arial"/>
                <w:b/>
              </w:rPr>
            </w:pPr>
          </w:p>
          <w:p w:rsidR="001F29DF" w:rsidRPr="001D0819" w:rsidRDefault="001F29DF" w:rsidP="003B77B6">
            <w:pPr>
              <w:jc w:val="center"/>
              <w:rPr>
                <w:rFonts w:ascii="Arial" w:hAnsi="Arial" w:cs="Arial"/>
                <w:b/>
              </w:rPr>
            </w:pPr>
            <w:r w:rsidRPr="001D0819">
              <w:rPr>
                <w:rFonts w:ascii="Arial" w:hAnsi="Arial" w:cs="Arial"/>
                <w:b/>
              </w:rPr>
              <w:t>TBD</w:t>
            </w:r>
          </w:p>
        </w:tc>
        <w:tc>
          <w:tcPr>
            <w:tcW w:w="1925" w:type="dxa"/>
          </w:tcPr>
          <w:p w:rsidR="001F29DF" w:rsidRPr="001D0819" w:rsidRDefault="001F29DF" w:rsidP="003B77B6">
            <w:pPr>
              <w:jc w:val="center"/>
              <w:rPr>
                <w:rFonts w:ascii="Arial" w:hAnsi="Arial" w:cs="Arial"/>
                <w:b/>
              </w:rPr>
            </w:pPr>
          </w:p>
          <w:p w:rsidR="001F29DF" w:rsidRPr="001D0819" w:rsidRDefault="001F29DF" w:rsidP="003B77B6">
            <w:pPr>
              <w:jc w:val="center"/>
              <w:rPr>
                <w:rFonts w:ascii="Arial" w:hAnsi="Arial" w:cs="Arial"/>
                <w:b/>
              </w:rPr>
            </w:pPr>
            <w:r w:rsidRPr="001D0819">
              <w:rPr>
                <w:rFonts w:ascii="Arial" w:hAnsi="Arial" w:cs="Arial"/>
                <w:b/>
              </w:rPr>
              <w:t>100%</w:t>
            </w:r>
          </w:p>
        </w:tc>
        <w:tc>
          <w:tcPr>
            <w:tcW w:w="1872" w:type="dxa"/>
          </w:tcPr>
          <w:p w:rsidR="001F29DF" w:rsidRPr="001D0819" w:rsidRDefault="001F29DF" w:rsidP="003B77B6">
            <w:pPr>
              <w:jc w:val="center"/>
              <w:rPr>
                <w:rFonts w:ascii="Arial" w:hAnsi="Arial" w:cs="Arial"/>
                <w:b/>
              </w:rPr>
            </w:pPr>
          </w:p>
          <w:p w:rsidR="001F29DF" w:rsidRPr="001D0819" w:rsidRDefault="001F29DF" w:rsidP="003B77B6">
            <w:pPr>
              <w:jc w:val="center"/>
              <w:rPr>
                <w:rFonts w:ascii="Arial" w:hAnsi="Arial" w:cs="Arial"/>
                <w:b/>
              </w:rPr>
            </w:pPr>
            <w:r w:rsidRPr="001D0819">
              <w:rPr>
                <w:rFonts w:ascii="Arial" w:hAnsi="Arial" w:cs="Arial"/>
                <w:b/>
              </w:rPr>
              <w:t>100%</w:t>
            </w:r>
          </w:p>
        </w:tc>
        <w:tc>
          <w:tcPr>
            <w:tcW w:w="1890" w:type="dxa"/>
          </w:tcPr>
          <w:p w:rsidR="001F29DF" w:rsidRPr="001D0819" w:rsidRDefault="001F29DF" w:rsidP="003B77B6">
            <w:pPr>
              <w:jc w:val="center"/>
              <w:rPr>
                <w:rFonts w:ascii="Arial" w:hAnsi="Arial" w:cs="Arial"/>
                <w:b/>
              </w:rPr>
            </w:pPr>
          </w:p>
          <w:p w:rsidR="008A6FAE" w:rsidRPr="001D0819" w:rsidRDefault="008A6FAE" w:rsidP="003B77B6">
            <w:pPr>
              <w:jc w:val="center"/>
              <w:rPr>
                <w:rFonts w:ascii="Arial" w:hAnsi="Arial" w:cs="Arial"/>
                <w:b/>
              </w:rPr>
            </w:pPr>
            <w:r w:rsidRPr="001D0819">
              <w:rPr>
                <w:rFonts w:ascii="Arial" w:hAnsi="Arial" w:cs="Arial"/>
                <w:b/>
              </w:rPr>
              <w:t>88%</w:t>
            </w:r>
          </w:p>
        </w:tc>
      </w:tr>
      <w:tr w:rsidR="008A6FAE" w:rsidRPr="001D0819" w:rsidTr="008A6FAE">
        <w:tc>
          <w:tcPr>
            <w:tcW w:w="2160" w:type="dxa"/>
          </w:tcPr>
          <w:p w:rsidR="008A6FAE" w:rsidRPr="001D0819" w:rsidRDefault="008A6FAE" w:rsidP="005864A4">
            <w:pPr>
              <w:rPr>
                <w:rFonts w:ascii="Arial" w:hAnsi="Arial" w:cs="Arial"/>
                <w:b/>
              </w:rPr>
            </w:pPr>
          </w:p>
          <w:p w:rsidR="008A6FAE" w:rsidRPr="001D0819" w:rsidRDefault="008A6FAE" w:rsidP="005864A4">
            <w:pPr>
              <w:rPr>
                <w:rFonts w:ascii="Arial" w:hAnsi="Arial" w:cs="Arial"/>
                <w:b/>
              </w:rPr>
            </w:pPr>
            <w:r w:rsidRPr="001D0819">
              <w:rPr>
                <w:rFonts w:ascii="Arial" w:hAnsi="Arial" w:cs="Arial"/>
                <w:b/>
              </w:rPr>
              <w:t>Positive Placement within 6 mos.</w:t>
            </w:r>
          </w:p>
          <w:p w:rsidR="00181E76" w:rsidRPr="001D0819" w:rsidRDefault="00181E76" w:rsidP="005864A4">
            <w:pPr>
              <w:rPr>
                <w:rFonts w:ascii="Arial" w:hAnsi="Arial" w:cs="Arial"/>
                <w:b/>
              </w:rPr>
            </w:pPr>
          </w:p>
        </w:tc>
        <w:tc>
          <w:tcPr>
            <w:tcW w:w="2008" w:type="dxa"/>
          </w:tcPr>
          <w:p w:rsidR="008A6FAE" w:rsidRPr="001D0819" w:rsidRDefault="008A6FAE" w:rsidP="003B77B6">
            <w:pPr>
              <w:jc w:val="center"/>
              <w:rPr>
                <w:rFonts w:ascii="Arial" w:hAnsi="Arial" w:cs="Arial"/>
                <w:b/>
              </w:rPr>
            </w:pPr>
          </w:p>
          <w:p w:rsidR="008A6FAE" w:rsidRPr="001D0819" w:rsidRDefault="0088047C" w:rsidP="0088047C">
            <w:pPr>
              <w:jc w:val="center"/>
              <w:rPr>
                <w:rFonts w:ascii="Arial" w:hAnsi="Arial" w:cs="Arial"/>
                <w:b/>
              </w:rPr>
            </w:pPr>
            <w:r>
              <w:rPr>
                <w:rFonts w:ascii="Arial" w:hAnsi="Arial" w:cs="Arial"/>
                <w:b/>
              </w:rPr>
              <w:t>89%</w:t>
            </w:r>
          </w:p>
        </w:tc>
        <w:tc>
          <w:tcPr>
            <w:tcW w:w="1925" w:type="dxa"/>
          </w:tcPr>
          <w:p w:rsidR="008A6FAE" w:rsidRPr="001D0819" w:rsidRDefault="008A6FAE" w:rsidP="003B77B6">
            <w:pPr>
              <w:jc w:val="center"/>
              <w:rPr>
                <w:rFonts w:ascii="Arial" w:hAnsi="Arial" w:cs="Arial"/>
                <w:b/>
              </w:rPr>
            </w:pPr>
          </w:p>
          <w:p w:rsidR="008A6FAE" w:rsidRPr="001D0819" w:rsidRDefault="008A6FAE" w:rsidP="003B77B6">
            <w:pPr>
              <w:jc w:val="center"/>
              <w:rPr>
                <w:rFonts w:ascii="Arial" w:hAnsi="Arial" w:cs="Arial"/>
                <w:b/>
              </w:rPr>
            </w:pPr>
            <w:r w:rsidRPr="001D0819">
              <w:rPr>
                <w:rFonts w:ascii="Arial" w:hAnsi="Arial" w:cs="Arial"/>
                <w:b/>
              </w:rPr>
              <w:t>96.7%</w:t>
            </w:r>
          </w:p>
        </w:tc>
        <w:tc>
          <w:tcPr>
            <w:tcW w:w="1872" w:type="dxa"/>
          </w:tcPr>
          <w:p w:rsidR="008A6FAE" w:rsidRPr="001D0819" w:rsidRDefault="008A6FAE" w:rsidP="003B77B6">
            <w:pPr>
              <w:jc w:val="center"/>
              <w:rPr>
                <w:rFonts w:ascii="Arial" w:hAnsi="Arial" w:cs="Arial"/>
                <w:b/>
              </w:rPr>
            </w:pPr>
          </w:p>
          <w:p w:rsidR="008A6FAE" w:rsidRPr="001D0819" w:rsidRDefault="008A6FAE" w:rsidP="003B77B6">
            <w:pPr>
              <w:jc w:val="center"/>
              <w:rPr>
                <w:rFonts w:ascii="Arial" w:hAnsi="Arial" w:cs="Arial"/>
                <w:b/>
              </w:rPr>
            </w:pPr>
            <w:r w:rsidRPr="001D0819">
              <w:rPr>
                <w:rFonts w:ascii="Arial" w:hAnsi="Arial" w:cs="Arial"/>
                <w:b/>
              </w:rPr>
              <w:t>78.3%</w:t>
            </w:r>
          </w:p>
        </w:tc>
        <w:tc>
          <w:tcPr>
            <w:tcW w:w="1890" w:type="dxa"/>
          </w:tcPr>
          <w:p w:rsidR="008A6FAE" w:rsidRPr="001D0819" w:rsidRDefault="008A6FAE" w:rsidP="003B77B6">
            <w:pPr>
              <w:jc w:val="center"/>
              <w:rPr>
                <w:rFonts w:ascii="Arial" w:hAnsi="Arial" w:cs="Arial"/>
                <w:b/>
              </w:rPr>
            </w:pPr>
          </w:p>
          <w:p w:rsidR="008A6FAE" w:rsidRPr="001D0819" w:rsidRDefault="008A6FAE" w:rsidP="003B77B6">
            <w:pPr>
              <w:jc w:val="center"/>
              <w:rPr>
                <w:rFonts w:ascii="Arial" w:hAnsi="Arial" w:cs="Arial"/>
                <w:b/>
              </w:rPr>
            </w:pPr>
            <w:r w:rsidRPr="001D0819">
              <w:rPr>
                <w:rFonts w:ascii="Arial" w:hAnsi="Arial" w:cs="Arial"/>
                <w:b/>
              </w:rPr>
              <w:t>88%</w:t>
            </w:r>
          </w:p>
        </w:tc>
      </w:tr>
      <w:tr w:rsidR="008A6FAE" w:rsidRPr="001D0819" w:rsidTr="008A6FAE">
        <w:tc>
          <w:tcPr>
            <w:tcW w:w="2160" w:type="dxa"/>
          </w:tcPr>
          <w:p w:rsidR="008A6FAE" w:rsidRPr="001D0819" w:rsidRDefault="008A6FAE" w:rsidP="005864A4">
            <w:pPr>
              <w:rPr>
                <w:rFonts w:ascii="Arial" w:hAnsi="Arial" w:cs="Arial"/>
                <w:b/>
              </w:rPr>
            </w:pPr>
          </w:p>
          <w:p w:rsidR="008A6FAE" w:rsidRPr="001D0819" w:rsidRDefault="008A6FAE" w:rsidP="005864A4">
            <w:pPr>
              <w:rPr>
                <w:rFonts w:ascii="Arial" w:hAnsi="Arial" w:cs="Arial"/>
                <w:b/>
              </w:rPr>
            </w:pPr>
            <w:r w:rsidRPr="001D0819">
              <w:rPr>
                <w:rFonts w:ascii="Arial" w:hAnsi="Arial" w:cs="Arial"/>
                <w:b/>
              </w:rPr>
              <w:t>On-time Graduation Rate</w:t>
            </w:r>
          </w:p>
          <w:p w:rsidR="00181E76" w:rsidRPr="001D0819" w:rsidRDefault="00181E76" w:rsidP="005864A4">
            <w:pPr>
              <w:rPr>
                <w:rFonts w:ascii="Arial" w:hAnsi="Arial" w:cs="Arial"/>
                <w:b/>
              </w:rPr>
            </w:pPr>
          </w:p>
        </w:tc>
        <w:tc>
          <w:tcPr>
            <w:tcW w:w="2008" w:type="dxa"/>
          </w:tcPr>
          <w:p w:rsidR="008A6FAE" w:rsidRPr="001D0819" w:rsidRDefault="008A6FAE" w:rsidP="003B77B6">
            <w:pPr>
              <w:jc w:val="center"/>
              <w:rPr>
                <w:rFonts w:ascii="Arial" w:hAnsi="Arial" w:cs="Arial"/>
                <w:b/>
              </w:rPr>
            </w:pPr>
          </w:p>
          <w:p w:rsidR="008A6FAE" w:rsidRPr="001D0819" w:rsidRDefault="008A6FAE" w:rsidP="003B77B6">
            <w:pPr>
              <w:jc w:val="center"/>
              <w:rPr>
                <w:rFonts w:ascii="Arial" w:hAnsi="Arial" w:cs="Arial"/>
                <w:b/>
              </w:rPr>
            </w:pPr>
            <w:r w:rsidRPr="001D0819">
              <w:rPr>
                <w:rFonts w:ascii="Arial" w:hAnsi="Arial" w:cs="Arial"/>
                <w:b/>
              </w:rPr>
              <w:t>84.6%</w:t>
            </w:r>
          </w:p>
        </w:tc>
        <w:tc>
          <w:tcPr>
            <w:tcW w:w="1925" w:type="dxa"/>
          </w:tcPr>
          <w:p w:rsidR="008A6FAE" w:rsidRPr="001D0819" w:rsidRDefault="008A6FAE" w:rsidP="003B77B6">
            <w:pPr>
              <w:jc w:val="center"/>
              <w:rPr>
                <w:rFonts w:ascii="Arial" w:hAnsi="Arial" w:cs="Arial"/>
                <w:b/>
              </w:rPr>
            </w:pPr>
          </w:p>
          <w:p w:rsidR="008A6FAE" w:rsidRPr="001D0819" w:rsidRDefault="008A6FAE" w:rsidP="003B77B6">
            <w:pPr>
              <w:jc w:val="center"/>
              <w:rPr>
                <w:rFonts w:ascii="Arial" w:hAnsi="Arial" w:cs="Arial"/>
                <w:b/>
              </w:rPr>
            </w:pPr>
            <w:r w:rsidRPr="001D0819">
              <w:rPr>
                <w:rFonts w:ascii="Arial" w:hAnsi="Arial" w:cs="Arial"/>
                <w:b/>
              </w:rPr>
              <w:t>87.1%</w:t>
            </w:r>
          </w:p>
        </w:tc>
        <w:tc>
          <w:tcPr>
            <w:tcW w:w="1872" w:type="dxa"/>
          </w:tcPr>
          <w:p w:rsidR="008A6FAE" w:rsidRPr="001D0819" w:rsidRDefault="008A6FAE" w:rsidP="003B77B6">
            <w:pPr>
              <w:jc w:val="center"/>
              <w:rPr>
                <w:rFonts w:ascii="Arial" w:hAnsi="Arial" w:cs="Arial"/>
                <w:b/>
              </w:rPr>
            </w:pPr>
          </w:p>
          <w:p w:rsidR="008A6FAE" w:rsidRPr="001D0819" w:rsidRDefault="008A6FAE" w:rsidP="003B77B6">
            <w:pPr>
              <w:jc w:val="center"/>
              <w:rPr>
                <w:rFonts w:ascii="Arial" w:hAnsi="Arial" w:cs="Arial"/>
                <w:b/>
              </w:rPr>
            </w:pPr>
            <w:r w:rsidRPr="001D0819">
              <w:rPr>
                <w:rFonts w:ascii="Arial" w:hAnsi="Arial" w:cs="Arial"/>
                <w:b/>
              </w:rPr>
              <w:t>80.8%</w:t>
            </w:r>
          </w:p>
        </w:tc>
        <w:tc>
          <w:tcPr>
            <w:tcW w:w="1890" w:type="dxa"/>
          </w:tcPr>
          <w:p w:rsidR="008A6FAE" w:rsidRPr="001D0819" w:rsidRDefault="008A6FAE" w:rsidP="003B77B6">
            <w:pPr>
              <w:jc w:val="center"/>
              <w:rPr>
                <w:rFonts w:ascii="Arial" w:hAnsi="Arial" w:cs="Arial"/>
                <w:b/>
              </w:rPr>
            </w:pPr>
          </w:p>
          <w:p w:rsidR="008A6FAE" w:rsidRPr="001D0819" w:rsidRDefault="008A6FAE" w:rsidP="003B77B6">
            <w:pPr>
              <w:jc w:val="center"/>
              <w:rPr>
                <w:rFonts w:ascii="Arial" w:hAnsi="Arial" w:cs="Arial"/>
                <w:b/>
              </w:rPr>
            </w:pPr>
            <w:r w:rsidRPr="001D0819">
              <w:rPr>
                <w:rFonts w:ascii="Arial" w:hAnsi="Arial" w:cs="Arial"/>
                <w:b/>
              </w:rPr>
              <w:t>86.4%</w:t>
            </w:r>
          </w:p>
        </w:tc>
      </w:tr>
      <w:tr w:rsidR="00181E76" w:rsidRPr="001D0819" w:rsidTr="008A6FAE">
        <w:tc>
          <w:tcPr>
            <w:tcW w:w="2160" w:type="dxa"/>
          </w:tcPr>
          <w:p w:rsidR="00181E76" w:rsidRPr="001D0819" w:rsidRDefault="00181E76" w:rsidP="005864A4">
            <w:pPr>
              <w:rPr>
                <w:rFonts w:ascii="Arial" w:hAnsi="Arial" w:cs="Arial"/>
                <w:b/>
              </w:rPr>
            </w:pPr>
          </w:p>
          <w:p w:rsidR="00181E76" w:rsidRPr="001D0819" w:rsidRDefault="00181E76" w:rsidP="00181E76">
            <w:pPr>
              <w:rPr>
                <w:rFonts w:ascii="Arial" w:hAnsi="Arial" w:cs="Arial"/>
                <w:b/>
              </w:rPr>
            </w:pPr>
            <w:r w:rsidRPr="001D0819">
              <w:rPr>
                <w:rFonts w:ascii="Arial" w:hAnsi="Arial" w:cs="Arial"/>
                <w:b/>
              </w:rPr>
              <w:t>Attrition</w:t>
            </w:r>
            <w:r w:rsidR="00D53959" w:rsidRPr="001D0819">
              <w:rPr>
                <w:rFonts w:ascii="Arial" w:hAnsi="Arial" w:cs="Arial"/>
                <w:b/>
              </w:rPr>
              <w:t xml:space="preserve"> by Starting Cohort</w:t>
            </w:r>
            <w:r w:rsidRPr="001D0819">
              <w:rPr>
                <w:rFonts w:ascii="Arial" w:hAnsi="Arial" w:cs="Arial"/>
                <w:b/>
              </w:rPr>
              <w:t xml:space="preserve"> </w:t>
            </w:r>
          </w:p>
          <w:p w:rsidR="00181E76" w:rsidRPr="001D0819" w:rsidRDefault="00181E76" w:rsidP="00181E76">
            <w:pPr>
              <w:rPr>
                <w:rFonts w:ascii="Arial" w:hAnsi="Arial" w:cs="Arial"/>
                <w:b/>
              </w:rPr>
            </w:pPr>
          </w:p>
        </w:tc>
        <w:tc>
          <w:tcPr>
            <w:tcW w:w="2008" w:type="dxa"/>
          </w:tcPr>
          <w:p w:rsidR="00181E76" w:rsidRPr="001D0819" w:rsidRDefault="00181E76" w:rsidP="003B77B6">
            <w:pPr>
              <w:jc w:val="center"/>
              <w:rPr>
                <w:rFonts w:ascii="Arial" w:hAnsi="Arial" w:cs="Arial"/>
                <w:b/>
              </w:rPr>
            </w:pPr>
          </w:p>
          <w:p w:rsidR="00181E76" w:rsidRPr="001D0819" w:rsidRDefault="00181E76" w:rsidP="003B77B6">
            <w:pPr>
              <w:jc w:val="center"/>
              <w:rPr>
                <w:rFonts w:ascii="Arial" w:hAnsi="Arial" w:cs="Arial"/>
                <w:b/>
              </w:rPr>
            </w:pPr>
            <w:r w:rsidRPr="001D0819">
              <w:rPr>
                <w:rFonts w:ascii="Arial" w:hAnsi="Arial" w:cs="Arial"/>
                <w:b/>
              </w:rPr>
              <w:t>TBD</w:t>
            </w:r>
          </w:p>
        </w:tc>
        <w:tc>
          <w:tcPr>
            <w:tcW w:w="1925" w:type="dxa"/>
          </w:tcPr>
          <w:p w:rsidR="00181E76" w:rsidRPr="001D0819" w:rsidRDefault="00181E76" w:rsidP="003B77B6">
            <w:pPr>
              <w:jc w:val="center"/>
              <w:rPr>
                <w:rFonts w:ascii="Arial" w:hAnsi="Arial" w:cs="Arial"/>
                <w:b/>
              </w:rPr>
            </w:pPr>
          </w:p>
          <w:p w:rsidR="00181E76" w:rsidRPr="001D0819" w:rsidRDefault="00181E76" w:rsidP="003B77B6">
            <w:pPr>
              <w:jc w:val="center"/>
              <w:rPr>
                <w:rFonts w:ascii="Arial" w:hAnsi="Arial" w:cs="Arial"/>
                <w:b/>
              </w:rPr>
            </w:pPr>
            <w:r w:rsidRPr="001D0819">
              <w:rPr>
                <w:rFonts w:ascii="Arial" w:hAnsi="Arial" w:cs="Arial"/>
                <w:b/>
              </w:rPr>
              <w:t>19%</w:t>
            </w:r>
          </w:p>
        </w:tc>
        <w:tc>
          <w:tcPr>
            <w:tcW w:w="1872" w:type="dxa"/>
          </w:tcPr>
          <w:p w:rsidR="00181E76" w:rsidRPr="001D0819" w:rsidRDefault="00181E76" w:rsidP="003B77B6">
            <w:pPr>
              <w:jc w:val="center"/>
              <w:rPr>
                <w:rFonts w:ascii="Arial" w:hAnsi="Arial" w:cs="Arial"/>
                <w:b/>
              </w:rPr>
            </w:pPr>
          </w:p>
          <w:p w:rsidR="00181E76" w:rsidRPr="001D0819" w:rsidRDefault="00181E76" w:rsidP="003B77B6">
            <w:pPr>
              <w:jc w:val="center"/>
              <w:rPr>
                <w:rFonts w:ascii="Arial" w:hAnsi="Arial" w:cs="Arial"/>
                <w:b/>
              </w:rPr>
            </w:pPr>
            <w:r w:rsidRPr="001D0819">
              <w:rPr>
                <w:rFonts w:ascii="Arial" w:hAnsi="Arial" w:cs="Arial"/>
                <w:b/>
              </w:rPr>
              <w:t>55.3%</w:t>
            </w:r>
          </w:p>
        </w:tc>
        <w:tc>
          <w:tcPr>
            <w:tcW w:w="1890" w:type="dxa"/>
          </w:tcPr>
          <w:p w:rsidR="00181E76" w:rsidRPr="001D0819" w:rsidRDefault="00181E76" w:rsidP="003B77B6">
            <w:pPr>
              <w:jc w:val="center"/>
              <w:rPr>
                <w:rFonts w:ascii="Arial" w:hAnsi="Arial" w:cs="Arial"/>
                <w:b/>
              </w:rPr>
            </w:pPr>
          </w:p>
          <w:p w:rsidR="00181E76" w:rsidRPr="001D0819" w:rsidRDefault="00181E76" w:rsidP="003B77B6">
            <w:pPr>
              <w:jc w:val="center"/>
              <w:rPr>
                <w:rFonts w:ascii="Arial" w:hAnsi="Arial" w:cs="Arial"/>
                <w:b/>
              </w:rPr>
            </w:pPr>
            <w:r w:rsidRPr="001D0819">
              <w:rPr>
                <w:rFonts w:ascii="Arial" w:hAnsi="Arial" w:cs="Arial"/>
                <w:b/>
              </w:rPr>
              <w:t>27.9%</w:t>
            </w:r>
          </w:p>
        </w:tc>
      </w:tr>
    </w:tbl>
    <w:p w:rsidR="005864A4" w:rsidRPr="001D0819" w:rsidRDefault="005864A4" w:rsidP="005864A4">
      <w:pPr>
        <w:rPr>
          <w:rFonts w:ascii="Arial" w:hAnsi="Arial" w:cs="Arial"/>
          <w:b/>
        </w:rPr>
      </w:pPr>
    </w:p>
    <w:p w:rsidR="0028603C" w:rsidRPr="003A298D"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00A30695">
        <w:rPr>
          <w:b/>
        </w:rPr>
        <w:t xml:space="preserve"> </w:t>
      </w:r>
      <w:bookmarkStart w:id="0" w:name="_GoBack"/>
      <w:bookmarkEnd w:id="0"/>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1B13D2" w:rsidRPr="001B13D2" w:rsidRDefault="001B13D2" w:rsidP="00444755">
      <w:pPr>
        <w:ind w:left="1440"/>
        <w:rPr>
          <w:rFonts w:ascii="Arial" w:hAnsi="Arial" w:cs="Arial"/>
          <w:b/>
          <w:sz w:val="16"/>
          <w:szCs w:val="16"/>
        </w:rPr>
      </w:pPr>
    </w:p>
    <w:p w:rsidR="003A298D" w:rsidRPr="00444755" w:rsidRDefault="00444755" w:rsidP="00444755">
      <w:pPr>
        <w:ind w:left="1440"/>
        <w:rPr>
          <w:b/>
        </w:rPr>
      </w:pPr>
      <w:r w:rsidRPr="00444755">
        <w:rPr>
          <w:rFonts w:ascii="Arial" w:hAnsi="Arial" w:cs="Arial"/>
          <w:b/>
        </w:rPr>
        <w:t xml:space="preserve">Attrition continues to be </w:t>
      </w:r>
      <w:r>
        <w:rPr>
          <w:rFonts w:ascii="Arial" w:hAnsi="Arial" w:cs="Arial"/>
          <w:b/>
        </w:rPr>
        <w:t>the primary</w:t>
      </w:r>
      <w:r w:rsidRPr="00444755">
        <w:rPr>
          <w:rFonts w:ascii="Arial" w:hAnsi="Arial" w:cs="Arial"/>
          <w:b/>
        </w:rPr>
        <w:t xml:space="preserve"> problem area</w:t>
      </w:r>
      <w:r>
        <w:rPr>
          <w:rFonts w:ascii="Arial" w:hAnsi="Arial" w:cs="Arial"/>
          <w:b/>
        </w:rPr>
        <w:t xml:space="preserve"> of our program despite a variety of strategies over the past several years.  As the admissions process changes to a competitive format, we hope retention will be greatly improved.</w:t>
      </w:r>
    </w:p>
    <w:p w:rsidR="00F0239E" w:rsidRPr="00D708C3" w:rsidRDefault="00BA3246" w:rsidP="00D708C3">
      <w:pPr>
        <w:spacing w:after="200" w:line="276" w:lineRule="auto"/>
        <w:rPr>
          <w:b/>
          <w:u w:val="single"/>
        </w:rPr>
      </w:pPr>
      <w:r>
        <w:rPr>
          <w:b/>
          <w:u w:val="single"/>
        </w:rPr>
        <w:br w:type="page"/>
      </w:r>
      <w:r w:rsidR="00F0239E" w:rsidRPr="00D708C3">
        <w:rPr>
          <w:b/>
          <w:u w:val="single"/>
        </w:rPr>
        <w:lastRenderedPageBreak/>
        <w:t xml:space="preserve">Section II:  </w:t>
      </w:r>
      <w:r w:rsidR="00B81607" w:rsidRPr="00D708C3">
        <w:rPr>
          <w:b/>
          <w:u w:val="single"/>
        </w:rPr>
        <w:t xml:space="preserve">Progress Since the Most Recent </w:t>
      </w:r>
      <w:r w:rsidR="00F0239E"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9"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3734ED" w:rsidRPr="003734ED">
        <w:rPr>
          <w:rFonts w:ascii="Arial" w:hAnsi="Arial" w:cs="Arial"/>
          <w:b/>
        </w:rPr>
        <w:t>08-09</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3734ED" w:rsidRDefault="003734ED" w:rsidP="003734ED">
      <w:pPr>
        <w:ind w:left="504" w:right="1080" w:firstLine="216"/>
        <w:rPr>
          <w:rFonts w:ascii="Arial" w:hAnsi="Arial" w:cs="Arial"/>
          <w:b/>
        </w:rPr>
      </w:pPr>
      <w:r>
        <w:rPr>
          <w:rFonts w:ascii="Arial" w:hAnsi="Arial" w:cs="Arial"/>
          <w:b/>
        </w:rPr>
        <w:t>Increase clinical affiliation/adding or increasing clinical rotations.</w:t>
      </w:r>
    </w:p>
    <w:p w:rsidR="003734ED" w:rsidRDefault="003734ED" w:rsidP="003734ED">
      <w:pPr>
        <w:ind w:left="504" w:right="1080"/>
        <w:rPr>
          <w:rFonts w:ascii="Arial" w:hAnsi="Arial" w:cs="Arial"/>
          <w:b/>
        </w:rPr>
      </w:pPr>
      <w:r>
        <w:rPr>
          <w:rFonts w:ascii="Arial" w:hAnsi="Arial" w:cs="Arial"/>
          <w:b/>
        </w:rPr>
        <w:tab/>
        <w:t>Improve retention.</w:t>
      </w:r>
    </w:p>
    <w:p w:rsidR="003734ED" w:rsidRDefault="003734ED" w:rsidP="003734ED">
      <w:pPr>
        <w:ind w:left="504" w:right="1080"/>
        <w:rPr>
          <w:rFonts w:ascii="Arial" w:hAnsi="Arial" w:cs="Arial"/>
          <w:b/>
        </w:rPr>
      </w:pPr>
      <w:r>
        <w:rPr>
          <w:rFonts w:ascii="Arial" w:hAnsi="Arial" w:cs="Arial"/>
          <w:b/>
        </w:rPr>
        <w:tab/>
        <w:t>Secure additional adjunct faculty.</w:t>
      </w: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666097" w:rsidRDefault="00666097" w:rsidP="00666097">
      <w:pPr>
        <w:ind w:left="1080" w:hanging="360"/>
        <w:rPr>
          <w:rFonts w:ascii="Arial" w:hAnsi="Arial" w:cs="Arial"/>
          <w:b/>
        </w:rPr>
      </w:pPr>
      <w:r>
        <w:rPr>
          <w:rFonts w:ascii="Arial" w:hAnsi="Arial" w:cs="Arial"/>
          <w:b/>
        </w:rPr>
        <w:t>i.</w:t>
      </w:r>
      <w:r>
        <w:rPr>
          <w:rFonts w:ascii="Arial" w:hAnsi="Arial" w:cs="Arial"/>
          <w:b/>
        </w:rPr>
        <w:tab/>
      </w:r>
      <w:r w:rsidRPr="00666097">
        <w:rPr>
          <w:rFonts w:ascii="Arial" w:hAnsi="Arial" w:cs="Arial"/>
          <w:b/>
        </w:rPr>
        <w:t>As faculty retire and new faculty join the department, continued attention to maintaining the program’s relationships with clinical sites and professionals throughout the region will be essential.</w:t>
      </w:r>
    </w:p>
    <w:p w:rsidR="00666097" w:rsidRPr="00666097" w:rsidRDefault="00666097" w:rsidP="00666097">
      <w:pPr>
        <w:ind w:left="1080" w:hanging="360"/>
        <w:rPr>
          <w:rFonts w:ascii="Arial" w:hAnsi="Arial" w:cs="Arial"/>
          <w:b/>
        </w:rPr>
      </w:pPr>
    </w:p>
    <w:p w:rsidR="00666097" w:rsidRDefault="00666097" w:rsidP="00666097">
      <w:pPr>
        <w:ind w:left="1080" w:hanging="360"/>
        <w:rPr>
          <w:rFonts w:ascii="Arial" w:hAnsi="Arial" w:cs="Arial"/>
          <w:b/>
        </w:rPr>
      </w:pPr>
      <w:r>
        <w:rPr>
          <w:rFonts w:ascii="Arial" w:hAnsi="Arial" w:cs="Arial"/>
          <w:b/>
        </w:rPr>
        <w:t>ii.</w:t>
      </w:r>
      <w:r>
        <w:rPr>
          <w:rFonts w:ascii="Arial" w:hAnsi="Arial" w:cs="Arial"/>
          <w:b/>
        </w:rPr>
        <w:tab/>
      </w:r>
      <w:r w:rsidRPr="00666097">
        <w:rPr>
          <w:rFonts w:ascii="Arial" w:hAnsi="Arial" w:cs="Arial"/>
          <w:b/>
        </w:rPr>
        <w:t>Given the anticipated retirements and the short supply of qualified faculty, the department may wish to mentor some of its current students who show promise for becoming excellent faculty in the future.</w:t>
      </w:r>
    </w:p>
    <w:p w:rsidR="00666097" w:rsidRPr="00666097" w:rsidRDefault="00666097" w:rsidP="00666097">
      <w:pPr>
        <w:ind w:left="1080" w:hanging="360"/>
        <w:rPr>
          <w:rFonts w:ascii="Arial" w:hAnsi="Arial" w:cs="Arial"/>
          <w:b/>
        </w:rPr>
      </w:pPr>
    </w:p>
    <w:p w:rsidR="00666097" w:rsidRPr="00666097" w:rsidRDefault="00666097" w:rsidP="00666097">
      <w:pPr>
        <w:ind w:left="1080" w:hanging="360"/>
        <w:rPr>
          <w:rFonts w:ascii="Arial" w:hAnsi="Arial" w:cs="Arial"/>
          <w:b/>
        </w:rPr>
      </w:pPr>
      <w:r>
        <w:rPr>
          <w:rFonts w:ascii="Arial" w:hAnsi="Arial" w:cs="Arial"/>
          <w:b/>
        </w:rPr>
        <w:t>iii.</w:t>
      </w:r>
      <w:r>
        <w:rPr>
          <w:rFonts w:ascii="Arial" w:hAnsi="Arial" w:cs="Arial"/>
          <w:b/>
        </w:rPr>
        <w:tab/>
      </w:r>
      <w:r w:rsidRPr="00666097">
        <w:rPr>
          <w:rFonts w:ascii="Arial" w:hAnsi="Arial" w:cs="Arial"/>
          <w:b/>
        </w:rPr>
        <w:t xml:space="preserve">The department has worked diligently to reduce its high attrition rate.  This attrition rate is not atypical among such programs at other institutions, but the department is strongly encouraged to seek new ways to retain more students.  Identifying characteristics of students who persist versus those who leave may provide useful information for developing intervention strategies. </w:t>
      </w:r>
      <w:r w:rsidR="00444755">
        <w:rPr>
          <w:rFonts w:ascii="Arial" w:hAnsi="Arial" w:cs="Arial"/>
          <w:b/>
        </w:rPr>
        <w:t xml:space="preserve"> </w:t>
      </w:r>
      <w:r w:rsidRPr="00666097">
        <w:rPr>
          <w:rFonts w:ascii="Arial" w:hAnsi="Arial" w:cs="Arial"/>
          <w:b/>
        </w:rPr>
        <w:t xml:space="preserve">Based on the reports of faculty, it appears that new approaches to helping students understand the rigor of the program prior to entry as well as the nature of professional practice in this field would be helpful.  </w:t>
      </w:r>
    </w:p>
    <w:p w:rsidR="003C1C8E" w:rsidRPr="00666097" w:rsidRDefault="003C1C8E" w:rsidP="00666097">
      <w:pPr>
        <w:pStyle w:val="ListParagraph"/>
        <w:ind w:left="1080" w:hanging="360"/>
        <w:rPr>
          <w:b/>
        </w:rPr>
      </w:pPr>
    </w:p>
    <w:p w:rsidR="00320CDE" w:rsidRPr="002E548B"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FE253C" w:rsidRDefault="00FE253C" w:rsidP="00320CDE">
      <w:pPr>
        <w:pStyle w:val="ListParagraph"/>
        <w:rPr>
          <w:rFonts w:ascii="Arial" w:hAnsi="Arial" w:cs="Arial"/>
          <w:b/>
        </w:rPr>
      </w:pPr>
    </w:p>
    <w:p w:rsidR="00320CDE" w:rsidRDefault="00666097" w:rsidP="00320CDE">
      <w:pPr>
        <w:pStyle w:val="ListParagraph"/>
      </w:pPr>
      <w:r>
        <w:rPr>
          <w:rFonts w:ascii="Arial" w:hAnsi="Arial" w:cs="Arial"/>
          <w:b/>
        </w:rPr>
        <w:t>No, these three items are still a high priority for our department.</w:t>
      </w:r>
    </w:p>
    <w:p w:rsidR="00F86156" w:rsidRDefault="00F86156" w:rsidP="00320CDE">
      <w:pPr>
        <w:pStyle w:val="ListParagraph"/>
      </w:pPr>
    </w:p>
    <w:p w:rsidR="0057608A" w:rsidRDefault="0057608A" w:rsidP="00320CDE">
      <w:pPr>
        <w:pStyle w:val="ListParagraph"/>
      </w:pPr>
    </w:p>
    <w:p w:rsidR="0057608A" w:rsidRDefault="0057608A" w:rsidP="00320CDE">
      <w:pPr>
        <w:pStyle w:val="ListParagraph"/>
      </w:pPr>
    </w:p>
    <w:p w:rsidR="00CA04B1" w:rsidRDefault="00CA04B1" w:rsidP="00320CDE">
      <w:pPr>
        <w:pStyle w:val="ListParagraph"/>
      </w:pPr>
    </w:p>
    <w:p w:rsidR="00CA04B1" w:rsidRDefault="00CA04B1" w:rsidP="00320CDE">
      <w:pPr>
        <w:pStyle w:val="ListParagraph"/>
      </w:pPr>
    </w:p>
    <w:p w:rsidR="0057608A" w:rsidRDefault="0057608A" w:rsidP="00320CDE">
      <w:pPr>
        <w:pStyle w:val="ListParagraph"/>
      </w:pPr>
    </w:p>
    <w:p w:rsidR="00F0239E" w:rsidRDefault="000337E6" w:rsidP="00F0239E">
      <w:pPr>
        <w:pStyle w:val="ListParagraph"/>
        <w:numPr>
          <w:ilvl w:val="0"/>
          <w:numId w:val="6"/>
        </w:numPr>
      </w:pPr>
      <w:r>
        <w:lastRenderedPageBreak/>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0337E6" w:rsidRDefault="000337E6" w:rsidP="000337E6">
      <w:pPr>
        <w:pStyle w:val="ListParagraph"/>
        <w:rPr>
          <w:rFonts w:ascii="Arial" w:hAnsi="Arial" w:cs="Arial"/>
        </w:rPr>
      </w:pPr>
    </w:p>
    <w:p w:rsidR="00C13EF2" w:rsidRDefault="00C13EF2" w:rsidP="00C13EF2">
      <w:pPr>
        <w:pStyle w:val="ListParagraph"/>
        <w:tabs>
          <w:tab w:val="left" w:pos="1080"/>
        </w:tabs>
        <w:ind w:left="1080" w:hanging="360"/>
        <w:rPr>
          <w:rFonts w:ascii="Arial" w:hAnsi="Arial" w:cs="Arial"/>
          <w:b/>
        </w:rPr>
      </w:pPr>
      <w:r w:rsidRPr="00C13EF2">
        <w:rPr>
          <w:rFonts w:ascii="Arial" w:hAnsi="Arial" w:cs="Arial"/>
          <w:b/>
        </w:rPr>
        <w:t>i.</w:t>
      </w:r>
      <w:r>
        <w:rPr>
          <w:rFonts w:ascii="Arial" w:hAnsi="Arial" w:cs="Arial"/>
        </w:rPr>
        <w:tab/>
      </w:r>
      <w:r>
        <w:rPr>
          <w:rFonts w:ascii="Arial" w:hAnsi="Arial" w:cs="Arial"/>
          <w:b/>
        </w:rPr>
        <w:t>No additional clinical affiliates have been secured.  Program consistently maintains close and professional relationships with existing affiliates.</w:t>
      </w:r>
    </w:p>
    <w:p w:rsidR="00C13EF2" w:rsidRDefault="00C13EF2" w:rsidP="00C13EF2">
      <w:pPr>
        <w:pStyle w:val="ListParagraph"/>
        <w:tabs>
          <w:tab w:val="left" w:pos="1080"/>
        </w:tabs>
        <w:ind w:left="1080" w:hanging="360"/>
        <w:rPr>
          <w:rFonts w:ascii="Arial" w:hAnsi="Arial" w:cs="Arial"/>
          <w:b/>
        </w:rPr>
      </w:pPr>
    </w:p>
    <w:p w:rsidR="00C13EF2" w:rsidRDefault="00C13EF2" w:rsidP="00C13EF2">
      <w:pPr>
        <w:pStyle w:val="ListParagraph"/>
        <w:tabs>
          <w:tab w:val="left" w:pos="1080"/>
        </w:tabs>
        <w:ind w:left="1080" w:hanging="360"/>
        <w:rPr>
          <w:rFonts w:ascii="Arial" w:hAnsi="Arial" w:cs="Arial"/>
          <w:b/>
        </w:rPr>
      </w:pPr>
      <w:r>
        <w:rPr>
          <w:rFonts w:ascii="Arial" w:hAnsi="Arial" w:cs="Arial"/>
          <w:b/>
        </w:rPr>
        <w:t>ii.</w:t>
      </w:r>
      <w:r>
        <w:rPr>
          <w:rFonts w:ascii="Arial" w:hAnsi="Arial" w:cs="Arial"/>
          <w:b/>
        </w:rPr>
        <w:tab/>
      </w:r>
      <w:r w:rsidR="0057608A">
        <w:rPr>
          <w:rFonts w:ascii="Arial" w:hAnsi="Arial" w:cs="Arial"/>
          <w:b/>
        </w:rPr>
        <w:t xml:space="preserve">A recent graduate has been employed for laboratory instruction.  Clinical faculty members are still difficult to secure for the days and times we need them.  Clinical instruction under the semester format will necessitate almost twice as many adjuncts as we currently have during the first </w:t>
      </w:r>
      <w:r w:rsidR="00071B26">
        <w:rPr>
          <w:rFonts w:ascii="Arial" w:hAnsi="Arial" w:cs="Arial"/>
          <w:b/>
        </w:rPr>
        <w:t xml:space="preserve">eight weeks </w:t>
      </w:r>
      <w:r w:rsidR="0057608A">
        <w:rPr>
          <w:rFonts w:ascii="Arial" w:hAnsi="Arial" w:cs="Arial"/>
          <w:b/>
        </w:rPr>
        <w:t>of the winter term.</w:t>
      </w:r>
    </w:p>
    <w:p w:rsidR="009C221C" w:rsidRDefault="009C221C" w:rsidP="00C13EF2">
      <w:pPr>
        <w:pStyle w:val="ListParagraph"/>
        <w:tabs>
          <w:tab w:val="left" w:pos="1080"/>
        </w:tabs>
        <w:ind w:left="1080" w:hanging="360"/>
        <w:rPr>
          <w:rFonts w:ascii="Arial" w:hAnsi="Arial" w:cs="Arial"/>
          <w:b/>
        </w:rPr>
      </w:pPr>
    </w:p>
    <w:p w:rsidR="009C221C" w:rsidRDefault="009C221C" w:rsidP="00C13EF2">
      <w:pPr>
        <w:pStyle w:val="ListParagraph"/>
        <w:tabs>
          <w:tab w:val="left" w:pos="1080"/>
        </w:tabs>
        <w:ind w:left="1080" w:hanging="360"/>
        <w:rPr>
          <w:rFonts w:ascii="Arial" w:hAnsi="Arial" w:cs="Arial"/>
          <w:b/>
        </w:rPr>
      </w:pPr>
      <w:r>
        <w:rPr>
          <w:rFonts w:ascii="Arial" w:hAnsi="Arial" w:cs="Arial"/>
          <w:b/>
        </w:rPr>
        <w:t>iii.</w:t>
      </w:r>
      <w:r>
        <w:rPr>
          <w:rFonts w:ascii="Arial" w:hAnsi="Arial" w:cs="Arial"/>
          <w:b/>
        </w:rPr>
        <w:tab/>
        <w:t>As part of the semester conversion process, a new introductory course to Respiratory Care was added as a required prerequisite.  This should enable program faculty to interact early in the applicant’s admission process.  In addition, it will ensure that students truly understand the profession in detail, and alert them to the rigors and requirements of the program.</w:t>
      </w:r>
    </w:p>
    <w:p w:rsidR="009C221C" w:rsidRDefault="009C221C" w:rsidP="00C13EF2">
      <w:pPr>
        <w:pStyle w:val="ListParagraph"/>
        <w:tabs>
          <w:tab w:val="left" w:pos="1080"/>
        </w:tabs>
        <w:ind w:left="1080" w:hanging="360"/>
        <w:rPr>
          <w:rFonts w:ascii="Arial" w:hAnsi="Arial" w:cs="Arial"/>
          <w:b/>
        </w:rPr>
      </w:pPr>
      <w:r>
        <w:rPr>
          <w:rFonts w:ascii="Arial" w:hAnsi="Arial" w:cs="Arial"/>
          <w:b/>
        </w:rPr>
        <w:tab/>
      </w:r>
    </w:p>
    <w:p w:rsidR="009C221C" w:rsidRPr="00C13EF2" w:rsidRDefault="009C221C" w:rsidP="00C13EF2">
      <w:pPr>
        <w:pStyle w:val="ListParagraph"/>
        <w:tabs>
          <w:tab w:val="left" w:pos="1080"/>
        </w:tabs>
        <w:ind w:left="1080" w:hanging="360"/>
        <w:rPr>
          <w:b/>
        </w:rPr>
      </w:pPr>
      <w:r>
        <w:rPr>
          <w:rFonts w:ascii="Arial" w:hAnsi="Arial" w:cs="Arial"/>
          <w:b/>
        </w:rPr>
        <w:tab/>
        <w:t>As a result of the May 2012 CoARC accreditation site visit, the program was directed to take significant measures to decrease attrition</w:t>
      </w:r>
      <w:r w:rsidR="00246C30">
        <w:rPr>
          <w:rFonts w:ascii="Arial" w:hAnsi="Arial" w:cs="Arial"/>
          <w:b/>
        </w:rPr>
        <w:t xml:space="preserve"> or face a potential change to its full accreditation status</w:t>
      </w:r>
      <w:r>
        <w:rPr>
          <w:rFonts w:ascii="Arial" w:hAnsi="Arial" w:cs="Arial"/>
          <w:b/>
        </w:rPr>
        <w:t xml:space="preserve">. Therefore, a plan was researched and implemented to move the program to a totally competitive admission process.  This will hopefully increase the selection of </w:t>
      </w:r>
      <w:r w:rsidR="00246C30">
        <w:rPr>
          <w:rFonts w:ascii="Arial" w:hAnsi="Arial" w:cs="Arial"/>
          <w:b/>
        </w:rPr>
        <w:t xml:space="preserve">better academically-prepared </w:t>
      </w:r>
      <w:r>
        <w:rPr>
          <w:rFonts w:ascii="Arial" w:hAnsi="Arial" w:cs="Arial"/>
          <w:b/>
        </w:rPr>
        <w:t xml:space="preserve">students who will be more likely to </w:t>
      </w:r>
      <w:r w:rsidR="00246C30">
        <w:rPr>
          <w:rFonts w:ascii="Arial" w:hAnsi="Arial" w:cs="Arial"/>
          <w:b/>
        </w:rPr>
        <w:t xml:space="preserve">be successful in the program.  As the students will be selected on objective criteria, there may still be some students who may not be able to complete the skill portion of the curriculum.  </w:t>
      </w:r>
      <w:r>
        <w:rPr>
          <w:rFonts w:ascii="Arial" w:hAnsi="Arial" w:cs="Arial"/>
          <w:b/>
        </w:rPr>
        <w:t>There will no longer be a waitin</w:t>
      </w:r>
      <w:r w:rsidR="00246C30">
        <w:rPr>
          <w:rFonts w:ascii="Arial" w:hAnsi="Arial" w:cs="Arial"/>
          <w:b/>
        </w:rPr>
        <w:t>g/eli</w:t>
      </w:r>
      <w:r>
        <w:rPr>
          <w:rFonts w:ascii="Arial" w:hAnsi="Arial" w:cs="Arial"/>
          <w:b/>
        </w:rPr>
        <w:t>g</w:t>
      </w:r>
      <w:r w:rsidR="00246C30">
        <w:rPr>
          <w:rFonts w:ascii="Arial" w:hAnsi="Arial" w:cs="Arial"/>
          <w:b/>
        </w:rPr>
        <w:t>ibility</w:t>
      </w:r>
      <w:r>
        <w:rPr>
          <w:rFonts w:ascii="Arial" w:hAnsi="Arial" w:cs="Arial"/>
          <w:b/>
        </w:rPr>
        <w:t xml:space="preserve"> list as interested students would need to reappl</w:t>
      </w:r>
      <w:r w:rsidR="00246C30">
        <w:rPr>
          <w:rFonts w:ascii="Arial" w:hAnsi="Arial" w:cs="Arial"/>
          <w:b/>
        </w:rPr>
        <w:t>y</w:t>
      </w:r>
      <w:r>
        <w:rPr>
          <w:rFonts w:ascii="Arial" w:hAnsi="Arial" w:cs="Arial"/>
          <w:b/>
        </w:rPr>
        <w:t xml:space="preserve"> annually if they are not selected for the program on their first application.  </w:t>
      </w:r>
      <w:r w:rsidR="00246C30">
        <w:rPr>
          <w:rFonts w:ascii="Arial" w:hAnsi="Arial" w:cs="Arial"/>
          <w:b/>
        </w:rPr>
        <w:t xml:space="preserve">Individuals that were on the Eligibility List after the 2011 cohort started were grandfathered to the class of 2012 provided they   met the entry requirements under semesters.  </w:t>
      </w:r>
    </w:p>
    <w:p w:rsidR="0094204C" w:rsidRDefault="0094204C" w:rsidP="000337E6">
      <w:pPr>
        <w:pStyle w:val="ListParagraph"/>
      </w:pPr>
    </w:p>
    <w:p w:rsidR="00266F2F" w:rsidRDefault="00266F2F" w:rsidP="000337E6">
      <w:pPr>
        <w:pStyle w:val="ListParagraph"/>
      </w:pPr>
    </w:p>
    <w:p w:rsidR="00266F2F" w:rsidRDefault="00266F2F" w:rsidP="000337E6">
      <w:pPr>
        <w:pStyle w:val="ListParagraph"/>
      </w:pPr>
    </w:p>
    <w:p w:rsidR="00266F2F" w:rsidRDefault="00266F2F" w:rsidP="000337E6">
      <w:pPr>
        <w:pStyle w:val="ListParagraph"/>
      </w:pPr>
    </w:p>
    <w:p w:rsidR="00BA3246" w:rsidRDefault="00BA3246">
      <w:pPr>
        <w:spacing w:after="200" w:line="276" w:lineRule="auto"/>
        <w:rPr>
          <w:b/>
          <w:u w:val="single"/>
        </w:rPr>
      </w:pPr>
      <w:r>
        <w:rPr>
          <w:b/>
          <w:u w:val="single"/>
        </w:rPr>
        <w:br w:type="page"/>
      </w:r>
    </w:p>
    <w:p w:rsidR="0094204C" w:rsidRPr="00D708C3" w:rsidRDefault="0094204C" w:rsidP="00D708C3">
      <w:pPr>
        <w:rPr>
          <w:b/>
          <w:u w:val="single"/>
        </w:rPr>
      </w:pPr>
      <w:r w:rsidRPr="00D708C3">
        <w:rPr>
          <w:b/>
          <w:u w:val="single"/>
        </w:rPr>
        <w:lastRenderedPageBreak/>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416B8E" w:rsidRDefault="00416B8E" w:rsidP="00BF3561">
      <w:pPr>
        <w:pStyle w:val="ListParagraph"/>
        <w:tabs>
          <w:tab w:val="left" w:pos="5040"/>
        </w:tabs>
      </w:pPr>
    </w:p>
    <w:tbl>
      <w:tblPr>
        <w:tblStyle w:val="TableGrid"/>
        <w:tblW w:w="10530" w:type="dxa"/>
        <w:tblInd w:w="-252" w:type="dxa"/>
        <w:shd w:val="clear" w:color="auto" w:fill="FFFFFF"/>
        <w:tblLayout w:type="fixed"/>
        <w:tblLook w:val="01E0" w:firstRow="1" w:lastRow="1" w:firstColumn="1" w:lastColumn="1" w:noHBand="0" w:noVBand="0"/>
      </w:tblPr>
      <w:tblGrid>
        <w:gridCol w:w="4440"/>
        <w:gridCol w:w="1800"/>
        <w:gridCol w:w="2040"/>
        <w:gridCol w:w="2250"/>
      </w:tblGrid>
      <w:tr w:rsidR="00416B8E" w:rsidRPr="00FE253C" w:rsidTr="00326DC6">
        <w:trPr>
          <w:trHeight w:val="71"/>
        </w:trPr>
        <w:tc>
          <w:tcPr>
            <w:tcW w:w="4440" w:type="dxa"/>
            <w:shd w:val="clear" w:color="auto" w:fill="FFFFFF"/>
            <w:vAlign w:val="center"/>
          </w:tcPr>
          <w:p w:rsidR="00416B8E" w:rsidRPr="00FE253C" w:rsidRDefault="00416B8E" w:rsidP="00FE253C">
            <w:pPr>
              <w:jc w:val="center"/>
              <w:rPr>
                <w:rFonts w:ascii="Arial" w:hAnsi="Arial" w:cs="Arial"/>
              </w:rPr>
            </w:pPr>
            <w:r w:rsidRPr="00FE253C">
              <w:rPr>
                <w:rFonts w:ascii="Arial" w:hAnsi="Arial" w:cs="Arial"/>
                <w:b/>
                <w:u w:val="single"/>
              </w:rPr>
              <w:t xml:space="preserve">Respiratory </w:t>
            </w:r>
            <w:r w:rsidR="00FE253C">
              <w:rPr>
                <w:rFonts w:ascii="Arial" w:hAnsi="Arial" w:cs="Arial"/>
                <w:b/>
                <w:u w:val="single"/>
              </w:rPr>
              <w:t>Care</w:t>
            </w:r>
            <w:r w:rsidRPr="00FE253C">
              <w:rPr>
                <w:rFonts w:ascii="Arial" w:hAnsi="Arial" w:cs="Arial"/>
              </w:rPr>
              <w:t xml:space="preserve"> Program Outcomes</w:t>
            </w:r>
          </w:p>
        </w:tc>
        <w:tc>
          <w:tcPr>
            <w:tcW w:w="1800" w:type="dxa"/>
          </w:tcPr>
          <w:p w:rsidR="00416B8E" w:rsidRPr="00FE253C" w:rsidRDefault="00416B8E" w:rsidP="00416B8E">
            <w:pPr>
              <w:jc w:val="center"/>
              <w:rPr>
                <w:rFonts w:ascii="Arial" w:hAnsi="Arial" w:cs="Arial"/>
                <w:sz w:val="20"/>
                <w:szCs w:val="20"/>
              </w:rPr>
            </w:pPr>
            <w:r w:rsidRPr="00FE253C">
              <w:rPr>
                <w:rFonts w:ascii="Arial" w:hAnsi="Arial" w:cs="Arial"/>
                <w:sz w:val="20"/>
                <w:szCs w:val="20"/>
              </w:rPr>
              <w:t>In which courses are these program outcomes addressed?</w:t>
            </w:r>
          </w:p>
        </w:tc>
        <w:tc>
          <w:tcPr>
            <w:tcW w:w="2040" w:type="dxa"/>
            <w:shd w:val="clear" w:color="auto" w:fill="auto"/>
          </w:tcPr>
          <w:p w:rsidR="00416B8E" w:rsidRPr="00FE253C" w:rsidRDefault="00416B8E" w:rsidP="00416B8E">
            <w:pPr>
              <w:jc w:val="center"/>
              <w:rPr>
                <w:rFonts w:ascii="Arial" w:hAnsi="Arial" w:cs="Arial"/>
                <w:sz w:val="20"/>
                <w:szCs w:val="20"/>
              </w:rPr>
            </w:pPr>
            <w:r w:rsidRPr="00FE253C">
              <w:rPr>
                <w:rFonts w:ascii="Arial" w:hAnsi="Arial" w:cs="Arial"/>
                <w:sz w:val="20"/>
                <w:szCs w:val="20"/>
              </w:rPr>
              <w:t>Which of these program outcomes were assessed during the last fiscal year? </w:t>
            </w:r>
          </w:p>
        </w:tc>
        <w:tc>
          <w:tcPr>
            <w:tcW w:w="2250" w:type="dxa"/>
          </w:tcPr>
          <w:p w:rsidR="00326DC6" w:rsidRDefault="00326DC6" w:rsidP="00416B8E">
            <w:pPr>
              <w:jc w:val="center"/>
              <w:rPr>
                <w:rFonts w:ascii="Arial" w:hAnsi="Arial" w:cs="Arial"/>
                <w:sz w:val="20"/>
                <w:szCs w:val="20"/>
              </w:rPr>
            </w:pPr>
          </w:p>
          <w:p w:rsidR="00416B8E" w:rsidRPr="00FE253C" w:rsidRDefault="00416B8E" w:rsidP="00416B8E">
            <w:pPr>
              <w:jc w:val="center"/>
              <w:rPr>
                <w:rFonts w:ascii="Arial" w:hAnsi="Arial" w:cs="Arial"/>
                <w:sz w:val="20"/>
                <w:szCs w:val="20"/>
              </w:rPr>
            </w:pPr>
            <w:r w:rsidRPr="00FE253C">
              <w:rPr>
                <w:rFonts w:ascii="Arial" w:hAnsi="Arial" w:cs="Arial"/>
                <w:sz w:val="20"/>
                <w:szCs w:val="20"/>
              </w:rPr>
              <w:t>Assessment Methods</w:t>
            </w:r>
          </w:p>
          <w:p w:rsidR="00416B8E" w:rsidRPr="00FE253C" w:rsidRDefault="00416B8E" w:rsidP="00416B8E">
            <w:pPr>
              <w:jc w:val="center"/>
              <w:rPr>
                <w:rFonts w:ascii="Arial" w:hAnsi="Arial" w:cs="Arial"/>
                <w:sz w:val="20"/>
                <w:szCs w:val="20"/>
              </w:rPr>
            </w:pPr>
            <w:r w:rsidRPr="00FE253C">
              <w:rPr>
                <w:rFonts w:ascii="Arial" w:hAnsi="Arial" w:cs="Arial"/>
                <w:sz w:val="20"/>
                <w:szCs w:val="20"/>
              </w:rPr>
              <w:t>Used</w:t>
            </w:r>
          </w:p>
          <w:p w:rsidR="00416B8E" w:rsidRPr="00FE253C" w:rsidRDefault="00416B8E" w:rsidP="00416B8E">
            <w:pPr>
              <w:jc w:val="center"/>
              <w:rPr>
                <w:rFonts w:ascii="Arial" w:hAnsi="Arial" w:cs="Arial"/>
                <w:sz w:val="20"/>
                <w:szCs w:val="20"/>
              </w:rPr>
            </w:pPr>
          </w:p>
        </w:tc>
      </w:tr>
      <w:tr w:rsidR="00416B8E" w:rsidRPr="00FE253C" w:rsidTr="00326DC6">
        <w:trPr>
          <w:trHeight w:val="269"/>
        </w:trPr>
        <w:tc>
          <w:tcPr>
            <w:tcW w:w="4440" w:type="dxa"/>
            <w:shd w:val="clear" w:color="auto" w:fill="FFFFFF"/>
            <w:vAlign w:val="center"/>
          </w:tcPr>
          <w:p w:rsidR="00416B8E" w:rsidRPr="00FE253C" w:rsidRDefault="00416B8E" w:rsidP="00416B8E">
            <w:pPr>
              <w:rPr>
                <w:rFonts w:ascii="Arial" w:hAnsi="Arial" w:cs="Arial"/>
                <w:i/>
                <w:sz w:val="20"/>
                <w:szCs w:val="20"/>
              </w:rPr>
            </w:pPr>
            <w:r w:rsidRPr="00FE253C">
              <w:rPr>
                <w:rFonts w:ascii="Arial" w:hAnsi="Arial" w:cs="Arial"/>
                <w:sz w:val="20"/>
                <w:szCs w:val="20"/>
              </w:rPr>
              <w:t>1)</w:t>
            </w:r>
            <w:r w:rsidRPr="00FE253C">
              <w:rPr>
                <w:rFonts w:ascii="Arial" w:hAnsi="Arial" w:cs="Arial"/>
                <w:b/>
                <w:sz w:val="20"/>
                <w:szCs w:val="20"/>
              </w:rPr>
              <w:t xml:space="preserve"> </w:t>
            </w:r>
            <w:r w:rsidRPr="00FE253C">
              <w:rPr>
                <w:rFonts w:ascii="Arial" w:hAnsi="Arial" w:cs="Arial"/>
                <w:sz w:val="20"/>
                <w:szCs w:val="20"/>
              </w:rPr>
              <w:t>Demonstrate personal behaviors and attitudes consistent and appropriate to the advanced respiratory care professional.</w:t>
            </w:r>
          </w:p>
        </w:tc>
        <w:tc>
          <w:tcPr>
            <w:tcW w:w="1800" w:type="dxa"/>
          </w:tcPr>
          <w:p w:rsidR="00FE253C" w:rsidRDefault="00FE253C" w:rsidP="00416B8E">
            <w:pPr>
              <w:jc w:val="center"/>
              <w:rPr>
                <w:rFonts w:ascii="Arial" w:hAnsi="Arial" w:cs="Arial"/>
              </w:rPr>
            </w:pPr>
          </w:p>
          <w:p w:rsidR="00416B8E" w:rsidRPr="00FE253C" w:rsidRDefault="00FE253C" w:rsidP="00416B8E">
            <w:pPr>
              <w:jc w:val="center"/>
              <w:rPr>
                <w:rFonts w:ascii="Arial" w:hAnsi="Arial" w:cs="Arial"/>
                <w:sz w:val="20"/>
                <w:szCs w:val="20"/>
              </w:rPr>
            </w:pPr>
            <w:r>
              <w:rPr>
                <w:rFonts w:ascii="Arial" w:hAnsi="Arial" w:cs="Arial"/>
              </w:rPr>
              <w:t>RET 280</w:t>
            </w:r>
          </w:p>
        </w:tc>
        <w:tc>
          <w:tcPr>
            <w:tcW w:w="2040" w:type="dxa"/>
            <w:shd w:val="clear" w:color="auto" w:fill="auto"/>
          </w:tcPr>
          <w:p w:rsidR="00416B8E" w:rsidRPr="00FE253C" w:rsidRDefault="00444755" w:rsidP="00416B8E">
            <w:pPr>
              <w:rPr>
                <w:rFonts w:ascii="Arial" w:hAnsi="Arial" w:cs="Arial"/>
                <w:sz w:val="16"/>
                <w:szCs w:val="16"/>
              </w:rPr>
            </w:pPr>
            <w:r>
              <w:rPr>
                <w:rFonts w:ascii="Arial" w:hAnsi="Arial" w:cs="Arial"/>
                <w:noProof/>
                <w:sz w:val="16"/>
                <w:szCs w:val="16"/>
              </w:rPr>
              <w:pict>
                <v:shapetype id="_x0000_t201" coordsize="21600,21600" o:spt="201" path="m,l,21600r21600,l21600,xe">
                  <v:stroke joinstyle="miter"/>
                  <v:path shadowok="f" o:extrusionok="f" strokeok="f" fillok="f" o:connecttype="rect"/>
                  <o:lock v:ext="edit" shapetype="t"/>
                </v:shapetype>
                <v:shape id="_x0000_s1057" type="#_x0000_t201" style="position:absolute;margin-left:34.9pt;margin-top:8.2pt;width:16.5pt;height:15pt;z-index:251657216;mso-position-horizontal-relative:text;mso-position-vertical-relative:text" o:preferrelative="t" wrapcoords="-982 0 -982 21228 21600 21228 21600 0 -982 0" filled="f" stroked="f">
                  <v:imagedata r:id="rId10" o:title=""/>
                  <o:lock v:ext="edit" aspectratio="t"/>
                  <w10:wrap type="tight"/>
                </v:shape>
                <w:control r:id="rId11" w:name="CheckBox1" w:shapeid="_x0000_s1057"/>
              </w:pict>
            </w:r>
          </w:p>
        </w:tc>
        <w:tc>
          <w:tcPr>
            <w:tcW w:w="2250" w:type="dxa"/>
          </w:tcPr>
          <w:p w:rsidR="00416B8E" w:rsidRPr="00FE253C" w:rsidRDefault="00416B8E" w:rsidP="00416B8E">
            <w:pPr>
              <w:pStyle w:val="ListParagraph"/>
              <w:numPr>
                <w:ilvl w:val="0"/>
                <w:numId w:val="14"/>
              </w:numPr>
              <w:ind w:left="252" w:hanging="180"/>
              <w:rPr>
                <w:rFonts w:ascii="Arial" w:hAnsi="Arial" w:cs="Arial"/>
                <w:sz w:val="20"/>
                <w:szCs w:val="20"/>
              </w:rPr>
            </w:pPr>
            <w:r w:rsidRPr="00FE253C">
              <w:rPr>
                <w:rFonts w:ascii="Arial" w:hAnsi="Arial" w:cs="Arial"/>
              </w:rPr>
              <w:t xml:space="preserve">Communication skills </w:t>
            </w:r>
          </w:p>
          <w:p w:rsidR="00416B8E" w:rsidRPr="00FE253C" w:rsidRDefault="00416B8E" w:rsidP="00416B8E">
            <w:pPr>
              <w:pStyle w:val="ListParagraph"/>
              <w:numPr>
                <w:ilvl w:val="0"/>
                <w:numId w:val="14"/>
              </w:numPr>
              <w:ind w:left="252" w:hanging="180"/>
              <w:rPr>
                <w:rFonts w:ascii="Arial" w:hAnsi="Arial" w:cs="Arial"/>
                <w:sz w:val="20"/>
                <w:szCs w:val="20"/>
              </w:rPr>
            </w:pPr>
            <w:r w:rsidRPr="00FE253C">
              <w:rPr>
                <w:rFonts w:ascii="Arial" w:hAnsi="Arial" w:cs="Arial"/>
              </w:rPr>
              <w:t>Clinical evaluation</w:t>
            </w:r>
          </w:p>
        </w:tc>
      </w:tr>
      <w:tr w:rsidR="00416B8E" w:rsidRPr="00FE253C" w:rsidTr="00326DC6">
        <w:trPr>
          <w:trHeight w:val="288"/>
        </w:trPr>
        <w:tc>
          <w:tcPr>
            <w:tcW w:w="4440" w:type="dxa"/>
            <w:shd w:val="clear" w:color="auto" w:fill="FFFFFF"/>
            <w:vAlign w:val="center"/>
          </w:tcPr>
          <w:p w:rsidR="00FE253C" w:rsidRDefault="00FE253C" w:rsidP="00416B8E">
            <w:pPr>
              <w:rPr>
                <w:rFonts w:ascii="Arial" w:hAnsi="Arial" w:cs="Arial"/>
                <w:sz w:val="20"/>
                <w:szCs w:val="20"/>
              </w:rPr>
            </w:pPr>
          </w:p>
          <w:p w:rsidR="00416B8E" w:rsidRDefault="00416B8E" w:rsidP="00416B8E">
            <w:pPr>
              <w:rPr>
                <w:rFonts w:ascii="Arial" w:hAnsi="Arial" w:cs="Arial"/>
                <w:sz w:val="20"/>
                <w:szCs w:val="20"/>
              </w:rPr>
            </w:pPr>
            <w:r w:rsidRPr="00FE253C">
              <w:rPr>
                <w:rFonts w:ascii="Arial" w:hAnsi="Arial" w:cs="Arial"/>
                <w:sz w:val="20"/>
                <w:szCs w:val="20"/>
              </w:rPr>
              <w:t>2)</w:t>
            </w:r>
            <w:r w:rsidRPr="00FE253C">
              <w:rPr>
                <w:rFonts w:ascii="Arial" w:hAnsi="Arial" w:cs="Arial"/>
                <w:b/>
                <w:sz w:val="20"/>
                <w:szCs w:val="20"/>
              </w:rPr>
              <w:t xml:space="preserve"> </w:t>
            </w:r>
            <w:r w:rsidRPr="00FE253C">
              <w:rPr>
                <w:rFonts w:ascii="Arial" w:hAnsi="Arial" w:cs="Arial"/>
                <w:sz w:val="20"/>
                <w:szCs w:val="20"/>
              </w:rPr>
              <w:t>Demonstrate the ability to comprehend, apply, and evaluate information relevant to the job description of an advanced respiratory care practitioner.</w:t>
            </w:r>
          </w:p>
          <w:p w:rsidR="00FE253C" w:rsidRPr="00FE253C" w:rsidRDefault="00FE253C" w:rsidP="00416B8E">
            <w:pPr>
              <w:rPr>
                <w:rFonts w:ascii="Arial" w:hAnsi="Arial" w:cs="Arial"/>
                <w:sz w:val="20"/>
                <w:szCs w:val="20"/>
              </w:rPr>
            </w:pPr>
          </w:p>
        </w:tc>
        <w:tc>
          <w:tcPr>
            <w:tcW w:w="1800" w:type="dxa"/>
          </w:tcPr>
          <w:p w:rsidR="00FE253C" w:rsidRDefault="00FE253C" w:rsidP="00416B8E">
            <w:pPr>
              <w:jc w:val="center"/>
              <w:rPr>
                <w:rFonts w:ascii="Arial" w:hAnsi="Arial" w:cs="Arial"/>
              </w:rPr>
            </w:pPr>
          </w:p>
          <w:p w:rsidR="00416B8E" w:rsidRPr="00FE253C" w:rsidRDefault="00416B8E" w:rsidP="00416B8E">
            <w:pPr>
              <w:jc w:val="center"/>
              <w:rPr>
                <w:rFonts w:ascii="Arial" w:hAnsi="Arial" w:cs="Arial"/>
                <w:sz w:val="20"/>
                <w:szCs w:val="20"/>
              </w:rPr>
            </w:pPr>
            <w:r w:rsidRPr="00FE253C">
              <w:rPr>
                <w:rFonts w:ascii="Arial" w:hAnsi="Arial" w:cs="Arial"/>
              </w:rPr>
              <w:t xml:space="preserve">RET 280  </w:t>
            </w:r>
          </w:p>
        </w:tc>
        <w:tc>
          <w:tcPr>
            <w:tcW w:w="2040" w:type="dxa"/>
            <w:shd w:val="clear" w:color="auto" w:fill="auto"/>
          </w:tcPr>
          <w:p w:rsidR="00416B8E" w:rsidRPr="00326DC6" w:rsidRDefault="00444755" w:rsidP="00326DC6">
            <w:pPr>
              <w:rPr>
                <w:rFonts w:ascii="Arial" w:hAnsi="Arial" w:cs="Arial"/>
                <w:sz w:val="16"/>
                <w:szCs w:val="16"/>
              </w:rPr>
            </w:pPr>
            <w:r>
              <w:rPr>
                <w:rFonts w:ascii="Arial" w:hAnsi="Arial" w:cs="Arial"/>
                <w:noProof/>
                <w:sz w:val="16"/>
                <w:szCs w:val="16"/>
              </w:rPr>
              <w:pict>
                <v:shape id="_x0000_s1058" type="#_x0000_t201" style="position:absolute;margin-left:34.9pt;margin-top:3.35pt;width:16.5pt;height:19.5pt;z-index:251658240;mso-position-horizontal-relative:text;mso-position-vertical-relative:text" o:preferrelative="t" wrapcoords="-982 0 -982 21228 21600 21228 21600 0 -982 0" filled="f" stroked="f">
                  <v:imagedata r:id="rId12" o:title=""/>
                  <o:lock v:ext="edit" aspectratio="t"/>
                  <w10:wrap type="tight"/>
                </v:shape>
                <w:control r:id="rId13" w:name="CheckBox11" w:shapeid="_x0000_s1058"/>
              </w:pict>
            </w:r>
          </w:p>
        </w:tc>
        <w:tc>
          <w:tcPr>
            <w:tcW w:w="2250" w:type="dxa"/>
          </w:tcPr>
          <w:p w:rsidR="00326DC6" w:rsidRPr="00326DC6" w:rsidRDefault="00326DC6" w:rsidP="00326DC6">
            <w:pPr>
              <w:ind w:left="72"/>
              <w:rPr>
                <w:rFonts w:ascii="Arial" w:hAnsi="Arial" w:cs="Arial"/>
                <w:sz w:val="20"/>
                <w:szCs w:val="20"/>
              </w:rPr>
            </w:pPr>
          </w:p>
          <w:p w:rsidR="00416B8E" w:rsidRPr="00FE253C" w:rsidRDefault="00416B8E" w:rsidP="00416B8E">
            <w:pPr>
              <w:pStyle w:val="ListParagraph"/>
              <w:numPr>
                <w:ilvl w:val="0"/>
                <w:numId w:val="14"/>
              </w:numPr>
              <w:ind w:left="252" w:hanging="180"/>
              <w:rPr>
                <w:rFonts w:ascii="Arial" w:hAnsi="Arial" w:cs="Arial"/>
                <w:sz w:val="20"/>
                <w:szCs w:val="20"/>
              </w:rPr>
            </w:pPr>
            <w:r w:rsidRPr="00FE253C">
              <w:rPr>
                <w:rFonts w:ascii="Arial" w:hAnsi="Arial" w:cs="Arial"/>
              </w:rPr>
              <w:t>Mock board exams (CRT, RRT, CSE)</w:t>
            </w:r>
          </w:p>
        </w:tc>
      </w:tr>
      <w:tr w:rsidR="00416B8E" w:rsidRPr="00FE253C" w:rsidTr="00326DC6">
        <w:trPr>
          <w:trHeight w:val="274"/>
        </w:trPr>
        <w:tc>
          <w:tcPr>
            <w:tcW w:w="4440" w:type="dxa"/>
            <w:shd w:val="clear" w:color="auto" w:fill="FFFFFF"/>
            <w:vAlign w:val="center"/>
          </w:tcPr>
          <w:p w:rsidR="00FE253C" w:rsidRDefault="00FE253C" w:rsidP="00416B8E">
            <w:pPr>
              <w:rPr>
                <w:rFonts w:ascii="Arial" w:hAnsi="Arial" w:cs="Arial"/>
                <w:b/>
                <w:sz w:val="20"/>
                <w:szCs w:val="20"/>
              </w:rPr>
            </w:pPr>
          </w:p>
          <w:p w:rsidR="00416B8E" w:rsidRDefault="00416B8E" w:rsidP="00416B8E">
            <w:pPr>
              <w:rPr>
                <w:rFonts w:ascii="Arial" w:hAnsi="Arial" w:cs="Arial"/>
                <w:sz w:val="20"/>
                <w:szCs w:val="20"/>
              </w:rPr>
            </w:pPr>
            <w:r w:rsidRPr="00FE253C">
              <w:rPr>
                <w:rFonts w:ascii="Arial" w:hAnsi="Arial" w:cs="Arial"/>
                <w:b/>
                <w:sz w:val="20"/>
                <w:szCs w:val="20"/>
              </w:rPr>
              <w:t xml:space="preserve">3) </w:t>
            </w:r>
            <w:r w:rsidRPr="00FE253C">
              <w:rPr>
                <w:rFonts w:ascii="Arial" w:hAnsi="Arial" w:cs="Arial"/>
                <w:sz w:val="20"/>
                <w:szCs w:val="20"/>
              </w:rPr>
              <w:t>Perform all prescribed therapeutic modalities and diagnostic procedures relevant to the job description of advanced respiratory care practitioners.</w:t>
            </w:r>
          </w:p>
          <w:p w:rsidR="00FE253C" w:rsidRPr="00FE253C" w:rsidRDefault="00FE253C" w:rsidP="00416B8E">
            <w:pPr>
              <w:rPr>
                <w:rFonts w:ascii="Arial" w:hAnsi="Arial" w:cs="Arial"/>
                <w:sz w:val="20"/>
                <w:szCs w:val="20"/>
              </w:rPr>
            </w:pPr>
          </w:p>
        </w:tc>
        <w:tc>
          <w:tcPr>
            <w:tcW w:w="1800" w:type="dxa"/>
          </w:tcPr>
          <w:p w:rsidR="00FE253C" w:rsidRDefault="00FE253C" w:rsidP="00416B8E">
            <w:pPr>
              <w:jc w:val="center"/>
              <w:rPr>
                <w:rFonts w:ascii="Arial" w:hAnsi="Arial" w:cs="Arial"/>
              </w:rPr>
            </w:pPr>
          </w:p>
          <w:p w:rsidR="00416B8E" w:rsidRPr="00FE253C" w:rsidRDefault="00416B8E" w:rsidP="00416B8E">
            <w:pPr>
              <w:jc w:val="center"/>
              <w:rPr>
                <w:rFonts w:ascii="Arial" w:hAnsi="Arial" w:cs="Arial"/>
                <w:sz w:val="20"/>
                <w:szCs w:val="20"/>
              </w:rPr>
            </w:pPr>
            <w:r w:rsidRPr="00FE253C">
              <w:rPr>
                <w:rFonts w:ascii="Arial" w:hAnsi="Arial" w:cs="Arial"/>
              </w:rPr>
              <w:t xml:space="preserve">RET 280  </w:t>
            </w:r>
          </w:p>
        </w:tc>
        <w:tc>
          <w:tcPr>
            <w:tcW w:w="2040" w:type="dxa"/>
            <w:shd w:val="clear" w:color="auto" w:fill="auto"/>
          </w:tcPr>
          <w:p w:rsidR="00416B8E" w:rsidRPr="00FE253C" w:rsidRDefault="00444755" w:rsidP="00326DC6">
            <w:pPr>
              <w:jc w:val="center"/>
              <w:rPr>
                <w:rFonts w:ascii="Arial" w:hAnsi="Arial" w:cs="Arial"/>
                <w:sz w:val="16"/>
                <w:szCs w:val="16"/>
              </w:rPr>
            </w:pPr>
            <w:r>
              <w:rPr>
                <w:rFonts w:ascii="Arial" w:hAnsi="Arial" w:cs="Arial"/>
                <w:noProof/>
                <w:sz w:val="16"/>
                <w:szCs w:val="16"/>
              </w:rPr>
              <w:pict>
                <v:shape id="_x0000_s1059" type="#_x0000_t201" style="position:absolute;left:0;text-align:left;margin-left:34.9pt;margin-top:3.65pt;width:16.5pt;height:15pt;z-index:251659264;mso-position-horizontal-relative:text;mso-position-vertical-relative:text" o:preferrelative="t" wrapcoords="-982 0 -982 21228 21600 21228 21600 0 -982 0" filled="f" stroked="f">
                  <v:imagedata r:id="rId10" o:title=""/>
                  <o:lock v:ext="edit" aspectratio="t"/>
                  <w10:wrap type="tight"/>
                </v:shape>
                <w:control r:id="rId14" w:name="CheckBox12" w:shapeid="_x0000_s1059"/>
              </w:pict>
            </w:r>
          </w:p>
        </w:tc>
        <w:tc>
          <w:tcPr>
            <w:tcW w:w="2250" w:type="dxa"/>
          </w:tcPr>
          <w:p w:rsidR="00326DC6" w:rsidRPr="00326DC6" w:rsidRDefault="00326DC6" w:rsidP="00326DC6">
            <w:pPr>
              <w:ind w:left="72"/>
              <w:rPr>
                <w:rFonts w:ascii="Arial" w:hAnsi="Arial" w:cs="Arial"/>
                <w:sz w:val="20"/>
                <w:szCs w:val="20"/>
              </w:rPr>
            </w:pPr>
          </w:p>
          <w:p w:rsidR="00416B8E" w:rsidRPr="00FE253C" w:rsidRDefault="00416B8E" w:rsidP="00416B8E">
            <w:pPr>
              <w:pStyle w:val="ListParagraph"/>
              <w:numPr>
                <w:ilvl w:val="0"/>
                <w:numId w:val="14"/>
              </w:numPr>
              <w:ind w:left="252" w:hanging="180"/>
              <w:rPr>
                <w:rFonts w:ascii="Arial" w:hAnsi="Arial" w:cs="Arial"/>
                <w:sz w:val="20"/>
                <w:szCs w:val="20"/>
              </w:rPr>
            </w:pPr>
            <w:r w:rsidRPr="00FE253C">
              <w:rPr>
                <w:rFonts w:ascii="Arial" w:hAnsi="Arial" w:cs="Arial"/>
              </w:rPr>
              <w:t xml:space="preserve">Skill proficiencies </w:t>
            </w:r>
          </w:p>
        </w:tc>
      </w:tr>
    </w:tbl>
    <w:p w:rsidR="00416B8E" w:rsidRPr="00FE253C" w:rsidRDefault="00416B8E" w:rsidP="00791184">
      <w:pPr>
        <w:pStyle w:val="ListParagraph"/>
        <w:tabs>
          <w:tab w:val="left" w:pos="5040"/>
        </w:tabs>
        <w:ind w:right="-90"/>
        <w:rPr>
          <w:rFonts w:ascii="Arial" w:hAnsi="Arial" w:cs="Arial"/>
        </w:rPr>
      </w:pPr>
    </w:p>
    <w:p w:rsidR="005531E8" w:rsidRPr="00BF3561" w:rsidRDefault="00320CDE">
      <w:pPr>
        <w:pStyle w:val="ListParagraph"/>
        <w:numPr>
          <w:ilvl w:val="0"/>
          <w:numId w:val="22"/>
        </w:numPr>
        <w:tabs>
          <w:tab w:val="left" w:pos="5040"/>
        </w:tabs>
      </w:pPr>
      <w:r w:rsidRPr="00326DC6">
        <w:t>For the assessment methods</w:t>
      </w:r>
      <w:r w:rsidRPr="00BF3561">
        <w:t xml:space="preserve"> listed in the table above, w</w:t>
      </w:r>
      <w:r w:rsidR="00A63ACE" w:rsidRPr="00BF3561">
        <w:t xml:space="preserve">hat were the results?  </w:t>
      </w:r>
    </w:p>
    <w:p w:rsidR="003345AA" w:rsidRDefault="003345AA" w:rsidP="00BF3561">
      <w:pPr>
        <w:pStyle w:val="ListParagraph"/>
        <w:tabs>
          <w:tab w:val="left" w:pos="5040"/>
        </w:tabs>
        <w:rPr>
          <w:rFonts w:ascii="Arial" w:hAnsi="Arial" w:cs="Arial"/>
          <w:b/>
        </w:rPr>
      </w:pPr>
    </w:p>
    <w:p w:rsidR="00BF3561" w:rsidRPr="003345AA" w:rsidRDefault="003345AA" w:rsidP="00BF3561">
      <w:pPr>
        <w:pStyle w:val="ListParagraph"/>
        <w:tabs>
          <w:tab w:val="left" w:pos="5040"/>
        </w:tabs>
        <w:rPr>
          <w:rFonts w:ascii="Arial" w:hAnsi="Arial" w:cs="Arial"/>
          <w:b/>
        </w:rPr>
      </w:pPr>
      <w:r w:rsidRPr="003345AA">
        <w:rPr>
          <w:rFonts w:ascii="Arial" w:hAnsi="Arial" w:cs="Arial"/>
          <w:b/>
        </w:rPr>
        <w:t xml:space="preserve">All </w:t>
      </w:r>
      <w:r>
        <w:rPr>
          <w:rFonts w:ascii="Arial" w:hAnsi="Arial" w:cs="Arial"/>
          <w:b/>
        </w:rPr>
        <w:t xml:space="preserve">students must successfully complete all of the assessments listed above or they do not graduate.  In a few cases, the mock boards may need to be taken a second time during the capstone course to achieve the required competency, but all students do pass by the end of the quarter.   Performance on these assessments (especially the mock board exams) correlates highly with </w:t>
      </w:r>
      <w:r w:rsidR="0088047C">
        <w:rPr>
          <w:rFonts w:ascii="Arial" w:hAnsi="Arial" w:cs="Arial"/>
          <w:b/>
        </w:rPr>
        <w:t xml:space="preserve">the results achieved on the examinations post-graduation.  </w:t>
      </w:r>
    </w:p>
    <w:p w:rsidR="00BF3561" w:rsidRPr="00BF3561" w:rsidRDefault="00BF3561" w:rsidP="00BF3561">
      <w:pPr>
        <w:pStyle w:val="ListParagraph"/>
        <w:tabs>
          <w:tab w:val="left" w:pos="5040"/>
        </w:tabs>
      </w:pPr>
    </w:p>
    <w:p w:rsidR="00BF3561" w:rsidRP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3345AA" w:rsidRDefault="003345AA" w:rsidP="00BF3561">
      <w:pPr>
        <w:pStyle w:val="ListParagraph"/>
        <w:tabs>
          <w:tab w:val="left" w:pos="5040"/>
        </w:tabs>
        <w:rPr>
          <w:rFonts w:ascii="Arial" w:hAnsi="Arial" w:cs="Arial"/>
          <w:b/>
        </w:rPr>
      </w:pPr>
    </w:p>
    <w:p w:rsidR="00BF3561" w:rsidRPr="003345AA" w:rsidRDefault="003345AA" w:rsidP="00BF3561">
      <w:pPr>
        <w:pStyle w:val="ListParagraph"/>
        <w:tabs>
          <w:tab w:val="left" w:pos="5040"/>
        </w:tabs>
        <w:rPr>
          <w:rFonts w:ascii="Arial" w:hAnsi="Arial" w:cs="Arial"/>
          <w:b/>
        </w:rPr>
      </w:pPr>
      <w:r>
        <w:rPr>
          <w:rFonts w:ascii="Arial" w:hAnsi="Arial" w:cs="Arial"/>
          <w:b/>
        </w:rPr>
        <w:t>The program faculty members consistently review the data from the summative assessments to identify areas for improvement.  Major changes are made when new examination matrices are provided, and/or significant decreases in</w:t>
      </w:r>
      <w:r w:rsidR="00444755">
        <w:rPr>
          <w:rFonts w:ascii="Arial" w:hAnsi="Arial" w:cs="Arial"/>
          <w:b/>
        </w:rPr>
        <w:t xml:space="preserve"> graduate performance is noted on the examinations or from the graduate and employer surveys.</w:t>
      </w:r>
      <w:r>
        <w:rPr>
          <w:rFonts w:ascii="Arial" w:hAnsi="Arial" w:cs="Arial"/>
          <w:b/>
        </w:rPr>
        <w:t xml:space="preserve">  No additional changes were required this past year. </w:t>
      </w:r>
    </w:p>
    <w:p w:rsidR="00BF3561" w:rsidRDefault="00BF3561" w:rsidP="00BF3561">
      <w:pPr>
        <w:pStyle w:val="ListParagraph"/>
        <w:tabs>
          <w:tab w:val="left" w:pos="5040"/>
        </w:tabs>
      </w:pPr>
    </w:p>
    <w:p w:rsidR="00691D45" w:rsidRDefault="00691D45" w:rsidP="00BF3561">
      <w:pPr>
        <w:pStyle w:val="ListParagraph"/>
        <w:tabs>
          <w:tab w:val="left" w:pos="5040"/>
        </w:tabs>
      </w:pPr>
    </w:p>
    <w:p w:rsidR="00691D45" w:rsidRDefault="00691D45" w:rsidP="00BF3561">
      <w:pPr>
        <w:pStyle w:val="ListParagraph"/>
        <w:tabs>
          <w:tab w:val="left" w:pos="5040"/>
        </w:tabs>
      </w:pPr>
    </w:p>
    <w:p w:rsidR="00691D45" w:rsidRPr="00BF3561" w:rsidRDefault="00691D45"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lastRenderedPageBreak/>
        <w:t>How will you determine whether those changes had an impact?</w:t>
      </w:r>
      <w:r w:rsidR="00BF3561" w:rsidRPr="00BF3561">
        <w:t xml:space="preserve"> </w:t>
      </w:r>
    </w:p>
    <w:p w:rsidR="001B13D2" w:rsidRDefault="001B13D2" w:rsidP="00BF3561">
      <w:pPr>
        <w:pStyle w:val="ListParagraph"/>
        <w:tabs>
          <w:tab w:val="left" w:pos="5040"/>
        </w:tabs>
        <w:rPr>
          <w:rFonts w:ascii="Arial" w:hAnsi="Arial" w:cs="Arial"/>
          <w:b/>
        </w:rPr>
      </w:pPr>
    </w:p>
    <w:p w:rsidR="00BF3561" w:rsidRDefault="0088047C" w:rsidP="00BF3561">
      <w:pPr>
        <w:pStyle w:val="ListParagraph"/>
        <w:tabs>
          <w:tab w:val="left" w:pos="5040"/>
        </w:tabs>
        <w:rPr>
          <w:rFonts w:ascii="Arial" w:hAnsi="Arial" w:cs="Arial"/>
          <w:b/>
        </w:rPr>
      </w:pPr>
      <w:r w:rsidRPr="00444755">
        <w:rPr>
          <w:rFonts w:ascii="Arial" w:hAnsi="Arial" w:cs="Arial"/>
          <w:b/>
        </w:rPr>
        <w:t xml:space="preserve">Any changes implemented would be expected to increase/improve poor results </w:t>
      </w:r>
      <w:r w:rsidR="00E2625D">
        <w:rPr>
          <w:rFonts w:ascii="Arial" w:hAnsi="Arial" w:cs="Arial"/>
          <w:b/>
        </w:rPr>
        <w:t xml:space="preserve">within a few years after being implemented. </w:t>
      </w:r>
    </w:p>
    <w:p w:rsidR="00691D45" w:rsidRPr="00444755" w:rsidRDefault="00691D45" w:rsidP="00BF3561">
      <w:pPr>
        <w:pStyle w:val="ListParagraph"/>
        <w:tabs>
          <w:tab w:val="left" w:pos="5040"/>
        </w:tabs>
        <w:rPr>
          <w:rFonts w:ascii="Arial" w:hAnsi="Arial" w:cs="Arial"/>
          <w:b/>
        </w:rPr>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Default="00BF3561" w:rsidP="00034CE6">
      <w:pPr>
        <w:tabs>
          <w:tab w:val="left" w:pos="5040"/>
        </w:tabs>
      </w:pPr>
    </w:p>
    <w:p w:rsidR="00F17C08" w:rsidRDefault="00F17C08" w:rsidP="00326DC6">
      <w:pPr>
        <w:tabs>
          <w:tab w:val="left" w:pos="5040"/>
        </w:tabs>
        <w:ind w:left="720" w:hanging="360"/>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326DC6" w:rsidRDefault="00326DC6" w:rsidP="00326DC6">
      <w:pPr>
        <w:tabs>
          <w:tab w:val="left" w:pos="5040"/>
        </w:tabs>
        <w:ind w:left="720" w:hanging="360"/>
      </w:pPr>
    </w:p>
    <w:p w:rsidR="00326DC6" w:rsidRPr="00326DC6" w:rsidRDefault="00326DC6" w:rsidP="00326DC6">
      <w:pPr>
        <w:tabs>
          <w:tab w:val="left" w:pos="5040"/>
        </w:tabs>
        <w:ind w:left="720" w:hanging="360"/>
        <w:rPr>
          <w:b/>
        </w:rPr>
      </w:pPr>
      <w:r>
        <w:rPr>
          <w:rFonts w:ascii="Arial" w:hAnsi="Arial" w:cs="Arial"/>
        </w:rPr>
        <w:tab/>
      </w:r>
      <w:r w:rsidRPr="00326DC6">
        <w:rPr>
          <w:rFonts w:ascii="Arial" w:hAnsi="Arial" w:cs="Arial"/>
          <w:b/>
        </w:rPr>
        <w:t>N/A</w:t>
      </w:r>
      <w:r w:rsidR="0088047C">
        <w:rPr>
          <w:rFonts w:ascii="Arial" w:hAnsi="Arial" w:cs="Arial"/>
          <w:b/>
        </w:rPr>
        <w:t>, but if it is implemented under the semester format, all sections of a course would utilize the same assignments and examinations.  Consistency across sections and/or instructors would be evaluated and assured.</w:t>
      </w:r>
      <w:r w:rsidRPr="00326DC6">
        <w:rPr>
          <w:b/>
        </w:rPr>
        <w:tab/>
      </w:r>
    </w:p>
    <w:p w:rsidR="00BA3246" w:rsidRDefault="00BA3246" w:rsidP="00326DC6">
      <w:pPr>
        <w:spacing w:after="200" w:line="276" w:lineRule="auto"/>
        <w:ind w:left="540" w:hanging="360"/>
        <w:rPr>
          <w:b/>
          <w:u w:val="single"/>
        </w:rPr>
      </w:pPr>
    </w:p>
    <w:p w:rsidR="00FA24D1" w:rsidRPr="00034CE6" w:rsidRDefault="00CC66AD" w:rsidP="00BA3246">
      <w:pPr>
        <w:spacing w:after="200" w:line="276" w:lineRule="auto"/>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 xml:space="preserve">FY </w:t>
      </w:r>
      <w:r w:rsidRPr="00634360">
        <w:rPr>
          <w:b/>
          <w:u w:val="single"/>
        </w:rPr>
        <w:t>10</w:t>
      </w:r>
      <w:r w:rsidR="00634360" w:rsidRPr="00634360">
        <w:rPr>
          <w:b/>
          <w:u w:val="single"/>
        </w:rPr>
        <w:t>-11</w:t>
      </w:r>
      <w:r w:rsidRPr="00827AE5">
        <w:rPr>
          <w:b/>
        </w:rPr>
        <w:t>:</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w:t>
      </w:r>
      <w:r w:rsidR="00634360">
        <w:t>10</w:t>
      </w:r>
      <w:r w:rsidR="00320CDE" w:rsidRPr="00A36DEE">
        <w:t>-1</w:t>
      </w:r>
      <w:r w:rsidR="00634360">
        <w:t>1</w:t>
      </w:r>
      <w:r w:rsidR="00320CDE" w:rsidRPr="00A36DEE">
        <w:t xml:space="preserve">?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B313B5" w:rsidRDefault="00B313B5" w:rsidP="00827AE5">
      <w:pPr>
        <w:pStyle w:val="ListParagraph"/>
        <w:tabs>
          <w:tab w:val="left" w:pos="5040"/>
        </w:tabs>
        <w:rPr>
          <w:rFonts w:ascii="Arial" w:hAnsi="Arial" w:cs="Arial"/>
          <w:b/>
        </w:rPr>
      </w:pPr>
    </w:p>
    <w:p w:rsidR="00FA24D1" w:rsidRPr="00F94584" w:rsidRDefault="00F94584" w:rsidP="00827AE5">
      <w:pPr>
        <w:pStyle w:val="ListParagraph"/>
        <w:tabs>
          <w:tab w:val="left" w:pos="5040"/>
        </w:tabs>
        <w:rPr>
          <w:b/>
        </w:rPr>
      </w:pPr>
      <w:r>
        <w:rPr>
          <w:rFonts w:ascii="Arial" w:hAnsi="Arial" w:cs="Arial"/>
          <w:b/>
        </w:rPr>
        <w:t>Efforts were focused on semester conversion and the accreditation renewal process.  A competitive admissions process was research, approved and implemented.  However, results will not be seen until the 2012 cohort graduates in 2014.</w:t>
      </w: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w:t>
      </w:r>
      <w:r w:rsidR="00634360">
        <w:rPr>
          <w:b/>
          <w:u w:val="single"/>
        </w:rPr>
        <w:t>1</w:t>
      </w:r>
      <w:r w:rsidRPr="00660080">
        <w:rPr>
          <w:b/>
          <w:u w:val="single"/>
        </w:rPr>
        <w:t>-1</w:t>
      </w:r>
      <w:r w:rsidR="00634360">
        <w:rPr>
          <w:b/>
          <w:u w:val="single"/>
        </w:rPr>
        <w:t>2</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w:t>
      </w:r>
      <w:r w:rsidR="00634360">
        <w:t>1</w:t>
      </w:r>
      <w:r w:rsidR="00FA24D1" w:rsidRPr="00A36DEE">
        <w:t>-1</w:t>
      </w:r>
      <w:r w:rsidR="00634360">
        <w:t>2</w:t>
      </w:r>
      <w:r w:rsidR="00FA24D1" w:rsidRPr="00A36DEE">
        <w:t>?</w:t>
      </w:r>
      <w:r w:rsidR="00FA24D1">
        <w:t xml:space="preserve">  How will you know whether you have been successful?</w:t>
      </w:r>
    </w:p>
    <w:p w:rsidR="00B313B5" w:rsidRDefault="00B313B5" w:rsidP="00FA24D1">
      <w:pPr>
        <w:pStyle w:val="ListParagraph"/>
        <w:tabs>
          <w:tab w:val="left" w:pos="5040"/>
        </w:tabs>
        <w:rPr>
          <w:rFonts w:ascii="Arial" w:hAnsi="Arial" w:cs="Arial"/>
          <w:b/>
        </w:rPr>
      </w:pPr>
    </w:p>
    <w:p w:rsidR="00FA24D1" w:rsidRPr="00E2625D" w:rsidRDefault="00E2625D" w:rsidP="00FA24D1">
      <w:pPr>
        <w:pStyle w:val="ListParagraph"/>
        <w:tabs>
          <w:tab w:val="left" w:pos="5040"/>
        </w:tabs>
        <w:rPr>
          <w:rFonts w:ascii="Arial" w:hAnsi="Arial" w:cs="Arial"/>
          <w:b/>
        </w:rPr>
      </w:pPr>
      <w:r>
        <w:rPr>
          <w:rFonts w:ascii="Arial" w:hAnsi="Arial" w:cs="Arial"/>
          <w:b/>
        </w:rPr>
        <w:t xml:space="preserve">With the change to semesters, the department constituents will focus primarily on assuring quality and consistency in the new curricula.  We will know we are successful if </w:t>
      </w:r>
      <w:r w:rsidR="00F94584">
        <w:rPr>
          <w:rFonts w:ascii="Arial" w:hAnsi="Arial" w:cs="Arial"/>
          <w:b/>
        </w:rPr>
        <w:t xml:space="preserve">performance by </w:t>
      </w:r>
      <w:r>
        <w:rPr>
          <w:rFonts w:ascii="Arial" w:hAnsi="Arial" w:cs="Arial"/>
          <w:b/>
        </w:rPr>
        <w:t>the graduate</w:t>
      </w:r>
      <w:r w:rsidR="00F94584">
        <w:rPr>
          <w:rFonts w:ascii="Arial" w:hAnsi="Arial" w:cs="Arial"/>
          <w:b/>
        </w:rPr>
        <w:t>s</w:t>
      </w:r>
      <w:r>
        <w:rPr>
          <w:rFonts w:ascii="Arial" w:hAnsi="Arial" w:cs="Arial"/>
          <w:b/>
        </w:rPr>
        <w:t xml:space="preserve"> on summative assessments do</w:t>
      </w:r>
      <w:r w:rsidR="00F94584">
        <w:rPr>
          <w:rFonts w:ascii="Arial" w:hAnsi="Arial" w:cs="Arial"/>
          <w:b/>
        </w:rPr>
        <w:t>es</w:t>
      </w:r>
      <w:r>
        <w:rPr>
          <w:rFonts w:ascii="Arial" w:hAnsi="Arial" w:cs="Arial"/>
          <w:b/>
        </w:rPr>
        <w:t xml:space="preserve"> not decline.</w:t>
      </w:r>
    </w:p>
    <w:p w:rsidR="00847243" w:rsidRDefault="00EF3AC6" w:rsidP="00FA24D1">
      <w:pPr>
        <w:pStyle w:val="ListParagraph"/>
        <w:tabs>
          <w:tab w:val="left" w:pos="5040"/>
        </w:tabs>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-112395</wp:posOffset>
                </wp:positionH>
                <wp:positionV relativeFrom="paragraph">
                  <wp:posOffset>173556</wp:posOffset>
                </wp:positionV>
                <wp:extent cx="6470015" cy="451485"/>
                <wp:effectExtent l="0" t="0" r="26035" b="2540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451485"/>
                        </a:xfrm>
                        <a:prstGeom prst="rect">
                          <a:avLst/>
                        </a:prstGeom>
                        <a:solidFill>
                          <a:srgbClr val="FFFFFF"/>
                        </a:solidFill>
                        <a:ln w="9525">
                          <a:solidFill>
                            <a:srgbClr val="000000"/>
                          </a:solidFill>
                          <a:miter lim="800000"/>
                          <a:headEnd/>
                          <a:tailEnd/>
                        </a:ln>
                      </wps:spPr>
                      <wps:txbx>
                        <w:txbxContent>
                          <w:p w:rsidR="001B13D2" w:rsidRDefault="001B13D2" w:rsidP="00847243">
                            <w:r>
                              <w:t>Questions regarding completion of the Annual Update?  Please contact the Director of Curriculum and Assessment at 512-2789 to schedule a time to review the template and ask any questions.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8.85pt;margin-top:13.65pt;width:509.45pt;height:35.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">
                <v:textbox style="mso-fit-shape-to-text:t">
                  <w:txbxContent>
                    <w:p w:rsidR="001B13D2" w:rsidRDefault="001B13D2" w:rsidP="00847243">
                      <w:r>
                        <w:t>Questions regarding completion of the Annual Update?  Please contact the Director of Curriculum and Assessment at 512-2789 to schedule a time to review the template and ask any questions.</w:t>
                      </w:r>
                    </w:p>
                  </w:txbxContent>
                </v:textbox>
              </v:shape>
            </w:pict>
          </mc:Fallback>
        </mc:AlternateContent>
      </w:r>
    </w:p>
    <w:sectPr w:rsidR="00847243" w:rsidSect="00CA04B1">
      <w:footerReference w:type="default" r:id="rId15"/>
      <w:pgSz w:w="12240" w:h="15840"/>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3D2" w:rsidRDefault="001B13D2" w:rsidP="0094204C">
      <w:r>
        <w:separator/>
      </w:r>
    </w:p>
  </w:endnote>
  <w:endnote w:type="continuationSeparator" w:id="0">
    <w:p w:rsidR="001B13D2" w:rsidRDefault="001B13D2"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3D2" w:rsidRPr="00E16205" w:rsidRDefault="001B13D2"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1B13D2" w:rsidRDefault="001B13D2">
    <w:pPr>
      <w:pStyle w:val="Footer"/>
    </w:pPr>
  </w:p>
  <w:p w:rsidR="001B13D2" w:rsidRDefault="001B1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3D2" w:rsidRDefault="001B13D2" w:rsidP="0094204C">
      <w:r>
        <w:separator/>
      </w:r>
    </w:p>
  </w:footnote>
  <w:footnote w:type="continuationSeparator" w:id="0">
    <w:p w:rsidR="001B13D2" w:rsidRDefault="001B13D2"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35AC3"/>
    <w:multiLevelType w:val="hybridMultilevel"/>
    <w:tmpl w:val="930012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22"/>
  </w:num>
  <w:num w:numId="4">
    <w:abstractNumId w:val="11"/>
  </w:num>
  <w:num w:numId="5">
    <w:abstractNumId w:val="14"/>
  </w:num>
  <w:num w:numId="6">
    <w:abstractNumId w:val="9"/>
  </w:num>
  <w:num w:numId="7">
    <w:abstractNumId w:val="12"/>
  </w:num>
  <w:num w:numId="8">
    <w:abstractNumId w:val="15"/>
  </w:num>
  <w:num w:numId="9">
    <w:abstractNumId w:val="21"/>
  </w:num>
  <w:num w:numId="10">
    <w:abstractNumId w:val="18"/>
  </w:num>
  <w:num w:numId="11">
    <w:abstractNumId w:val="10"/>
  </w:num>
  <w:num w:numId="12">
    <w:abstractNumId w:val="1"/>
  </w:num>
  <w:num w:numId="13">
    <w:abstractNumId w:val="2"/>
  </w:num>
  <w:num w:numId="14">
    <w:abstractNumId w:val="19"/>
  </w:num>
  <w:num w:numId="15">
    <w:abstractNumId w:val="17"/>
  </w:num>
  <w:num w:numId="16">
    <w:abstractNumId w:val="5"/>
  </w:num>
  <w:num w:numId="17">
    <w:abstractNumId w:val="7"/>
  </w:num>
  <w:num w:numId="18">
    <w:abstractNumId w:val="13"/>
  </w:num>
  <w:num w:numId="19">
    <w:abstractNumId w:val="4"/>
  </w:num>
  <w:num w:numId="20">
    <w:abstractNumId w:val="8"/>
  </w:num>
  <w:num w:numId="21">
    <w:abstractNumId w:val="9"/>
  </w:num>
  <w:num w:numId="22">
    <w:abstractNumId w:val="20"/>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6DF9"/>
    <w:rsid w:val="00056964"/>
    <w:rsid w:val="000616F3"/>
    <w:rsid w:val="00063778"/>
    <w:rsid w:val="00065129"/>
    <w:rsid w:val="00071B26"/>
    <w:rsid w:val="000A4EE0"/>
    <w:rsid w:val="000B0D23"/>
    <w:rsid w:val="000D3A39"/>
    <w:rsid w:val="000E4EFE"/>
    <w:rsid w:val="0010227C"/>
    <w:rsid w:val="001026AA"/>
    <w:rsid w:val="001201D5"/>
    <w:rsid w:val="00120E81"/>
    <w:rsid w:val="001240D0"/>
    <w:rsid w:val="00181E76"/>
    <w:rsid w:val="00183806"/>
    <w:rsid w:val="00184AE5"/>
    <w:rsid w:val="00195B7B"/>
    <w:rsid w:val="001A1B67"/>
    <w:rsid w:val="001B13D2"/>
    <w:rsid w:val="001B6007"/>
    <w:rsid w:val="001D0819"/>
    <w:rsid w:val="001D5757"/>
    <w:rsid w:val="001D7080"/>
    <w:rsid w:val="001E7137"/>
    <w:rsid w:val="001F29DF"/>
    <w:rsid w:val="002245AB"/>
    <w:rsid w:val="0022692B"/>
    <w:rsid w:val="00246C30"/>
    <w:rsid w:val="0025548D"/>
    <w:rsid w:val="00255C18"/>
    <w:rsid w:val="00256114"/>
    <w:rsid w:val="00265A99"/>
    <w:rsid w:val="00266F2F"/>
    <w:rsid w:val="0026791C"/>
    <w:rsid w:val="00281C63"/>
    <w:rsid w:val="0028603C"/>
    <w:rsid w:val="00293D8D"/>
    <w:rsid w:val="002B2DB1"/>
    <w:rsid w:val="002C1797"/>
    <w:rsid w:val="002C56AC"/>
    <w:rsid w:val="002D2748"/>
    <w:rsid w:val="002E175B"/>
    <w:rsid w:val="002E28B0"/>
    <w:rsid w:val="002E548B"/>
    <w:rsid w:val="00303041"/>
    <w:rsid w:val="0030733F"/>
    <w:rsid w:val="00320CDE"/>
    <w:rsid w:val="003233E7"/>
    <w:rsid w:val="003254BC"/>
    <w:rsid w:val="00326DC6"/>
    <w:rsid w:val="00330692"/>
    <w:rsid w:val="003345AA"/>
    <w:rsid w:val="003454F6"/>
    <w:rsid w:val="003734ED"/>
    <w:rsid w:val="003A298D"/>
    <w:rsid w:val="003B5176"/>
    <w:rsid w:val="003B77B6"/>
    <w:rsid w:val="003C1C8E"/>
    <w:rsid w:val="003D2587"/>
    <w:rsid w:val="00414645"/>
    <w:rsid w:val="00416B8E"/>
    <w:rsid w:val="00424E5D"/>
    <w:rsid w:val="00425F46"/>
    <w:rsid w:val="00444755"/>
    <w:rsid w:val="00461386"/>
    <w:rsid w:val="00462D00"/>
    <w:rsid w:val="004712EB"/>
    <w:rsid w:val="004818E1"/>
    <w:rsid w:val="00481A7E"/>
    <w:rsid w:val="0048427F"/>
    <w:rsid w:val="00495C9D"/>
    <w:rsid w:val="00496A63"/>
    <w:rsid w:val="004B7492"/>
    <w:rsid w:val="004C2B30"/>
    <w:rsid w:val="004D3BE1"/>
    <w:rsid w:val="004D3C8C"/>
    <w:rsid w:val="004E47AA"/>
    <w:rsid w:val="004E4BD6"/>
    <w:rsid w:val="004F41D5"/>
    <w:rsid w:val="00516463"/>
    <w:rsid w:val="0054350A"/>
    <w:rsid w:val="005531E8"/>
    <w:rsid w:val="00573ECD"/>
    <w:rsid w:val="0057608A"/>
    <w:rsid w:val="005863ED"/>
    <w:rsid w:val="005864A4"/>
    <w:rsid w:val="005F7377"/>
    <w:rsid w:val="0061712A"/>
    <w:rsid w:val="00634360"/>
    <w:rsid w:val="006368CC"/>
    <w:rsid w:val="00640611"/>
    <w:rsid w:val="006532D6"/>
    <w:rsid w:val="0065453B"/>
    <w:rsid w:val="006551C4"/>
    <w:rsid w:val="00660080"/>
    <w:rsid w:val="0066607A"/>
    <w:rsid w:val="00666097"/>
    <w:rsid w:val="006835C1"/>
    <w:rsid w:val="00690A3D"/>
    <w:rsid w:val="00691D45"/>
    <w:rsid w:val="006A2AA3"/>
    <w:rsid w:val="006D5EE1"/>
    <w:rsid w:val="006E3686"/>
    <w:rsid w:val="00746675"/>
    <w:rsid w:val="007825CC"/>
    <w:rsid w:val="0078669D"/>
    <w:rsid w:val="00786F00"/>
    <w:rsid w:val="00791184"/>
    <w:rsid w:val="007C1FEF"/>
    <w:rsid w:val="007C46D3"/>
    <w:rsid w:val="007E7815"/>
    <w:rsid w:val="007F66F9"/>
    <w:rsid w:val="008056C5"/>
    <w:rsid w:val="00821011"/>
    <w:rsid w:val="00827AE5"/>
    <w:rsid w:val="00847243"/>
    <w:rsid w:val="008642E1"/>
    <w:rsid w:val="00875A7C"/>
    <w:rsid w:val="00877383"/>
    <w:rsid w:val="0088047C"/>
    <w:rsid w:val="008860C1"/>
    <w:rsid w:val="008909D4"/>
    <w:rsid w:val="008942FA"/>
    <w:rsid w:val="00897A68"/>
    <w:rsid w:val="008A6FAE"/>
    <w:rsid w:val="008F3D47"/>
    <w:rsid w:val="0094204C"/>
    <w:rsid w:val="00963DD8"/>
    <w:rsid w:val="009A69F0"/>
    <w:rsid w:val="009C1092"/>
    <w:rsid w:val="009C221C"/>
    <w:rsid w:val="009D4970"/>
    <w:rsid w:val="009E2519"/>
    <w:rsid w:val="009F2769"/>
    <w:rsid w:val="00A21E6E"/>
    <w:rsid w:val="00A30695"/>
    <w:rsid w:val="00A341DF"/>
    <w:rsid w:val="00A36DEE"/>
    <w:rsid w:val="00A6078F"/>
    <w:rsid w:val="00A63ACE"/>
    <w:rsid w:val="00A8476F"/>
    <w:rsid w:val="00AC0386"/>
    <w:rsid w:val="00AC62F8"/>
    <w:rsid w:val="00AE4AD2"/>
    <w:rsid w:val="00AE5F43"/>
    <w:rsid w:val="00AF6A23"/>
    <w:rsid w:val="00B27095"/>
    <w:rsid w:val="00B313B5"/>
    <w:rsid w:val="00B44B23"/>
    <w:rsid w:val="00B4625A"/>
    <w:rsid w:val="00B608D5"/>
    <w:rsid w:val="00B71307"/>
    <w:rsid w:val="00B81607"/>
    <w:rsid w:val="00B8227E"/>
    <w:rsid w:val="00BA3246"/>
    <w:rsid w:val="00BC5FF1"/>
    <w:rsid w:val="00BE51FF"/>
    <w:rsid w:val="00BF3561"/>
    <w:rsid w:val="00BF556C"/>
    <w:rsid w:val="00C13EF2"/>
    <w:rsid w:val="00C5365F"/>
    <w:rsid w:val="00C56C48"/>
    <w:rsid w:val="00C63B58"/>
    <w:rsid w:val="00C7001F"/>
    <w:rsid w:val="00C71F16"/>
    <w:rsid w:val="00C800A9"/>
    <w:rsid w:val="00C80222"/>
    <w:rsid w:val="00C86D2C"/>
    <w:rsid w:val="00C90C76"/>
    <w:rsid w:val="00CA04B1"/>
    <w:rsid w:val="00CA10D7"/>
    <w:rsid w:val="00CB09E0"/>
    <w:rsid w:val="00CC66AD"/>
    <w:rsid w:val="00CC69E8"/>
    <w:rsid w:val="00CE06A2"/>
    <w:rsid w:val="00D31DDA"/>
    <w:rsid w:val="00D44D7D"/>
    <w:rsid w:val="00D53959"/>
    <w:rsid w:val="00D57E53"/>
    <w:rsid w:val="00D60F74"/>
    <w:rsid w:val="00D632DC"/>
    <w:rsid w:val="00D708C3"/>
    <w:rsid w:val="00DA5E37"/>
    <w:rsid w:val="00DC0672"/>
    <w:rsid w:val="00DD42DB"/>
    <w:rsid w:val="00DF5973"/>
    <w:rsid w:val="00E12E4F"/>
    <w:rsid w:val="00E16205"/>
    <w:rsid w:val="00E25ACC"/>
    <w:rsid w:val="00E2625D"/>
    <w:rsid w:val="00E501C6"/>
    <w:rsid w:val="00E56A85"/>
    <w:rsid w:val="00E7049B"/>
    <w:rsid w:val="00E727F2"/>
    <w:rsid w:val="00E73A43"/>
    <w:rsid w:val="00E749F1"/>
    <w:rsid w:val="00E87116"/>
    <w:rsid w:val="00E90F22"/>
    <w:rsid w:val="00E96021"/>
    <w:rsid w:val="00E97968"/>
    <w:rsid w:val="00EB3C20"/>
    <w:rsid w:val="00EC0B9E"/>
    <w:rsid w:val="00EC1EB5"/>
    <w:rsid w:val="00ED0C45"/>
    <w:rsid w:val="00ED4142"/>
    <w:rsid w:val="00EF3AC6"/>
    <w:rsid w:val="00EF6E21"/>
    <w:rsid w:val="00F0239E"/>
    <w:rsid w:val="00F07EFD"/>
    <w:rsid w:val="00F1164D"/>
    <w:rsid w:val="00F1200D"/>
    <w:rsid w:val="00F154DF"/>
    <w:rsid w:val="00F17C08"/>
    <w:rsid w:val="00F27D5C"/>
    <w:rsid w:val="00F60C52"/>
    <w:rsid w:val="00F81080"/>
    <w:rsid w:val="00F86156"/>
    <w:rsid w:val="00F94584"/>
    <w:rsid w:val="00FA24D1"/>
    <w:rsid w:val="00FB231A"/>
    <w:rsid w:val="00FC1435"/>
    <w:rsid w:val="00FC45CA"/>
    <w:rsid w:val="00FE253C"/>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sinclair.edu/about/administrative/vpi/pdreview/" TargetMode="External"/><Relationship Id="rId14" Type="http://schemas.openxmlformats.org/officeDocument/2006/relationships/control" Target="activeX/activeX3.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D6EDB-A78F-4FF6-A80B-650882D6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6</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15</cp:revision>
  <dcterms:created xsi:type="dcterms:W3CDTF">2011-11-22T16:31:00Z</dcterms:created>
  <dcterms:modified xsi:type="dcterms:W3CDTF">2011-12-06T16:30:00Z</dcterms:modified>
</cp:coreProperties>
</file>