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w:t>
      </w:r>
      <w:r w:rsidR="00A6078F">
        <w:rPr>
          <w:rFonts w:ascii="Arial" w:hAnsi="Arial" w:cs="Arial"/>
          <w:b/>
          <w:sz w:val="28"/>
          <w:szCs w:val="28"/>
        </w:rPr>
        <w:t>1</w:t>
      </w:r>
      <w:r>
        <w:rPr>
          <w:rFonts w:ascii="Arial" w:hAnsi="Arial" w:cs="Arial"/>
          <w:b/>
          <w:sz w:val="28"/>
          <w:szCs w:val="28"/>
        </w:rPr>
        <w:t>-1</w:t>
      </w:r>
      <w:r w:rsidR="00A6078F">
        <w:rPr>
          <w:rFonts w:ascii="Arial" w:hAnsi="Arial" w:cs="Arial"/>
          <w:b/>
          <w:sz w:val="28"/>
          <w:szCs w:val="28"/>
        </w:rPr>
        <w:t>2</w:t>
      </w:r>
    </w:p>
    <w:p w:rsidR="001026AA" w:rsidRPr="002C2504" w:rsidRDefault="001026AA" w:rsidP="001026AA">
      <w:pPr>
        <w:jc w:val="center"/>
        <w:rPr>
          <w:rFonts w:ascii="Arial" w:hAnsi="Arial" w:cs="Arial"/>
          <w:b/>
          <w:sz w:val="28"/>
          <w:szCs w:val="28"/>
        </w:rPr>
      </w:pPr>
    </w:p>
    <w:p w:rsidR="0088399E" w:rsidRPr="00977992" w:rsidRDefault="001026AA" w:rsidP="0088399E">
      <w:pPr>
        <w:tabs>
          <w:tab w:val="left" w:pos="7920"/>
        </w:tabs>
        <w:spacing w:after="240"/>
        <w:rPr>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88399E">
        <w:rPr>
          <w:u w:val="single"/>
        </w:rPr>
        <w:t>Exercise, Nutrition &amp;</w:t>
      </w:r>
      <w:r w:rsidR="0088399E" w:rsidRPr="00977992">
        <w:rPr>
          <w:u w:val="single"/>
        </w:rPr>
        <w:t xml:space="preserve"> Sport Sciences </w:t>
      </w:r>
    </w:p>
    <w:p w:rsidR="001026AA" w:rsidRDefault="001026AA" w:rsidP="001026AA">
      <w:pPr>
        <w:tabs>
          <w:tab w:val="left" w:pos="7920"/>
        </w:tabs>
        <w:spacing w:after="240"/>
        <w:rPr>
          <w:rFonts w:ascii="Arial" w:hAnsi="Arial" w:cs="Arial"/>
          <w:u w:val="single"/>
        </w:rPr>
      </w:pP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E47AA" w:rsidRPr="004E47AA" w:rsidRDefault="000279EB" w:rsidP="004E47AA">
      <w:pPr>
        <w:pStyle w:val="ListParagraph"/>
        <w:numPr>
          <w:ilvl w:val="1"/>
          <w:numId w:val="5"/>
        </w:numPr>
        <w:rPr>
          <w:b/>
        </w:rPr>
      </w:pPr>
      <w:r>
        <w:rPr>
          <w:b/>
        </w:rPr>
        <w:t>Program</w:t>
      </w:r>
      <w:r w:rsidR="004D3C8C" w:rsidRPr="00F0239E">
        <w:rPr>
          <w:b/>
        </w:rPr>
        <w:t xml:space="preserve"> </w:t>
      </w:r>
      <w:r w:rsidR="00786F00">
        <w:rPr>
          <w:b/>
        </w:rPr>
        <w:t>Trend</w:t>
      </w:r>
      <w:r w:rsidR="004D3C8C" w:rsidRPr="00F0239E">
        <w:rPr>
          <w:b/>
        </w:rPr>
        <w:t xml:space="preserve"> Data</w:t>
      </w:r>
      <w:r w:rsidR="004E47AA" w:rsidRPr="004E47AA">
        <w:rPr>
          <w:b/>
        </w:rPr>
        <w:t xml:space="preserve">– Please include </w:t>
      </w:r>
      <w:r w:rsidR="004E47AA" w:rsidRPr="00BA3246">
        <w:rPr>
          <w:b/>
          <w:u w:val="single"/>
        </w:rPr>
        <w:t>the three most recent years of data</w:t>
      </w:r>
      <w:r w:rsidR="004E47AA" w:rsidRPr="004E47AA">
        <w:rPr>
          <w:b/>
        </w:rPr>
        <w:t xml:space="preserve"> </w:t>
      </w:r>
      <w:r w:rsidR="004E47AA">
        <w:rPr>
          <w:b/>
        </w:rPr>
        <w:t xml:space="preserve">in each area </w:t>
      </w:r>
      <w:r w:rsidR="004E47AA" w:rsidRPr="004E47AA">
        <w:rPr>
          <w:b/>
        </w:rPr>
        <w:t>so that trends may be examined.</w:t>
      </w:r>
    </w:p>
    <w:p w:rsidR="004E47AA" w:rsidRDefault="004E47AA" w:rsidP="004E47AA">
      <w:pPr>
        <w:pStyle w:val="ListParagraph"/>
        <w:rPr>
          <w:b/>
        </w:rPr>
      </w:pPr>
    </w:p>
    <w:p w:rsidR="00B44B23" w:rsidRPr="00EA68BA" w:rsidRDefault="004E47AA" w:rsidP="00EA68BA">
      <w:pPr>
        <w:pStyle w:val="ListParagraph"/>
        <w:numPr>
          <w:ilvl w:val="2"/>
          <w:numId w:val="5"/>
        </w:numPr>
        <w:rPr>
          <w:b/>
        </w:rPr>
      </w:pPr>
      <w:r>
        <w:rPr>
          <w:b/>
        </w:rPr>
        <w:t>Course Success Rates – Please report the course success rates for:</w:t>
      </w:r>
    </w:p>
    <w:p w:rsidR="004E47AA" w:rsidRDefault="004E47AA" w:rsidP="003D2587">
      <w:pPr>
        <w:pStyle w:val="ListParagraph"/>
        <w:numPr>
          <w:ilvl w:val="4"/>
          <w:numId w:val="23"/>
        </w:numPr>
        <w:rPr>
          <w:b/>
        </w:rPr>
      </w:pPr>
      <w:r>
        <w:rPr>
          <w:b/>
        </w:rPr>
        <w:t>Highest enrollment courses</w:t>
      </w:r>
    </w:p>
    <w:p w:rsidR="00FB3906" w:rsidRPr="00EA68BA" w:rsidRDefault="00FB3906" w:rsidP="00FB3906">
      <w:pPr>
        <w:pStyle w:val="ListParagraph"/>
        <w:ind w:left="3600"/>
        <w:rPr>
          <w:b/>
        </w:rPr>
      </w:pPr>
      <w:r w:rsidRPr="00EA68BA">
        <w:rPr>
          <w:b/>
        </w:rPr>
        <w:t xml:space="preserve">*PED 106 Weight Training </w:t>
      </w:r>
    </w:p>
    <w:p w:rsidR="00FB3906" w:rsidRDefault="00FB3906" w:rsidP="00FB3906">
      <w:pPr>
        <w:pStyle w:val="ListParagraph"/>
        <w:ind w:left="3600"/>
      </w:pPr>
      <w:r>
        <w:t>08-</w:t>
      </w:r>
      <w:r w:rsidR="00EA68BA">
        <w:t>09 Success</w:t>
      </w:r>
      <w:r>
        <w:t xml:space="preserve"> and Non Success Seat </w:t>
      </w:r>
      <w:r w:rsidR="00EA68BA">
        <w:t>Count 1570</w:t>
      </w:r>
    </w:p>
    <w:p w:rsidR="00FB3906" w:rsidRDefault="00FB3906" w:rsidP="00FB3906">
      <w:pPr>
        <w:pStyle w:val="ListParagraph"/>
        <w:ind w:left="3600"/>
      </w:pPr>
      <w:r>
        <w:t xml:space="preserve">     62.55% Success</w:t>
      </w:r>
    </w:p>
    <w:p w:rsidR="00FB3906" w:rsidRDefault="00FB3906" w:rsidP="00FB3906">
      <w:pPr>
        <w:pStyle w:val="ListParagraph"/>
        <w:ind w:left="3600"/>
      </w:pPr>
      <w:r>
        <w:t>09-</w:t>
      </w:r>
      <w:r w:rsidR="00EA68BA">
        <w:t>10 Success</w:t>
      </w:r>
      <w:r>
        <w:t xml:space="preserve"> and Non Success Seat Count </w:t>
      </w:r>
      <w:r w:rsidR="00EA68BA">
        <w:t>1761</w:t>
      </w:r>
    </w:p>
    <w:p w:rsidR="00FB3906" w:rsidRDefault="00FB3906" w:rsidP="00FB3906">
      <w:pPr>
        <w:pStyle w:val="ListParagraph"/>
        <w:ind w:left="3600"/>
      </w:pPr>
      <w:r>
        <w:t xml:space="preserve">     63.26% Success</w:t>
      </w:r>
    </w:p>
    <w:p w:rsidR="00FB3906" w:rsidRDefault="00FB3906" w:rsidP="00FB3906">
      <w:pPr>
        <w:pStyle w:val="ListParagraph"/>
        <w:ind w:left="3600"/>
      </w:pPr>
      <w:r>
        <w:t>10-</w:t>
      </w:r>
      <w:r w:rsidR="00EA68BA">
        <w:t>11 Success</w:t>
      </w:r>
      <w:r>
        <w:t xml:space="preserve"> and Non Success Seat Count </w:t>
      </w:r>
      <w:r w:rsidR="00EA68BA">
        <w:t>1811</w:t>
      </w:r>
    </w:p>
    <w:p w:rsidR="00BF36E8" w:rsidRPr="00FB3906" w:rsidRDefault="00FB3906" w:rsidP="00EA68BA">
      <w:pPr>
        <w:pStyle w:val="ListParagraph"/>
        <w:ind w:left="3600"/>
      </w:pPr>
      <w:r>
        <w:t xml:space="preserve">     61.13% Success</w:t>
      </w:r>
    </w:p>
    <w:p w:rsidR="00EA68BA" w:rsidRPr="00EA68BA" w:rsidRDefault="004E47AA" w:rsidP="00EA68BA">
      <w:pPr>
        <w:pStyle w:val="ListParagraph"/>
        <w:numPr>
          <w:ilvl w:val="4"/>
          <w:numId w:val="23"/>
        </w:numPr>
        <w:rPr>
          <w:rFonts w:ascii="Arial" w:hAnsi="Arial" w:cs="Arial"/>
          <w:b/>
        </w:rPr>
      </w:pPr>
      <w:r w:rsidRPr="004E47AA">
        <w:rPr>
          <w:b/>
        </w:rPr>
        <w:t>Any courses that deviate</w:t>
      </w:r>
      <w:r>
        <w:rPr>
          <w:b/>
        </w:rPr>
        <w:t xml:space="preserve"> - high and low -</w:t>
      </w:r>
      <w:r w:rsidRPr="004E47AA">
        <w:rPr>
          <w:b/>
        </w:rPr>
        <w:t xml:space="preserve"> from the typical success rate for your department</w:t>
      </w:r>
      <w:r w:rsidR="00F17C08" w:rsidRPr="004E47AA">
        <w:rPr>
          <w:b/>
        </w:rPr>
        <w:t xml:space="preserve"> </w:t>
      </w:r>
    </w:p>
    <w:p w:rsidR="00EA68BA" w:rsidRDefault="00EA68BA" w:rsidP="00EA68BA">
      <w:pPr>
        <w:pStyle w:val="ListParagraph"/>
        <w:ind w:left="3600"/>
      </w:pPr>
      <w:r w:rsidRPr="00EA68BA">
        <w:rPr>
          <w:b/>
        </w:rPr>
        <w:t>*PED 250 Introduction to Exercise Science</w:t>
      </w:r>
      <w:r>
        <w:t xml:space="preserve"> – There has been a steady increase in</w:t>
      </w:r>
      <w:r w:rsidR="0072649A">
        <w:t xml:space="preserve"> enrollment, but success rate has gone</w:t>
      </w:r>
      <w:r>
        <w:t xml:space="preserve"> down. This is reflected in the most recent 3 year data.</w:t>
      </w:r>
    </w:p>
    <w:p w:rsidR="00EA68BA" w:rsidRDefault="00EA68BA" w:rsidP="00EA68BA">
      <w:pPr>
        <w:pStyle w:val="ListParagraph"/>
        <w:ind w:left="3600"/>
      </w:pPr>
      <w:r>
        <w:t>08-09 Success and Non Success Seat Count 28</w:t>
      </w:r>
    </w:p>
    <w:p w:rsidR="00EA68BA" w:rsidRDefault="00EA68BA" w:rsidP="00EA68BA">
      <w:pPr>
        <w:pStyle w:val="ListParagraph"/>
        <w:ind w:left="3600"/>
      </w:pPr>
      <w:r>
        <w:t xml:space="preserve">     82.14% Success</w:t>
      </w:r>
    </w:p>
    <w:p w:rsidR="00EA68BA" w:rsidRDefault="00EA68BA" w:rsidP="00EA68BA">
      <w:pPr>
        <w:pStyle w:val="ListParagraph"/>
        <w:ind w:left="3600"/>
      </w:pPr>
      <w:r>
        <w:t>09-10 Success and Non Success Seat Count 48</w:t>
      </w:r>
    </w:p>
    <w:p w:rsidR="00EA68BA" w:rsidRDefault="00EA68BA" w:rsidP="00EA68BA">
      <w:pPr>
        <w:pStyle w:val="ListParagraph"/>
        <w:ind w:left="3600"/>
      </w:pPr>
      <w:r>
        <w:t xml:space="preserve">     77.08% Success</w:t>
      </w:r>
    </w:p>
    <w:p w:rsidR="00EA68BA" w:rsidRDefault="00EA68BA" w:rsidP="00EA68BA">
      <w:pPr>
        <w:pStyle w:val="ListParagraph"/>
        <w:ind w:left="3600"/>
      </w:pPr>
      <w:r>
        <w:t>10-11 Success and Non Success Seat Count 58</w:t>
      </w:r>
    </w:p>
    <w:p w:rsidR="00EA68BA" w:rsidRDefault="00EA68BA" w:rsidP="00EA68BA">
      <w:pPr>
        <w:pStyle w:val="ListParagraph"/>
        <w:ind w:left="3600"/>
      </w:pPr>
      <w:r>
        <w:t xml:space="preserve">     55.17% Success</w:t>
      </w:r>
    </w:p>
    <w:p w:rsidR="00EA68BA" w:rsidRDefault="00EA68BA" w:rsidP="00EA68BA">
      <w:pPr>
        <w:pStyle w:val="ListParagraph"/>
        <w:ind w:left="3600"/>
      </w:pPr>
      <w:r>
        <w:t xml:space="preserve">The department believes the drop in success rate is due to the fact that the course is an introduction course and students are not prepared for the rigor of the material. The course has no prerequisites. </w:t>
      </w:r>
    </w:p>
    <w:p w:rsidR="00EA68BA" w:rsidRDefault="00EA68BA" w:rsidP="00EA68BA">
      <w:pPr>
        <w:pStyle w:val="ListParagraph"/>
        <w:ind w:left="3600"/>
      </w:pPr>
    </w:p>
    <w:p w:rsidR="00EA68BA" w:rsidRDefault="00EA68BA" w:rsidP="00EA68BA">
      <w:pPr>
        <w:pStyle w:val="ListParagraph"/>
        <w:ind w:left="3600"/>
      </w:pPr>
      <w:r w:rsidRPr="00EA68BA">
        <w:rPr>
          <w:b/>
        </w:rPr>
        <w:t>*PED 193 Physical Fitness Evaluation</w:t>
      </w:r>
      <w:r>
        <w:t xml:space="preserve"> – The enrollment in this course has significantly increased over the years. 06-07 Success and Non Success Seat Count was 19 with an 84.21% success rate.</w:t>
      </w:r>
    </w:p>
    <w:p w:rsidR="00EA68BA" w:rsidRDefault="00EA68BA" w:rsidP="00EA68BA">
      <w:pPr>
        <w:pStyle w:val="ListParagraph"/>
        <w:ind w:left="3600"/>
      </w:pPr>
      <w:r>
        <w:t>08-09 Success and Non Success Seat Count 24</w:t>
      </w:r>
    </w:p>
    <w:p w:rsidR="00EA68BA" w:rsidRDefault="00EA68BA" w:rsidP="00EA68BA">
      <w:pPr>
        <w:pStyle w:val="ListParagraph"/>
        <w:ind w:left="3600"/>
      </w:pPr>
      <w:r>
        <w:t xml:space="preserve">     100% Success</w:t>
      </w:r>
    </w:p>
    <w:p w:rsidR="00EA68BA" w:rsidRDefault="00EA68BA" w:rsidP="00EA68BA">
      <w:pPr>
        <w:pStyle w:val="ListParagraph"/>
        <w:ind w:left="3600"/>
      </w:pPr>
      <w:r>
        <w:t>09-10 Success and Non Success Seat Count 23</w:t>
      </w:r>
    </w:p>
    <w:p w:rsidR="00EA68BA" w:rsidRDefault="00EA68BA" w:rsidP="00EA68BA">
      <w:pPr>
        <w:pStyle w:val="ListParagraph"/>
        <w:ind w:left="3600"/>
      </w:pPr>
      <w:r>
        <w:t xml:space="preserve">     91.30% Success</w:t>
      </w:r>
    </w:p>
    <w:p w:rsidR="00EA68BA" w:rsidRDefault="00EA68BA" w:rsidP="00EA68BA">
      <w:pPr>
        <w:pStyle w:val="ListParagraph"/>
        <w:ind w:left="3600"/>
      </w:pPr>
      <w:r>
        <w:t>10-11 Success and Non Success Seat Count 55</w:t>
      </w:r>
    </w:p>
    <w:p w:rsidR="00EA68BA" w:rsidRPr="009D4970" w:rsidRDefault="00EA68BA" w:rsidP="00EA68BA">
      <w:pPr>
        <w:pStyle w:val="ListParagraph"/>
        <w:ind w:left="3600"/>
        <w:rPr>
          <w:rFonts w:ascii="Arial" w:hAnsi="Arial" w:cs="Arial"/>
          <w:b/>
        </w:rPr>
      </w:pPr>
      <w:r>
        <w:t xml:space="preserve">     83.64% Success</w:t>
      </w:r>
    </w:p>
    <w:p w:rsidR="009D4970" w:rsidRDefault="009D4970" w:rsidP="009D4970">
      <w:pPr>
        <w:pStyle w:val="ListParagraph"/>
        <w:rPr>
          <w:b/>
        </w:rPr>
      </w:pPr>
    </w:p>
    <w:p w:rsidR="009D4970" w:rsidRDefault="009D4970" w:rsidP="009D4970">
      <w:pPr>
        <w:pStyle w:val="ListParagraph"/>
        <w:numPr>
          <w:ilvl w:val="2"/>
          <w:numId w:val="5"/>
        </w:numPr>
        <w:rPr>
          <w:b/>
        </w:rPr>
      </w:pPr>
      <w:r>
        <w:rPr>
          <w:b/>
        </w:rPr>
        <w:t>Degree and certificate completion (where applicable)</w:t>
      </w:r>
    </w:p>
    <w:p w:rsidR="00EA68BA" w:rsidRDefault="00EA68BA" w:rsidP="00EA68BA">
      <w:pPr>
        <w:pStyle w:val="ListParagraph"/>
        <w:ind w:left="2160"/>
      </w:pPr>
      <w:r>
        <w:t>Associates of Applied Science in Exercise Science – EXSC.AAS</w:t>
      </w:r>
    </w:p>
    <w:p w:rsidR="00EA68BA" w:rsidRDefault="00EA68BA" w:rsidP="00EA68BA">
      <w:pPr>
        <w:pStyle w:val="ListParagraph"/>
        <w:ind w:left="2160"/>
      </w:pPr>
      <w:r>
        <w:t>Beginning Date Fall 10</w:t>
      </w:r>
    </w:p>
    <w:p w:rsidR="00EA68BA" w:rsidRDefault="00EA68BA" w:rsidP="00EA68BA">
      <w:pPr>
        <w:pStyle w:val="ListParagraph"/>
        <w:ind w:left="2160"/>
      </w:pPr>
      <w:r>
        <w:t>11/SP 1 graduate</w:t>
      </w:r>
    </w:p>
    <w:p w:rsidR="00EA68BA" w:rsidRDefault="00EA68BA" w:rsidP="00EA68BA">
      <w:pPr>
        <w:pStyle w:val="ListParagraph"/>
        <w:ind w:left="2160"/>
      </w:pPr>
      <w:r>
        <w:t>11/SU 5 graduates</w:t>
      </w:r>
    </w:p>
    <w:p w:rsidR="00EA68BA" w:rsidRDefault="00EA68BA" w:rsidP="00EA68BA">
      <w:pPr>
        <w:pStyle w:val="ListParagraph"/>
        <w:ind w:left="2160"/>
      </w:pPr>
      <w:r>
        <w:t>Exercise Specialist Certificate – ESS.STC</w:t>
      </w:r>
    </w:p>
    <w:p w:rsidR="00CD2E74" w:rsidRDefault="00CD2E74" w:rsidP="00CD2E74">
      <w:pPr>
        <w:pStyle w:val="ListParagraph"/>
        <w:ind w:left="2160"/>
      </w:pPr>
      <w:r>
        <w:t>06-07 = 7 graduates</w:t>
      </w:r>
    </w:p>
    <w:p w:rsidR="00CD2E74" w:rsidRDefault="00CD2E74" w:rsidP="00CD2E74">
      <w:pPr>
        <w:pStyle w:val="ListParagraph"/>
        <w:ind w:left="2160"/>
      </w:pPr>
      <w:r>
        <w:t>07-08 = 11 graduates</w:t>
      </w:r>
    </w:p>
    <w:p w:rsidR="00CD2E74" w:rsidRDefault="00CD2E74" w:rsidP="00CD2E74">
      <w:pPr>
        <w:pStyle w:val="ListParagraph"/>
        <w:ind w:left="2160"/>
      </w:pPr>
      <w:r>
        <w:t>08-09 = 7 graduates</w:t>
      </w:r>
    </w:p>
    <w:p w:rsidR="00CD2E74" w:rsidRDefault="00CD2E74" w:rsidP="00CD2E74">
      <w:pPr>
        <w:pStyle w:val="ListParagraph"/>
        <w:ind w:left="2160"/>
      </w:pPr>
      <w:r>
        <w:t>Physical Education Associate of Arts – PED.AA</w:t>
      </w:r>
    </w:p>
    <w:p w:rsidR="00CD2E74" w:rsidRDefault="00CD2E74" w:rsidP="00CD2E74">
      <w:pPr>
        <w:pStyle w:val="ListParagraph"/>
        <w:ind w:left="2160"/>
      </w:pPr>
      <w:r>
        <w:t>06-07 = 15 graduated</w:t>
      </w:r>
    </w:p>
    <w:p w:rsidR="00CD2E74" w:rsidRDefault="00CD2E74" w:rsidP="00CD2E74">
      <w:pPr>
        <w:pStyle w:val="ListParagraph"/>
        <w:ind w:left="2160"/>
      </w:pPr>
      <w:r>
        <w:t>07-08 = 11 graduated</w:t>
      </w:r>
    </w:p>
    <w:p w:rsidR="00CD2E74" w:rsidRPr="00EA68BA" w:rsidRDefault="00CD2E74" w:rsidP="00CD2E74">
      <w:pPr>
        <w:pStyle w:val="ListParagraph"/>
        <w:ind w:left="2160"/>
      </w:pPr>
      <w:r>
        <w:t>08-09 = 9 graduated</w:t>
      </w:r>
    </w:p>
    <w:p w:rsidR="009D4970" w:rsidRPr="009D4970" w:rsidRDefault="009D4970" w:rsidP="009D4970">
      <w:pPr>
        <w:pStyle w:val="ListParagraph"/>
        <w:rPr>
          <w:b/>
        </w:rPr>
      </w:pPr>
    </w:p>
    <w:p w:rsidR="009D4970" w:rsidRDefault="009D4970" w:rsidP="009D4970">
      <w:pPr>
        <w:pStyle w:val="ListParagraph"/>
        <w:numPr>
          <w:ilvl w:val="2"/>
          <w:numId w:val="5"/>
        </w:numPr>
        <w:rPr>
          <w:b/>
        </w:rPr>
      </w:pPr>
      <w:r>
        <w:rPr>
          <w:b/>
        </w:rPr>
        <w:t xml:space="preserve">Any additional data that illustrates what is going on in the program (examples might include </w:t>
      </w:r>
      <w:r w:rsidR="002D2748">
        <w:rPr>
          <w:b/>
        </w:rPr>
        <w:t xml:space="preserve">course sequence completion, </w:t>
      </w:r>
      <w:r>
        <w:rPr>
          <w:b/>
        </w:rPr>
        <w:t>retention, demographic data, data on placement of graduates, graduate survey data, etc.)</w:t>
      </w:r>
    </w:p>
    <w:p w:rsidR="00BA4418" w:rsidRDefault="00BA4418" w:rsidP="00BA4418">
      <w:pPr>
        <w:pStyle w:val="ListParagraph"/>
        <w:ind w:left="2160"/>
        <w:rPr>
          <w:b/>
        </w:rPr>
      </w:pPr>
    </w:p>
    <w:p w:rsidR="005864A4" w:rsidRPr="00BA4418" w:rsidRDefault="00BA4418" w:rsidP="005864A4">
      <w:r>
        <w:t xml:space="preserve">The department since offering the new Associates of Applied Science in Exercise </w:t>
      </w:r>
      <w:r w:rsidR="007478F2">
        <w:t xml:space="preserve">Science has seen a switch of program declaration from Physical Education Associates of Arts with an emphasis in Exercise Science to the new degree. </w:t>
      </w:r>
    </w:p>
    <w:p w:rsidR="00847243" w:rsidRPr="004E47AA" w:rsidRDefault="00847243" w:rsidP="00827AE5">
      <w:pPr>
        <w:ind w:firstLine="360"/>
        <w:rPr>
          <w:b/>
        </w:rPr>
      </w:pPr>
    </w:p>
    <w:p w:rsidR="00847243" w:rsidRPr="004E47AA" w:rsidRDefault="00847243" w:rsidP="00827AE5">
      <w:pPr>
        <w:ind w:firstLine="360"/>
        <w:rPr>
          <w:b/>
        </w:rPr>
      </w:pPr>
    </w:p>
    <w:p w:rsidR="0028603C" w:rsidRPr="002C5E1D" w:rsidRDefault="0028603C" w:rsidP="00BA3246">
      <w:pPr>
        <w:pStyle w:val="ListParagraph"/>
        <w:numPr>
          <w:ilvl w:val="1"/>
          <w:numId w:val="5"/>
        </w:numPr>
        <w:rPr>
          <w:b/>
        </w:rPr>
      </w:pPr>
      <w:r w:rsidRPr="005864A4">
        <w:rPr>
          <w:b/>
        </w:rPr>
        <w:t>Interpretation and Analysis of Trend Data</w:t>
      </w:r>
      <w:r w:rsidR="0030733F">
        <w:rPr>
          <w:b/>
        </w:rPr>
        <w:t xml:space="preserve"> Included in the Section Above</w:t>
      </w:r>
      <w:r w:rsidRPr="005864A4">
        <w:rPr>
          <w:b/>
        </w:rPr>
        <w:tab/>
      </w:r>
      <w:r w:rsidR="003A298D" w:rsidRPr="005864A4">
        <w:rPr>
          <w:b/>
          <w:i/>
        </w:rPr>
        <w:t>Suggestions of questions that might be addressed in this section:</w:t>
      </w:r>
      <w:r w:rsidR="003A298D" w:rsidRPr="004E47AA">
        <w:rPr>
          <w:b/>
          <w:i/>
          <w:sz w:val="22"/>
          <w:szCs w:val="22"/>
        </w:rPr>
        <w:t xml:space="preserve"> </w:t>
      </w:r>
      <w:r w:rsidR="003A298D" w:rsidRPr="0094204C">
        <w:rPr>
          <w:i/>
          <w:sz w:val="22"/>
          <w:szCs w:val="22"/>
        </w:rPr>
        <w:t xml:space="preserve">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2C5E1D" w:rsidRDefault="002C5E1D" w:rsidP="002C5E1D">
      <w:pPr>
        <w:spacing w:after="200" w:line="276" w:lineRule="auto"/>
      </w:pPr>
    </w:p>
    <w:p w:rsidR="002C5E1D" w:rsidRPr="002C5E1D" w:rsidRDefault="002C5E1D" w:rsidP="002C5E1D">
      <w:pPr>
        <w:spacing w:after="200" w:line="276" w:lineRule="auto"/>
      </w:pPr>
      <w:r>
        <w:t xml:space="preserve">One of the trends that the department is excited to see is a continued growth in the Exercise Science programs. We feel confident that this growth will only continue. Our advisory </w:t>
      </w:r>
      <w:r w:rsidR="00643370">
        <w:t>board</w:t>
      </w:r>
      <w:r w:rsidR="003501F9">
        <w:t>,</w:t>
      </w:r>
      <w:r w:rsidR="00643370">
        <w:t xml:space="preserve"> along with our internship sites encourages</w:t>
      </w:r>
      <w:r>
        <w:t xml:space="preserve"> us to keep the rigor of the</w:t>
      </w:r>
      <w:r w:rsidR="00BA4418">
        <w:t xml:space="preserve"> program so the program produces</w:t>
      </w:r>
      <w:r>
        <w:t xml:space="preserve"> highly qualified graduates. The other trend we see is</w:t>
      </w:r>
      <w:r w:rsidR="003501F9">
        <w:t xml:space="preserve"> an</w:t>
      </w:r>
      <w:r w:rsidR="00BA4418">
        <w:t xml:space="preserve"> ebb and flow with the course</w:t>
      </w:r>
      <w:r>
        <w:t xml:space="preserve"> success rates</w:t>
      </w:r>
      <w:r w:rsidR="00BA4418">
        <w:t>. I</w:t>
      </w:r>
      <w:r>
        <w:t>n</w:t>
      </w:r>
      <w:r w:rsidR="00BA4418">
        <w:t xml:space="preserve"> some of our core courses the success rate has not been as high as expected</w:t>
      </w:r>
      <w:r>
        <w:t>. We need to</w:t>
      </w:r>
      <w:r w:rsidR="00BA4418">
        <w:t xml:space="preserve"> be mindful of the downward dips</w:t>
      </w:r>
      <w:r>
        <w:t xml:space="preserve"> in success</w:t>
      </w:r>
      <w:r w:rsidR="00BA4418">
        <w:t xml:space="preserve"> rates</w:t>
      </w:r>
      <w:r>
        <w:t xml:space="preserve"> and make sure that we as a department are doing everything possible to </w:t>
      </w:r>
      <w:r w:rsidR="00BA4418">
        <w:t>create a successful learning environment without compromising the integrity of the program.</w:t>
      </w:r>
    </w:p>
    <w:p w:rsidR="003A298D" w:rsidRDefault="003A298D" w:rsidP="006A2AA3">
      <w:pPr>
        <w:spacing w:after="200" w:line="276" w:lineRule="auto"/>
        <w:jc w:val="center"/>
        <w:rPr>
          <w:b/>
        </w:rPr>
      </w:pPr>
    </w:p>
    <w:p w:rsidR="00BA3246" w:rsidRDefault="00BA3246">
      <w:pPr>
        <w:spacing w:after="200" w:line="276" w:lineRule="auto"/>
        <w:rPr>
          <w:b/>
          <w:u w:val="single"/>
        </w:rPr>
      </w:pPr>
      <w:r>
        <w:rPr>
          <w:b/>
          <w:u w:val="single"/>
        </w:rPr>
        <w:br w:type="page"/>
      </w:r>
    </w:p>
    <w:p w:rsidR="00F0239E" w:rsidRPr="00D708C3" w:rsidRDefault="00F0239E" w:rsidP="00D708C3">
      <w:pPr>
        <w:spacing w:after="200" w:line="276" w:lineRule="auto"/>
        <w:rPr>
          <w:b/>
          <w:u w:val="single"/>
        </w:rPr>
      </w:pPr>
      <w:r w:rsidRPr="00D708C3">
        <w:rPr>
          <w:b/>
          <w:u w:val="single"/>
        </w:rPr>
        <w:lastRenderedPageBreak/>
        <w:t xml:space="preserve">Section II:  </w:t>
      </w:r>
      <w:r w:rsidR="00B81607" w:rsidRPr="00D708C3">
        <w:rPr>
          <w:b/>
          <w:u w:val="single"/>
        </w:rPr>
        <w:t xml:space="preserve">Progress Since the Most Recent </w:t>
      </w:r>
      <w:r w:rsidRPr="00D708C3">
        <w:rPr>
          <w:b/>
          <w:u w:val="single"/>
        </w:rPr>
        <w:t>Review</w:t>
      </w:r>
    </w:p>
    <w:p w:rsidR="00F0239E" w:rsidRDefault="00F0239E" w:rsidP="00F0239E"/>
    <w:p w:rsidR="00F0239E" w:rsidRPr="0094204C" w:rsidRDefault="00F0239E" w:rsidP="00F0239E">
      <w:pPr>
        <w:pStyle w:val="ListParagraph"/>
        <w:numPr>
          <w:ilvl w:val="0"/>
          <w:numId w:val="6"/>
        </w:numPr>
      </w:pPr>
      <w:r>
        <w:t>What was the fiscal year of the most recent Program Review for this program</w:t>
      </w:r>
      <w:r w:rsidR="003C1C8E">
        <w:t>? (</w:t>
      </w:r>
      <w:r w:rsidR="00B27095">
        <w:t>The</w:t>
      </w:r>
      <w:r w:rsidR="003C1C8E">
        <w:t xml:space="preserve"> most recent Program Review self-study can be found at </w:t>
      </w:r>
      <w:hyperlink r:id="rId8" w:history="1">
        <w:r w:rsidR="003C1C8E" w:rsidRPr="0072045F">
          <w:rPr>
            <w:rStyle w:val="Hyperlink"/>
          </w:rPr>
          <w:t>http://www.sinclair.edu/about/administrative/vpi/pdreview/</w:t>
        </w:r>
      </w:hyperlink>
      <w:r w:rsidR="003C1C8E">
        <w:t xml:space="preserve"> ). </w:t>
      </w:r>
      <w:r w:rsidRPr="00F0239E">
        <w:rPr>
          <w:rFonts w:ascii="Arial" w:hAnsi="Arial" w:cs="Arial"/>
        </w:rPr>
        <w:t xml:space="preserve"> </w:t>
      </w:r>
      <w:r w:rsidR="00CD2E74">
        <w:rPr>
          <w:rFonts w:ascii="Arial" w:hAnsi="Arial" w:cs="Arial"/>
        </w:rPr>
        <w:t>2005-2006</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724157" w:rsidRPr="0083551E" w:rsidRDefault="00724157" w:rsidP="00724157">
      <w:pPr>
        <w:pStyle w:val="ListParagraph"/>
        <w:numPr>
          <w:ilvl w:val="0"/>
          <w:numId w:val="26"/>
        </w:numPr>
        <w:spacing w:before="120"/>
        <w:rPr>
          <w:b/>
        </w:rPr>
      </w:pPr>
      <w:r w:rsidRPr="0083551E">
        <w:rPr>
          <w:rFonts w:cs="Tahoma"/>
          <w:b/>
          <w:color w:val="000000"/>
        </w:rPr>
        <w:t>What are the department’s/program’s goals and rationale for expanding and improving student learning, including new courses, programs, delivery formats and locations?</w:t>
      </w:r>
    </w:p>
    <w:p w:rsidR="00724157" w:rsidRPr="00BA4418" w:rsidRDefault="00724157" w:rsidP="00724157">
      <w:pPr>
        <w:pStyle w:val="ListParagraph"/>
        <w:numPr>
          <w:ilvl w:val="0"/>
          <w:numId w:val="27"/>
        </w:numPr>
        <w:spacing w:before="120"/>
      </w:pPr>
      <w:r w:rsidRPr="00BA4418">
        <w:t>Increase articulation agreements and support students with the transfer process.</w:t>
      </w:r>
    </w:p>
    <w:p w:rsidR="00724157" w:rsidRPr="00BA4418" w:rsidRDefault="00724157" w:rsidP="00724157">
      <w:pPr>
        <w:pStyle w:val="ListParagraph"/>
        <w:numPr>
          <w:ilvl w:val="0"/>
          <w:numId w:val="27"/>
        </w:numPr>
        <w:spacing w:before="120"/>
      </w:pPr>
      <w:r w:rsidRPr="00BA4418">
        <w:t>Continue to refine and expand the professional preparation of our students.</w:t>
      </w:r>
    </w:p>
    <w:p w:rsidR="00724157" w:rsidRPr="00BA4418" w:rsidRDefault="00724157" w:rsidP="00724157">
      <w:pPr>
        <w:pStyle w:val="ListParagraph"/>
        <w:numPr>
          <w:ilvl w:val="0"/>
          <w:numId w:val="27"/>
        </w:numPr>
        <w:spacing w:before="120"/>
      </w:pPr>
      <w:r w:rsidRPr="00BA4418">
        <w:t>Include the use of General Education Rubrics in courses, and use results to improve the department’s teaching of general education competencies.</w:t>
      </w:r>
    </w:p>
    <w:p w:rsidR="00724157" w:rsidRPr="00BA4418" w:rsidRDefault="00724157" w:rsidP="00724157">
      <w:pPr>
        <w:pStyle w:val="ListParagraph"/>
        <w:numPr>
          <w:ilvl w:val="0"/>
          <w:numId w:val="27"/>
        </w:numPr>
        <w:spacing w:before="120"/>
      </w:pPr>
      <w:r w:rsidRPr="00BA4418">
        <w:t>Improve the department’s use of assessment to improve student learning.</w:t>
      </w:r>
    </w:p>
    <w:p w:rsidR="00724157" w:rsidRPr="00BA4418" w:rsidRDefault="00724157" w:rsidP="00724157">
      <w:pPr>
        <w:pStyle w:val="ListParagraph"/>
        <w:numPr>
          <w:ilvl w:val="0"/>
          <w:numId w:val="27"/>
        </w:numPr>
        <w:spacing w:before="120"/>
      </w:pPr>
      <w:r w:rsidRPr="00BA4418">
        <w:t>Establish and develop a degree track in Sport and Recreation Management and a short term technical certificate in Coaching</w:t>
      </w:r>
    </w:p>
    <w:p w:rsidR="00724157" w:rsidRPr="00BA4418" w:rsidRDefault="00724157" w:rsidP="00724157">
      <w:pPr>
        <w:pStyle w:val="ListParagraph"/>
        <w:numPr>
          <w:ilvl w:val="0"/>
          <w:numId w:val="27"/>
        </w:numPr>
        <w:spacing w:before="120"/>
      </w:pPr>
      <w:r w:rsidRPr="00BA4418">
        <w:t>Maintain a close and effective partnership with Tech Prep and participating high schools; ensure a smooth transition of students into the department’s programs.</w:t>
      </w:r>
    </w:p>
    <w:p w:rsidR="00724157" w:rsidRPr="00BA4418" w:rsidRDefault="00724157" w:rsidP="00724157">
      <w:pPr>
        <w:pStyle w:val="ListParagraph"/>
        <w:numPr>
          <w:ilvl w:val="0"/>
          <w:numId w:val="27"/>
        </w:numPr>
        <w:spacing w:before="120"/>
      </w:pPr>
      <w:r w:rsidRPr="00BA4418">
        <w:t xml:space="preserve">Explore the possibility of a name change for the department to better encompass the department’s current and future mission and programs  </w:t>
      </w:r>
    </w:p>
    <w:p w:rsidR="0094204C" w:rsidRPr="00BA4418" w:rsidRDefault="0094204C" w:rsidP="0094204C">
      <w:pPr>
        <w:pStyle w:val="ListParagraph"/>
      </w:pPr>
    </w:p>
    <w:p w:rsidR="0094204C" w:rsidRDefault="0094204C" w:rsidP="0094204C">
      <w:pPr>
        <w:pStyle w:val="ListParagraph"/>
        <w:tabs>
          <w:tab w:val="left" w:pos="504"/>
        </w:tabs>
        <w:spacing w:after="120"/>
        <w:rPr>
          <w:sz w:val="22"/>
          <w:szCs w:val="22"/>
        </w:rPr>
      </w:pPr>
    </w:p>
    <w:p w:rsidR="005531E8" w:rsidRPr="003C1C8E" w:rsidRDefault="003233E7">
      <w:pPr>
        <w:pStyle w:val="ListParagraph"/>
        <w:numPr>
          <w:ilvl w:val="0"/>
          <w:numId w:val="6"/>
        </w:numPr>
        <w:tabs>
          <w:tab w:val="left" w:pos="504"/>
        </w:tabs>
        <w:spacing w:after="120"/>
        <w:rPr>
          <w:sz w:val="22"/>
          <w:szCs w:val="22"/>
        </w:rPr>
      </w:pPr>
      <w:r>
        <w:t xml:space="preserve">What Recommendations for Action were made by the review team to the most recent Program Review?  </w:t>
      </w:r>
    </w:p>
    <w:p w:rsidR="003C1C8E" w:rsidRDefault="003C1C8E" w:rsidP="00BF3561">
      <w:pPr>
        <w:pStyle w:val="ListParagraph"/>
      </w:pPr>
    </w:p>
    <w:p w:rsidR="00B32990" w:rsidRPr="00B32990" w:rsidRDefault="00B32990" w:rsidP="00B32990">
      <w:r w:rsidRPr="00B32990">
        <w:rPr>
          <w:b/>
        </w:rPr>
        <w:t>Recommendations for Action</w:t>
      </w:r>
      <w:r w:rsidRPr="00B32990">
        <w:t>:</w:t>
      </w:r>
    </w:p>
    <w:p w:rsidR="00B32990" w:rsidRPr="00B32990" w:rsidRDefault="00B32990" w:rsidP="00B32990"/>
    <w:p w:rsidR="00B32990" w:rsidRPr="00B32990" w:rsidRDefault="00B32990" w:rsidP="00B32990">
      <w:pPr>
        <w:numPr>
          <w:ilvl w:val="0"/>
          <w:numId w:val="28"/>
        </w:numPr>
        <w:tabs>
          <w:tab w:val="clear" w:pos="720"/>
          <w:tab w:val="num" w:pos="360"/>
        </w:tabs>
        <w:ind w:left="360"/>
      </w:pPr>
      <w:r w:rsidRPr="00B32990">
        <w:t xml:space="preserve">Establish future vision and strategies to guide the work of the department/program; attend to developing existing programs and courses fully before moving into additional new directions </w:t>
      </w:r>
    </w:p>
    <w:p w:rsidR="00B32990" w:rsidRPr="00B32990" w:rsidRDefault="00B32990" w:rsidP="00B32990">
      <w:pPr>
        <w:numPr>
          <w:ilvl w:val="0"/>
          <w:numId w:val="28"/>
        </w:numPr>
        <w:tabs>
          <w:tab w:val="clear" w:pos="720"/>
          <w:tab w:val="num" w:pos="360"/>
        </w:tabs>
        <w:ind w:left="360"/>
      </w:pPr>
      <w:r w:rsidRPr="00B32990">
        <w:t>Monitor the employment outlook and placement for existing program tracks and certificates</w:t>
      </w:r>
    </w:p>
    <w:p w:rsidR="00B32990" w:rsidRPr="00B32990" w:rsidRDefault="00B32990" w:rsidP="00B32990">
      <w:pPr>
        <w:numPr>
          <w:ilvl w:val="0"/>
          <w:numId w:val="28"/>
        </w:numPr>
        <w:tabs>
          <w:tab w:val="clear" w:pos="720"/>
          <w:tab w:val="num" w:pos="360"/>
        </w:tabs>
        <w:ind w:left="360"/>
      </w:pPr>
      <w:r w:rsidRPr="00B32990">
        <w:t xml:space="preserve">Use data more extensively to guide department planning and operations; request </w:t>
      </w:r>
      <w:smartTag w:uri="urn:schemas-microsoft-com:office:smarttags" w:element="stockticker">
        <w:r w:rsidRPr="00B32990">
          <w:t>IPR</w:t>
        </w:r>
      </w:smartTag>
      <w:r w:rsidRPr="00B32990">
        <w:t xml:space="preserve"> studies to assist with data collection and analysis:</w:t>
      </w:r>
    </w:p>
    <w:p w:rsidR="00B32990" w:rsidRPr="00B32990" w:rsidRDefault="00B32990" w:rsidP="00B32990">
      <w:pPr>
        <w:numPr>
          <w:ilvl w:val="1"/>
          <w:numId w:val="28"/>
        </w:numPr>
      </w:pPr>
      <w:r w:rsidRPr="00B32990">
        <w:t>Conduct a needs assessment to ensure alignment of the department’s mission with capacity, resources, and future needs</w:t>
      </w:r>
    </w:p>
    <w:p w:rsidR="00B32990" w:rsidRPr="00B32990" w:rsidRDefault="00B32990" w:rsidP="00B32990">
      <w:pPr>
        <w:numPr>
          <w:ilvl w:val="1"/>
          <w:numId w:val="28"/>
        </w:numPr>
      </w:pPr>
      <w:r w:rsidRPr="00B32990">
        <w:t xml:space="preserve">Study the various populations served by the department, especially in activity classes, and evaluate the effectiveness and cost-effectiveness of the department’s service to each population </w:t>
      </w:r>
    </w:p>
    <w:p w:rsidR="00B32990" w:rsidRPr="00B32990" w:rsidRDefault="00B32990" w:rsidP="00B32990">
      <w:pPr>
        <w:numPr>
          <w:ilvl w:val="1"/>
          <w:numId w:val="28"/>
        </w:numPr>
      </w:pPr>
      <w:r w:rsidRPr="00B32990">
        <w:t>Explore the use of Exercise Science students to capture and manage data on the senior population (authentic case activity)</w:t>
      </w:r>
    </w:p>
    <w:p w:rsidR="00B32990" w:rsidRPr="00B32990" w:rsidRDefault="00B32990" w:rsidP="00B32990">
      <w:pPr>
        <w:numPr>
          <w:ilvl w:val="1"/>
          <w:numId w:val="28"/>
        </w:numPr>
      </w:pPr>
      <w:r w:rsidRPr="00B32990">
        <w:t>Study average class size</w:t>
      </w:r>
    </w:p>
    <w:p w:rsidR="00B32990" w:rsidRPr="00B32990" w:rsidRDefault="00B32990" w:rsidP="00B32990">
      <w:pPr>
        <w:numPr>
          <w:ilvl w:val="0"/>
          <w:numId w:val="28"/>
        </w:numPr>
        <w:tabs>
          <w:tab w:val="clear" w:pos="720"/>
          <w:tab w:val="num" w:pos="360"/>
        </w:tabs>
        <w:ind w:left="360"/>
      </w:pPr>
      <w:r w:rsidRPr="00B32990">
        <w:t>Identify additional academic advising support for the department’s degree and certificate-seeking students</w:t>
      </w:r>
    </w:p>
    <w:p w:rsidR="00B32990" w:rsidRPr="00B32990" w:rsidRDefault="00B32990" w:rsidP="00B32990">
      <w:pPr>
        <w:numPr>
          <w:ilvl w:val="0"/>
          <w:numId w:val="28"/>
        </w:numPr>
        <w:tabs>
          <w:tab w:val="clear" w:pos="720"/>
          <w:tab w:val="num" w:pos="360"/>
        </w:tabs>
        <w:ind w:left="360"/>
      </w:pPr>
      <w:r w:rsidRPr="00B32990">
        <w:lastRenderedPageBreak/>
        <w:t xml:space="preserve"> Increase graduation rates</w:t>
      </w:r>
    </w:p>
    <w:p w:rsidR="00B32990" w:rsidRPr="00B32990" w:rsidRDefault="00B32990" w:rsidP="00B32990">
      <w:pPr>
        <w:numPr>
          <w:ilvl w:val="0"/>
          <w:numId w:val="28"/>
        </w:numPr>
        <w:tabs>
          <w:tab w:val="clear" w:pos="720"/>
          <w:tab w:val="num" w:pos="360"/>
        </w:tabs>
        <w:ind w:left="360"/>
      </w:pPr>
      <w:r w:rsidRPr="00B32990">
        <w:t>Increase collaborations to facilitate the smooth transfer of students from the AA to baccalaureate study</w:t>
      </w:r>
    </w:p>
    <w:p w:rsidR="00B32990" w:rsidRPr="00B32990" w:rsidRDefault="00B32990" w:rsidP="00B32990">
      <w:pPr>
        <w:numPr>
          <w:ilvl w:val="0"/>
          <w:numId w:val="28"/>
        </w:numPr>
        <w:tabs>
          <w:tab w:val="clear" w:pos="720"/>
          <w:tab w:val="num" w:pos="360"/>
        </w:tabs>
        <w:ind w:left="360"/>
      </w:pPr>
      <w:r w:rsidRPr="00B32990">
        <w:t xml:space="preserve">Study the implications of incorporating DEV prerequisites into program requirements </w:t>
      </w:r>
    </w:p>
    <w:p w:rsidR="00B32990" w:rsidRPr="00B32990" w:rsidRDefault="00B32990" w:rsidP="00B32990">
      <w:pPr>
        <w:numPr>
          <w:ilvl w:val="0"/>
          <w:numId w:val="28"/>
        </w:numPr>
        <w:tabs>
          <w:tab w:val="clear" w:pos="720"/>
          <w:tab w:val="num" w:pos="360"/>
        </w:tabs>
        <w:ind w:left="360"/>
      </w:pPr>
      <w:r w:rsidRPr="00B32990">
        <w:t>Research and consider other internal collaboration opportunities</w:t>
      </w:r>
    </w:p>
    <w:p w:rsidR="00B32990" w:rsidRPr="00B32990" w:rsidRDefault="00B32990" w:rsidP="00B32990">
      <w:r w:rsidRPr="00B32990">
        <w:tab/>
        <w:t xml:space="preserve">(e.g., Calibration with EGR, CPR with ALH, nutrition/dietetics with DIT) </w:t>
      </w:r>
    </w:p>
    <w:p w:rsidR="00B32990" w:rsidRPr="00B32990" w:rsidRDefault="00B32990" w:rsidP="00B32990">
      <w:pPr>
        <w:numPr>
          <w:ilvl w:val="0"/>
          <w:numId w:val="28"/>
        </w:numPr>
        <w:tabs>
          <w:tab w:val="clear" w:pos="720"/>
          <w:tab w:val="num" w:pos="360"/>
        </w:tabs>
        <w:ind w:left="360"/>
      </w:pPr>
      <w:r w:rsidRPr="00B32990">
        <w:t>Ensure consistency of assessment and learning outcomes across multiple-section courses</w:t>
      </w:r>
    </w:p>
    <w:p w:rsidR="00B32990" w:rsidRPr="00B32990" w:rsidRDefault="00B32990" w:rsidP="00B32990">
      <w:pPr>
        <w:numPr>
          <w:ilvl w:val="0"/>
          <w:numId w:val="28"/>
        </w:numPr>
        <w:tabs>
          <w:tab w:val="clear" w:pos="720"/>
          <w:tab w:val="num" w:pos="360"/>
        </w:tabs>
        <w:ind w:left="360"/>
      </w:pPr>
      <w:r w:rsidRPr="00B32990">
        <w:t>Explore additional or alternative faculty training and development options to ensure quality delivery across full- and part-time faculty members</w:t>
      </w:r>
    </w:p>
    <w:p w:rsidR="00B32990" w:rsidRPr="00B32990" w:rsidRDefault="00B32990" w:rsidP="00B32990">
      <w:pPr>
        <w:numPr>
          <w:ilvl w:val="0"/>
          <w:numId w:val="28"/>
        </w:numPr>
        <w:tabs>
          <w:tab w:val="clear" w:pos="720"/>
          <w:tab w:val="num" w:pos="360"/>
        </w:tabs>
        <w:ind w:left="360"/>
      </w:pPr>
      <w:r w:rsidRPr="00B32990">
        <w:t>Work with the Grants Office to identify opportunities for external funding</w:t>
      </w:r>
    </w:p>
    <w:p w:rsidR="003233E7" w:rsidRPr="00643370" w:rsidRDefault="003233E7" w:rsidP="00643370">
      <w:pPr>
        <w:tabs>
          <w:tab w:val="left" w:pos="504"/>
        </w:tabs>
        <w:spacing w:after="120"/>
        <w:rPr>
          <w:sz w:val="22"/>
          <w:szCs w:val="22"/>
        </w:rPr>
      </w:pPr>
    </w:p>
    <w:p w:rsidR="00320CDE" w:rsidRDefault="00320CDE" w:rsidP="00320CDE">
      <w:pPr>
        <w:pStyle w:val="ListParagraph"/>
        <w:numPr>
          <w:ilvl w:val="0"/>
          <w:numId w:val="6"/>
        </w:numPr>
      </w:pPr>
      <w:r w:rsidRPr="002E548B">
        <w:t xml:space="preserve">Have the goals </w:t>
      </w:r>
      <w:r w:rsidR="003233E7">
        <w:t xml:space="preserve">in your self-study </w:t>
      </w:r>
      <w:r w:rsidRPr="002E548B">
        <w:t>changed since your last Program Review Self-Study</w:t>
      </w:r>
      <w:r w:rsidR="003233E7">
        <w:t xml:space="preserve"> as a resu</w:t>
      </w:r>
      <w:r w:rsidR="00821011" w:rsidRPr="00821011">
        <w:rPr>
          <w:sz w:val="22"/>
          <w:szCs w:val="22"/>
        </w:rPr>
        <w:t>l</w:t>
      </w:r>
      <w:r w:rsidR="003233E7">
        <w:t>t of the Review Team recommendations or for any other reason</w:t>
      </w:r>
      <w:r w:rsidRPr="002E548B">
        <w:t>?  If so, please describe the changes.</w:t>
      </w:r>
    </w:p>
    <w:p w:rsidR="00643370" w:rsidRPr="002E548B" w:rsidRDefault="00643370" w:rsidP="00643370">
      <w:pPr>
        <w:pStyle w:val="ListParagraph"/>
      </w:pPr>
    </w:p>
    <w:p w:rsidR="00320CDE" w:rsidRPr="00B32990" w:rsidRDefault="00643370" w:rsidP="00643370">
      <w:r>
        <w:t>The department is continually working on the</w:t>
      </w:r>
      <w:r w:rsidR="00B32990">
        <w:t xml:space="preserve"> recommendations</w:t>
      </w:r>
      <w:r>
        <w:t xml:space="preserve"> given by the review team. We feel we have made progress in the recommendations.</w:t>
      </w:r>
      <w:r w:rsidR="00B32990">
        <w:t xml:space="preserve"> </w:t>
      </w:r>
    </w:p>
    <w:p w:rsidR="00F86156" w:rsidRDefault="00F86156" w:rsidP="00643370"/>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w:t>
      </w:r>
      <w:r w:rsidR="003233E7">
        <w:t xml:space="preserve"> in the sections</w:t>
      </w:r>
      <w:r w:rsidR="00320CDE" w:rsidRPr="002E548B">
        <w:t xml:space="preserve"> above</w:t>
      </w:r>
      <w:r w:rsidRPr="002E548B">
        <w:t xml:space="preserve"> </w:t>
      </w:r>
      <w:r w:rsidR="00E12E4F">
        <w:t xml:space="preserve">(b, c, and d) </w:t>
      </w:r>
      <w:r w:rsidRPr="002E548B">
        <w:t>in</w:t>
      </w:r>
      <w:r>
        <w:t xml:space="preserve"> the past year?</w:t>
      </w:r>
    </w:p>
    <w:p w:rsidR="00643370" w:rsidRDefault="00643370" w:rsidP="00643370">
      <w:pPr>
        <w:pStyle w:val="ListParagraph"/>
      </w:pPr>
    </w:p>
    <w:p w:rsidR="00643370" w:rsidRPr="00BA4418" w:rsidRDefault="00643370" w:rsidP="00643370">
      <w:pPr>
        <w:pStyle w:val="ListParagraph"/>
        <w:numPr>
          <w:ilvl w:val="0"/>
          <w:numId w:val="27"/>
        </w:numPr>
        <w:spacing w:before="120"/>
      </w:pPr>
      <w:r>
        <w:t xml:space="preserve">  </w:t>
      </w:r>
      <w:r w:rsidRPr="00BA4418">
        <w:t>Increase articulation agreements and support students with the transfer process.</w:t>
      </w:r>
    </w:p>
    <w:p w:rsidR="00643370" w:rsidRPr="00BA4418" w:rsidRDefault="00643370" w:rsidP="00643370">
      <w:pPr>
        <w:pStyle w:val="ListParagraph"/>
        <w:spacing w:before="120"/>
        <w:ind w:left="900"/>
      </w:pPr>
      <w:r w:rsidRPr="00BA4418">
        <w:t>*The department works closely w</w:t>
      </w:r>
      <w:r w:rsidR="003501F9">
        <w:t xml:space="preserve">ith Wright State, University of </w:t>
      </w:r>
      <w:r w:rsidRPr="00BA4418">
        <w:t xml:space="preserve">Dayton and Miami University. Students have the opportunity to transfer upon completion of their Associates Degree. The newest offering is with Wright State Wright State has granted the graduates with the Associates of Applied Science in Exercise Science direct admit.  </w:t>
      </w:r>
    </w:p>
    <w:p w:rsidR="00643370" w:rsidRPr="00BA4418" w:rsidRDefault="00643370" w:rsidP="00643370">
      <w:pPr>
        <w:pStyle w:val="ListParagraph"/>
        <w:numPr>
          <w:ilvl w:val="0"/>
          <w:numId w:val="27"/>
        </w:numPr>
        <w:spacing w:before="120"/>
      </w:pPr>
      <w:r w:rsidRPr="00BA4418">
        <w:t>Continue to refine and expand the professional preparation of our students.</w:t>
      </w:r>
    </w:p>
    <w:p w:rsidR="00643370" w:rsidRPr="00BA4418" w:rsidRDefault="00643370" w:rsidP="00643370">
      <w:pPr>
        <w:pStyle w:val="ListParagraph"/>
        <w:spacing w:before="120"/>
        <w:ind w:left="900"/>
      </w:pPr>
      <w:r w:rsidRPr="00BA4418">
        <w:t>*The students are exposed to a variety of activities throughout their program that helps them to prepare for their profession. The feedback from our internship sites validates that the students are not only meeting but exceeding expectations.</w:t>
      </w:r>
    </w:p>
    <w:p w:rsidR="00643370" w:rsidRPr="00BA4418" w:rsidRDefault="00643370" w:rsidP="00643370">
      <w:pPr>
        <w:pStyle w:val="ListParagraph"/>
        <w:numPr>
          <w:ilvl w:val="0"/>
          <w:numId w:val="27"/>
        </w:numPr>
        <w:spacing w:before="120"/>
      </w:pPr>
      <w:r w:rsidRPr="00BA4418">
        <w:t>Include the use of General Education Rubrics in courses, and use results to improve the department’s teaching of general education competencies.</w:t>
      </w:r>
    </w:p>
    <w:p w:rsidR="00643370" w:rsidRPr="00BA4418" w:rsidRDefault="00643370" w:rsidP="00643370">
      <w:pPr>
        <w:pStyle w:val="ListParagraph"/>
        <w:spacing w:before="120"/>
        <w:ind w:left="900"/>
      </w:pPr>
      <w:r w:rsidRPr="00BA4418">
        <w:t>*Ongoing process, we have been really good about using the General Education Rubrics but not as strong in the area of using the results. Each faculty member has been implementing the rubrics in various assignments. The department has compared results and has been able to share activities that are working and have addressed needed changes in those activities that need adjusting.  We will continue to work on this process.</w:t>
      </w:r>
    </w:p>
    <w:p w:rsidR="00643370" w:rsidRPr="00BA4418" w:rsidRDefault="00643370" w:rsidP="00643370">
      <w:pPr>
        <w:pStyle w:val="ListParagraph"/>
        <w:numPr>
          <w:ilvl w:val="0"/>
          <w:numId w:val="27"/>
        </w:numPr>
        <w:spacing w:before="120"/>
      </w:pPr>
      <w:r w:rsidRPr="00BA4418">
        <w:t>Improve the department’s use of assessment to improve student learning.</w:t>
      </w:r>
    </w:p>
    <w:p w:rsidR="00643370" w:rsidRPr="00BA4418" w:rsidRDefault="00643370" w:rsidP="00643370">
      <w:pPr>
        <w:pStyle w:val="ListParagraph"/>
        <w:spacing w:before="120"/>
        <w:ind w:left="900"/>
      </w:pPr>
      <w:r w:rsidRPr="00BA4418">
        <w:t>*Department participates in several assessment opportunities; end of the quarter student surveys and a survey required by our accreditation. The information gathered from these surveys helps each faculty member assess and make improvements.</w:t>
      </w:r>
    </w:p>
    <w:p w:rsidR="00643370" w:rsidRPr="00BA4418" w:rsidRDefault="00643370" w:rsidP="00643370">
      <w:pPr>
        <w:pStyle w:val="ListParagraph"/>
        <w:numPr>
          <w:ilvl w:val="0"/>
          <w:numId w:val="27"/>
        </w:numPr>
        <w:spacing w:before="120"/>
      </w:pPr>
      <w:r w:rsidRPr="00BA4418">
        <w:t>Expand off campus programming where facilities are available.</w:t>
      </w:r>
    </w:p>
    <w:p w:rsidR="00643370" w:rsidRDefault="00643370" w:rsidP="00643370">
      <w:pPr>
        <w:pStyle w:val="ListParagraph"/>
        <w:spacing w:before="120"/>
        <w:ind w:left="900"/>
      </w:pPr>
      <w:r w:rsidRPr="00BA4418">
        <w:t>*The department is offering classes at Courseview, Preble</w:t>
      </w:r>
      <w:r w:rsidR="003501F9">
        <w:t xml:space="preserve"> County</w:t>
      </w:r>
      <w:r w:rsidRPr="00BA4418">
        <w:t>, Huber Heights and Englewood.</w:t>
      </w:r>
    </w:p>
    <w:p w:rsidR="00643370" w:rsidRPr="00BA4418" w:rsidRDefault="00643370" w:rsidP="00643370">
      <w:pPr>
        <w:pStyle w:val="ListParagraph"/>
        <w:spacing w:before="120"/>
        <w:ind w:left="900"/>
      </w:pPr>
    </w:p>
    <w:p w:rsidR="00643370" w:rsidRPr="00BA4418" w:rsidRDefault="00643370" w:rsidP="00643370">
      <w:pPr>
        <w:pStyle w:val="ListParagraph"/>
        <w:numPr>
          <w:ilvl w:val="0"/>
          <w:numId w:val="27"/>
        </w:numPr>
        <w:spacing w:before="120"/>
      </w:pPr>
      <w:r w:rsidRPr="00BA4418">
        <w:lastRenderedPageBreak/>
        <w:t>Establish and develop a degree track in Sport and Recreation Management and a short term technical certificate in Coaching</w:t>
      </w:r>
    </w:p>
    <w:p w:rsidR="00643370" w:rsidRPr="00BA4418" w:rsidRDefault="00643370" w:rsidP="00643370">
      <w:pPr>
        <w:pStyle w:val="ListParagraph"/>
        <w:spacing w:before="120"/>
        <w:ind w:left="900"/>
      </w:pPr>
      <w:r w:rsidRPr="00BA4418">
        <w:t>*The Sport and Recreation Management Track was implemented 2006. The Coaching Certificate has been submitted and waiting for approval with anticipated offering Fall 1</w:t>
      </w:r>
      <w:r w:rsidR="003501F9">
        <w:t>2</w:t>
      </w:r>
      <w:r w:rsidRPr="00BA4418">
        <w:t>.</w:t>
      </w:r>
    </w:p>
    <w:p w:rsidR="00643370" w:rsidRPr="00BA4418" w:rsidRDefault="00643370" w:rsidP="00643370">
      <w:pPr>
        <w:pStyle w:val="ListParagraph"/>
        <w:numPr>
          <w:ilvl w:val="0"/>
          <w:numId w:val="27"/>
        </w:numPr>
        <w:spacing w:before="120"/>
      </w:pPr>
      <w:r w:rsidRPr="00BA4418">
        <w:t>Maintain a close and effective partnership with Tech Prep and participating high schools; ensure a smooth transition of students into the department’s programs.</w:t>
      </w:r>
    </w:p>
    <w:p w:rsidR="00266F2F" w:rsidRDefault="00266F2F" w:rsidP="000337E6">
      <w:pPr>
        <w:pStyle w:val="ListParagraph"/>
      </w:pPr>
    </w:p>
    <w:p w:rsidR="00266F2F" w:rsidRDefault="00266F2F" w:rsidP="000337E6">
      <w:pPr>
        <w:pStyle w:val="ListParagraph"/>
      </w:pPr>
    </w:p>
    <w:p w:rsidR="0094204C" w:rsidRPr="00D708C3" w:rsidRDefault="0094204C" w:rsidP="00643370">
      <w:pPr>
        <w:spacing w:after="200" w:line="276" w:lineRule="auto"/>
        <w:rPr>
          <w:b/>
          <w:u w:val="single"/>
        </w:rPr>
      </w:pPr>
      <w:r w:rsidRPr="00D708C3">
        <w:rPr>
          <w:b/>
          <w:u w:val="single"/>
        </w:rPr>
        <w:t>Section III: Assessment of Outcomes</w:t>
      </w:r>
    </w:p>
    <w:p w:rsidR="00827AE5" w:rsidRDefault="00827AE5" w:rsidP="00827AE5">
      <w:pPr>
        <w:rPr>
          <w:rFonts w:ascii="Arial" w:hAnsi="Arial" w:cs="Arial"/>
        </w:rPr>
      </w:pPr>
    </w:p>
    <w:p w:rsidR="00F0239E" w:rsidRDefault="00D31DDA" w:rsidP="00827AE5">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p w:rsidR="0088399E" w:rsidRPr="00827AE5" w:rsidRDefault="0088399E" w:rsidP="00827AE5">
      <w:pPr>
        <w:rPr>
          <w:rFonts w:ascii="Arial" w:hAnsi="Arial" w:cs="Arial"/>
        </w:rPr>
      </w:pPr>
    </w:p>
    <w:tbl>
      <w:tblPr>
        <w:tblStyle w:val="TableGrid"/>
        <w:tblW w:w="11190" w:type="dxa"/>
        <w:tblInd w:w="-732" w:type="dxa"/>
        <w:shd w:val="clear" w:color="auto" w:fill="FFFFFF"/>
        <w:tblLayout w:type="fixed"/>
        <w:tblLook w:val="01E0"/>
      </w:tblPr>
      <w:tblGrid>
        <w:gridCol w:w="5306"/>
        <w:gridCol w:w="1710"/>
        <w:gridCol w:w="1980"/>
        <w:gridCol w:w="2194"/>
      </w:tblGrid>
      <w:tr w:rsidR="0088399E" w:rsidRPr="00977992" w:rsidTr="001C50E5">
        <w:trPr>
          <w:trHeight w:val="71"/>
        </w:trPr>
        <w:tc>
          <w:tcPr>
            <w:tcW w:w="5306" w:type="dxa"/>
            <w:shd w:val="clear" w:color="auto" w:fill="FFFFFF"/>
            <w:vAlign w:val="center"/>
          </w:tcPr>
          <w:p w:rsidR="0088399E" w:rsidRPr="00977992" w:rsidRDefault="0088399E" w:rsidP="001C50E5">
            <w:pPr>
              <w:jc w:val="center"/>
              <w:rPr>
                <w:b/>
                <w:sz w:val="24"/>
                <w:szCs w:val="24"/>
                <w:u w:val="single"/>
              </w:rPr>
            </w:pPr>
            <w:r w:rsidRPr="00977992">
              <w:rPr>
                <w:b/>
                <w:sz w:val="24"/>
                <w:szCs w:val="24"/>
                <w:u w:val="single"/>
              </w:rPr>
              <w:t>Exercise, Nutrition and Sport Sciences</w:t>
            </w:r>
          </w:p>
          <w:p w:rsidR="0088399E" w:rsidRPr="00977992" w:rsidRDefault="0088399E" w:rsidP="001C50E5">
            <w:pPr>
              <w:jc w:val="center"/>
              <w:rPr>
                <w:sz w:val="24"/>
                <w:szCs w:val="24"/>
              </w:rPr>
            </w:pPr>
            <w:r w:rsidRPr="00977992">
              <w:rPr>
                <w:sz w:val="24"/>
                <w:szCs w:val="24"/>
              </w:rPr>
              <w:t>Program Outcomes</w:t>
            </w:r>
          </w:p>
        </w:tc>
        <w:tc>
          <w:tcPr>
            <w:tcW w:w="1710" w:type="dxa"/>
          </w:tcPr>
          <w:p w:rsidR="0088399E" w:rsidRPr="00977992" w:rsidRDefault="0088399E" w:rsidP="001C50E5">
            <w:pPr>
              <w:jc w:val="center"/>
              <w:rPr>
                <w:sz w:val="24"/>
                <w:szCs w:val="24"/>
              </w:rPr>
            </w:pPr>
            <w:r w:rsidRPr="00977992">
              <w:rPr>
                <w:sz w:val="24"/>
                <w:szCs w:val="24"/>
              </w:rPr>
              <w:t>In which courses are these program outcomes addressed?</w:t>
            </w:r>
          </w:p>
        </w:tc>
        <w:tc>
          <w:tcPr>
            <w:tcW w:w="1980" w:type="dxa"/>
            <w:shd w:val="clear" w:color="auto" w:fill="auto"/>
          </w:tcPr>
          <w:p w:rsidR="0088399E" w:rsidRPr="00977992" w:rsidRDefault="0088399E" w:rsidP="001C50E5">
            <w:pPr>
              <w:jc w:val="center"/>
              <w:rPr>
                <w:sz w:val="24"/>
                <w:szCs w:val="24"/>
              </w:rPr>
            </w:pPr>
            <w:r w:rsidRPr="00977992">
              <w:rPr>
                <w:sz w:val="24"/>
                <w:szCs w:val="24"/>
              </w:rPr>
              <w:t>Which of these program outcomes were assessed during the last fiscal year? </w:t>
            </w:r>
          </w:p>
        </w:tc>
        <w:tc>
          <w:tcPr>
            <w:tcW w:w="2194" w:type="dxa"/>
          </w:tcPr>
          <w:p w:rsidR="0088399E" w:rsidRPr="00977992" w:rsidRDefault="0088399E" w:rsidP="001C50E5">
            <w:pPr>
              <w:jc w:val="center"/>
              <w:rPr>
                <w:sz w:val="24"/>
                <w:szCs w:val="24"/>
              </w:rPr>
            </w:pPr>
            <w:r w:rsidRPr="00977992">
              <w:rPr>
                <w:sz w:val="24"/>
                <w:szCs w:val="24"/>
              </w:rPr>
              <w:t>Assessment Methods</w:t>
            </w:r>
          </w:p>
          <w:p w:rsidR="0088399E" w:rsidRPr="00977992" w:rsidRDefault="0088399E" w:rsidP="001C50E5">
            <w:pPr>
              <w:jc w:val="center"/>
              <w:rPr>
                <w:sz w:val="24"/>
                <w:szCs w:val="24"/>
              </w:rPr>
            </w:pPr>
            <w:r w:rsidRPr="00977992">
              <w:rPr>
                <w:sz w:val="24"/>
                <w:szCs w:val="24"/>
              </w:rPr>
              <w:t>Used</w:t>
            </w:r>
          </w:p>
          <w:p w:rsidR="0088399E" w:rsidRPr="00977992" w:rsidRDefault="0088399E" w:rsidP="001C50E5">
            <w:pPr>
              <w:jc w:val="center"/>
              <w:rPr>
                <w:sz w:val="24"/>
                <w:szCs w:val="24"/>
              </w:rPr>
            </w:pPr>
          </w:p>
        </w:tc>
      </w:tr>
      <w:tr w:rsidR="0088399E" w:rsidRPr="00977992" w:rsidTr="001C50E5">
        <w:trPr>
          <w:trHeight w:val="269"/>
        </w:trPr>
        <w:tc>
          <w:tcPr>
            <w:tcW w:w="5306" w:type="dxa"/>
            <w:shd w:val="clear" w:color="auto" w:fill="FFFFFF"/>
            <w:vAlign w:val="center"/>
          </w:tcPr>
          <w:p w:rsidR="0088399E" w:rsidRPr="00977992" w:rsidRDefault="0088399E" w:rsidP="001C50E5">
            <w:pPr>
              <w:rPr>
                <w:i/>
                <w:sz w:val="24"/>
                <w:szCs w:val="24"/>
              </w:rPr>
            </w:pPr>
            <w:r w:rsidRPr="00977992">
              <w:rPr>
                <w:b/>
                <w:sz w:val="24"/>
                <w:szCs w:val="24"/>
              </w:rPr>
              <w:t xml:space="preserve">1) </w:t>
            </w:r>
            <w:r w:rsidRPr="00977992">
              <w:rPr>
                <w:sz w:val="24"/>
                <w:szCs w:val="24"/>
              </w:rPr>
              <w:t>Exhibit an understanding of the principles of the biological aspects of life as related to the scientific world.</w:t>
            </w:r>
          </w:p>
        </w:tc>
        <w:tc>
          <w:tcPr>
            <w:tcW w:w="1710" w:type="dxa"/>
          </w:tcPr>
          <w:p w:rsidR="0088399E" w:rsidRPr="00977992" w:rsidRDefault="0088399E" w:rsidP="001C50E5">
            <w:pPr>
              <w:jc w:val="center"/>
              <w:rPr>
                <w:sz w:val="24"/>
                <w:szCs w:val="24"/>
              </w:rPr>
            </w:pPr>
            <w:r w:rsidRPr="00977992">
              <w:rPr>
                <w:sz w:val="24"/>
                <w:szCs w:val="24"/>
              </w:rPr>
              <w:t>PED 270</w:t>
            </w:r>
          </w:p>
        </w:tc>
        <w:tc>
          <w:tcPr>
            <w:tcW w:w="1980" w:type="dxa"/>
            <w:shd w:val="clear" w:color="auto" w:fill="auto"/>
          </w:tcPr>
          <w:p w:rsidR="0088399E" w:rsidRPr="00977992" w:rsidRDefault="002A35F8" w:rsidP="001C50E5">
            <w:pPr>
              <w:rPr>
                <w:sz w:val="24"/>
                <w:szCs w:val="24"/>
              </w:rPr>
            </w:pPr>
            <w:r>
              <w:rPr>
                <w:noProof/>
              </w:rPr>
              <w:pict>
                <v:shapetype id="_x0000_t201" coordsize="21600,21600" o:spt="201" path="m,l,21600r21600,l21600,xe">
                  <v:stroke joinstyle="miter"/>
                  <v:path shadowok="f" o:extrusionok="f" strokeok="f" fillok="f" o:connecttype="rect"/>
                  <o:lock v:ext="edit" shapetype="t"/>
                </v:shapetype>
                <v:shape id="_x0000_s1058" type="#_x0000_t201" style="position:absolute;margin-left:34.9pt;margin-top:8.2pt;width:16.5pt;height:15pt;z-index:251655680;mso-position-horizontal-relative:text;mso-position-vertical-relative:text" o:preferrelative="t" wrapcoords="-982 0 -982 21228 21600 21228 21600 0 -982 0" filled="f" stroked="f">
                  <v:imagedata r:id="rId9" o:title=""/>
                  <o:lock v:ext="edit" aspectratio="t"/>
                  <w10:wrap type="tight"/>
                </v:shape>
                <w:control r:id="rId10" w:name="CheckBox1" w:shapeid="_x0000_s1058"/>
              </w:pict>
            </w:r>
          </w:p>
        </w:tc>
        <w:tc>
          <w:tcPr>
            <w:tcW w:w="2194" w:type="dxa"/>
          </w:tcPr>
          <w:p w:rsidR="0088399E" w:rsidRPr="00977992" w:rsidRDefault="00D7686A" w:rsidP="001C50E5">
            <w:pPr>
              <w:pStyle w:val="ListParagraph"/>
              <w:numPr>
                <w:ilvl w:val="0"/>
                <w:numId w:val="14"/>
              </w:numPr>
              <w:ind w:left="252" w:hanging="180"/>
              <w:rPr>
                <w:sz w:val="24"/>
                <w:szCs w:val="24"/>
              </w:rPr>
            </w:pPr>
            <w:r>
              <w:t>PED 270 is the internship capstone course. Students will present in their portfolio the health disease continuum and illustrate how health disease status affects life.</w:t>
            </w:r>
          </w:p>
        </w:tc>
      </w:tr>
      <w:tr w:rsidR="0088399E" w:rsidRPr="00977992" w:rsidTr="001C50E5">
        <w:trPr>
          <w:trHeight w:val="71"/>
        </w:trPr>
        <w:tc>
          <w:tcPr>
            <w:tcW w:w="5306" w:type="dxa"/>
            <w:shd w:val="clear" w:color="auto" w:fill="FFFFFF"/>
            <w:vAlign w:val="center"/>
          </w:tcPr>
          <w:p w:rsidR="0088399E" w:rsidRPr="00977992" w:rsidRDefault="0088399E" w:rsidP="001C50E5">
            <w:pPr>
              <w:rPr>
                <w:sz w:val="24"/>
                <w:szCs w:val="24"/>
              </w:rPr>
            </w:pPr>
            <w:r w:rsidRPr="00977992">
              <w:rPr>
                <w:b/>
                <w:sz w:val="24"/>
                <w:szCs w:val="24"/>
              </w:rPr>
              <w:t xml:space="preserve">2) </w:t>
            </w:r>
            <w:r w:rsidRPr="00977992">
              <w:rPr>
                <w:sz w:val="24"/>
                <w:szCs w:val="24"/>
              </w:rPr>
              <w:t>Demonstrate and instruct effectively a wide variety of Physical Education skills and activities and be able to administer a wide variety of fitness evaluation assessments for exercise prescription.</w:t>
            </w:r>
          </w:p>
        </w:tc>
        <w:tc>
          <w:tcPr>
            <w:tcW w:w="1710" w:type="dxa"/>
          </w:tcPr>
          <w:p w:rsidR="0088399E" w:rsidRPr="00977992" w:rsidRDefault="0088399E" w:rsidP="001C50E5">
            <w:pPr>
              <w:jc w:val="center"/>
              <w:rPr>
                <w:sz w:val="24"/>
                <w:szCs w:val="24"/>
              </w:rPr>
            </w:pPr>
            <w:r w:rsidRPr="00977992">
              <w:rPr>
                <w:sz w:val="24"/>
                <w:szCs w:val="24"/>
              </w:rPr>
              <w:t>PED 270</w:t>
            </w:r>
          </w:p>
        </w:tc>
        <w:tc>
          <w:tcPr>
            <w:tcW w:w="1980" w:type="dxa"/>
            <w:shd w:val="clear" w:color="auto" w:fill="auto"/>
          </w:tcPr>
          <w:p w:rsidR="0088399E" w:rsidRPr="00977992" w:rsidRDefault="002A35F8" w:rsidP="001C50E5">
            <w:pPr>
              <w:jc w:val="center"/>
              <w:rPr>
                <w:sz w:val="24"/>
                <w:szCs w:val="24"/>
              </w:rPr>
            </w:pPr>
            <w:r>
              <w:rPr>
                <w:noProof/>
              </w:rPr>
              <w:pict>
                <v:shape id="_x0000_s1059" type="#_x0000_t201" style="position:absolute;left:0;text-align:left;margin-left:34.9pt;margin-top:3.35pt;width:16.5pt;height:19.5pt;z-index:251656704;mso-position-horizontal-relative:text;mso-position-vertical-relative:text" o:preferrelative="t" wrapcoords="-982 0 -982 21228 21600 21228 21600 0 -982 0" filled="f" stroked="f">
                  <v:imagedata r:id="rId11" o:title=""/>
                  <o:lock v:ext="edit" aspectratio="t"/>
                  <w10:wrap type="tight"/>
                </v:shape>
                <w:control r:id="rId12" w:name="CheckBox11" w:shapeid="_x0000_s1059"/>
              </w:pict>
            </w:r>
          </w:p>
        </w:tc>
        <w:tc>
          <w:tcPr>
            <w:tcW w:w="2194" w:type="dxa"/>
          </w:tcPr>
          <w:p w:rsidR="0088399E" w:rsidRPr="00977992" w:rsidRDefault="002A35F8" w:rsidP="001C50E5">
            <w:pPr>
              <w:pStyle w:val="ListParagraph"/>
              <w:numPr>
                <w:ilvl w:val="0"/>
                <w:numId w:val="14"/>
              </w:numPr>
              <w:ind w:left="252" w:hanging="180"/>
              <w:rPr>
                <w:sz w:val="24"/>
                <w:szCs w:val="24"/>
              </w:rPr>
            </w:pPr>
            <w:r w:rsidRPr="00977992">
              <w:fldChar w:fldCharType="begin">
                <w:ffData>
                  <w:name w:val="Text6"/>
                  <w:enabled/>
                  <w:calcOnExit w:val="0"/>
                  <w:textInput/>
                </w:ffData>
              </w:fldChar>
            </w:r>
            <w:r w:rsidR="0088399E" w:rsidRPr="00977992">
              <w:rPr>
                <w:sz w:val="24"/>
                <w:szCs w:val="24"/>
              </w:rPr>
              <w:instrText xml:space="preserve"> FORMTEXT </w:instrText>
            </w:r>
            <w:r w:rsidRPr="00977992">
              <w:fldChar w:fldCharType="separate"/>
            </w:r>
            <w:r w:rsidR="0088399E" w:rsidRPr="00977992">
              <w:rPr>
                <w:noProof/>
                <w:sz w:val="24"/>
                <w:szCs w:val="24"/>
              </w:rPr>
              <w:t> </w:t>
            </w:r>
            <w:r w:rsidR="0088399E" w:rsidRPr="00977992">
              <w:rPr>
                <w:noProof/>
                <w:sz w:val="24"/>
                <w:szCs w:val="24"/>
              </w:rPr>
              <w:t> </w:t>
            </w:r>
            <w:r w:rsidR="0088399E" w:rsidRPr="00977992">
              <w:rPr>
                <w:noProof/>
                <w:sz w:val="24"/>
                <w:szCs w:val="24"/>
              </w:rPr>
              <w:t> </w:t>
            </w:r>
            <w:r w:rsidR="0088399E" w:rsidRPr="00977992">
              <w:rPr>
                <w:noProof/>
                <w:sz w:val="24"/>
                <w:szCs w:val="24"/>
              </w:rPr>
              <w:t> </w:t>
            </w:r>
            <w:r w:rsidR="0088399E" w:rsidRPr="00977992">
              <w:rPr>
                <w:noProof/>
                <w:sz w:val="24"/>
                <w:szCs w:val="24"/>
              </w:rPr>
              <w:t> </w:t>
            </w:r>
            <w:r w:rsidRPr="00977992">
              <w:fldChar w:fldCharType="end"/>
            </w:r>
          </w:p>
        </w:tc>
      </w:tr>
      <w:tr w:rsidR="0087026F" w:rsidRPr="00977992" w:rsidTr="001C50E5">
        <w:trPr>
          <w:trHeight w:val="71"/>
        </w:trPr>
        <w:tc>
          <w:tcPr>
            <w:tcW w:w="5306" w:type="dxa"/>
            <w:shd w:val="clear" w:color="auto" w:fill="FFFFFF"/>
            <w:vAlign w:val="center"/>
          </w:tcPr>
          <w:p w:rsidR="0087026F" w:rsidRPr="00977992" w:rsidRDefault="0087026F" w:rsidP="001C50E5">
            <w:pPr>
              <w:rPr>
                <w:sz w:val="24"/>
                <w:szCs w:val="24"/>
              </w:rPr>
            </w:pPr>
            <w:r w:rsidRPr="00977992">
              <w:rPr>
                <w:b/>
                <w:sz w:val="24"/>
                <w:szCs w:val="24"/>
              </w:rPr>
              <w:t xml:space="preserve">3) </w:t>
            </w:r>
            <w:r w:rsidRPr="00977992">
              <w:rPr>
                <w:sz w:val="24"/>
                <w:szCs w:val="24"/>
              </w:rPr>
              <w:t>Show an understanding of personal health concepts.</w:t>
            </w:r>
            <w:r>
              <w:rPr>
                <w:sz w:val="24"/>
                <w:szCs w:val="24"/>
              </w:rPr>
              <w:t xml:space="preserve"> </w:t>
            </w:r>
            <w:r w:rsidRPr="00977992">
              <w:rPr>
                <w:sz w:val="24"/>
                <w:szCs w:val="24"/>
              </w:rPr>
              <w:t xml:space="preserve"> Recognize and correctly treat bodily and/or health related problems with the scope of practice.</w:t>
            </w:r>
          </w:p>
        </w:tc>
        <w:tc>
          <w:tcPr>
            <w:tcW w:w="1710" w:type="dxa"/>
          </w:tcPr>
          <w:p w:rsidR="0087026F" w:rsidRPr="00977992" w:rsidRDefault="0087026F" w:rsidP="001C50E5">
            <w:pPr>
              <w:jc w:val="center"/>
              <w:rPr>
                <w:sz w:val="24"/>
                <w:szCs w:val="24"/>
              </w:rPr>
            </w:pPr>
            <w:r w:rsidRPr="00977992">
              <w:rPr>
                <w:sz w:val="24"/>
                <w:szCs w:val="24"/>
              </w:rPr>
              <w:t>PED 270</w:t>
            </w:r>
          </w:p>
        </w:tc>
        <w:tc>
          <w:tcPr>
            <w:tcW w:w="1980" w:type="dxa"/>
            <w:shd w:val="clear" w:color="auto" w:fill="auto"/>
          </w:tcPr>
          <w:p w:rsidR="0087026F" w:rsidRDefault="0087026F" w:rsidP="007F0C24">
            <w:pPr>
              <w:jc w:val="center"/>
              <w:rPr>
                <w:rFonts w:ascii="Arial" w:hAnsi="Arial" w:cs="Arial"/>
              </w:rPr>
            </w:pPr>
            <w:r>
              <w:rPr>
                <w:rFonts w:ascii="Arial" w:hAnsi="Arial" w:cs="Arial"/>
              </w:rPr>
              <w:t xml:space="preserve">ASSESSED IN </w:t>
            </w:r>
          </w:p>
          <w:p w:rsidR="0087026F" w:rsidRPr="002C1797" w:rsidRDefault="0087026F" w:rsidP="007F0C24">
            <w:pPr>
              <w:jc w:val="center"/>
              <w:rPr>
                <w:sz w:val="20"/>
                <w:szCs w:val="20"/>
              </w:rPr>
            </w:pPr>
            <w:r>
              <w:rPr>
                <w:rFonts w:ascii="Arial" w:hAnsi="Arial" w:cs="Arial"/>
              </w:rPr>
              <w:t>FY 09-10</w:t>
            </w:r>
          </w:p>
        </w:tc>
        <w:tc>
          <w:tcPr>
            <w:tcW w:w="2194" w:type="dxa"/>
          </w:tcPr>
          <w:p w:rsidR="0087026F" w:rsidRPr="00977992" w:rsidRDefault="0087026F" w:rsidP="001C50E5">
            <w:pPr>
              <w:pStyle w:val="ListParagraph"/>
              <w:numPr>
                <w:ilvl w:val="0"/>
                <w:numId w:val="14"/>
              </w:numPr>
              <w:ind w:left="252" w:hanging="180"/>
              <w:rPr>
                <w:sz w:val="24"/>
                <w:szCs w:val="24"/>
              </w:rPr>
            </w:pPr>
            <w:r>
              <w:rPr>
                <w:sz w:val="24"/>
                <w:szCs w:val="24"/>
              </w:rPr>
              <w:t xml:space="preserve">PED 270 is the </w:t>
            </w:r>
            <w:r w:rsidRPr="00977992">
              <w:rPr>
                <w:sz w:val="24"/>
                <w:szCs w:val="24"/>
              </w:rPr>
              <w:t>internship</w:t>
            </w:r>
            <w:r>
              <w:rPr>
                <w:sz w:val="24"/>
                <w:szCs w:val="24"/>
              </w:rPr>
              <w:t xml:space="preserve"> capstone</w:t>
            </w:r>
            <w:r w:rsidRPr="00977992">
              <w:rPr>
                <w:sz w:val="24"/>
                <w:szCs w:val="24"/>
              </w:rPr>
              <w:t xml:space="preserve"> </w:t>
            </w:r>
            <w:r>
              <w:rPr>
                <w:sz w:val="24"/>
                <w:szCs w:val="24"/>
              </w:rPr>
              <w:t>course. Students will be CPR &amp;</w:t>
            </w:r>
            <w:r w:rsidRPr="00977992">
              <w:rPr>
                <w:sz w:val="24"/>
                <w:szCs w:val="24"/>
              </w:rPr>
              <w:t xml:space="preserve"> First Aid Certified. Students present in their portfolio their personal wellness log.</w:t>
            </w:r>
          </w:p>
        </w:tc>
      </w:tr>
      <w:tr w:rsidR="0087026F" w:rsidRPr="00977992" w:rsidTr="001C50E5">
        <w:trPr>
          <w:trHeight w:val="71"/>
        </w:trPr>
        <w:tc>
          <w:tcPr>
            <w:tcW w:w="5306" w:type="dxa"/>
            <w:shd w:val="clear" w:color="auto" w:fill="FFFFFF"/>
            <w:vAlign w:val="center"/>
          </w:tcPr>
          <w:p w:rsidR="0087026F" w:rsidRPr="00977992" w:rsidRDefault="0087026F" w:rsidP="001C50E5">
            <w:pPr>
              <w:rPr>
                <w:sz w:val="24"/>
                <w:szCs w:val="24"/>
              </w:rPr>
            </w:pPr>
            <w:r w:rsidRPr="00977992">
              <w:rPr>
                <w:b/>
                <w:sz w:val="24"/>
                <w:szCs w:val="24"/>
              </w:rPr>
              <w:t xml:space="preserve">4) </w:t>
            </w:r>
            <w:r w:rsidRPr="00977992">
              <w:rPr>
                <w:sz w:val="24"/>
                <w:szCs w:val="24"/>
              </w:rPr>
              <w:t>Explain the significance and importance of physical education/exercise science/sport and recreation management and its impact on society.</w:t>
            </w:r>
          </w:p>
        </w:tc>
        <w:tc>
          <w:tcPr>
            <w:tcW w:w="1710" w:type="dxa"/>
          </w:tcPr>
          <w:p w:rsidR="0087026F" w:rsidRPr="00977992" w:rsidRDefault="0087026F" w:rsidP="001C50E5">
            <w:pPr>
              <w:jc w:val="center"/>
              <w:rPr>
                <w:sz w:val="24"/>
                <w:szCs w:val="24"/>
              </w:rPr>
            </w:pPr>
            <w:r w:rsidRPr="00977992">
              <w:rPr>
                <w:sz w:val="24"/>
                <w:szCs w:val="24"/>
              </w:rPr>
              <w:t>PED 270</w:t>
            </w:r>
          </w:p>
        </w:tc>
        <w:tc>
          <w:tcPr>
            <w:tcW w:w="1980" w:type="dxa"/>
            <w:shd w:val="clear" w:color="auto" w:fill="auto"/>
          </w:tcPr>
          <w:p w:rsidR="0087026F" w:rsidRPr="00977992" w:rsidRDefault="002A35F8" w:rsidP="001C50E5">
            <w:pPr>
              <w:jc w:val="center"/>
              <w:rPr>
                <w:sz w:val="24"/>
                <w:szCs w:val="24"/>
              </w:rPr>
            </w:pPr>
            <w:r>
              <w:rPr>
                <w:noProof/>
              </w:rPr>
              <w:pict>
                <v:shape id="_x0000_s1066" type="#_x0000_t201" style="position:absolute;left:0;text-align:left;margin-left:34.9pt;margin-top:3.35pt;width:16.5pt;height:19.5pt;z-index:251661824;mso-position-horizontal-relative:text;mso-position-vertical-relative:text" o:preferrelative="t" wrapcoords="-982 0 -982 21228 21600 21228 21600 0 -982 0" filled="f" stroked="f">
                  <v:imagedata r:id="rId11" o:title=""/>
                  <o:lock v:ext="edit" aspectratio="t"/>
                  <w10:wrap type="tight"/>
                </v:shape>
                <w:control r:id="rId13" w:name="CheckBox111" w:shapeid="_x0000_s1066"/>
              </w:pict>
            </w:r>
          </w:p>
        </w:tc>
        <w:tc>
          <w:tcPr>
            <w:tcW w:w="2194" w:type="dxa"/>
          </w:tcPr>
          <w:p w:rsidR="0087026F" w:rsidRPr="00977992" w:rsidRDefault="002A35F8" w:rsidP="001C50E5">
            <w:pPr>
              <w:pStyle w:val="ListParagraph"/>
              <w:numPr>
                <w:ilvl w:val="0"/>
                <w:numId w:val="14"/>
              </w:numPr>
              <w:ind w:left="252" w:hanging="180"/>
              <w:rPr>
                <w:sz w:val="24"/>
                <w:szCs w:val="24"/>
              </w:rPr>
            </w:pPr>
            <w:r w:rsidRPr="00977992">
              <w:fldChar w:fldCharType="begin">
                <w:ffData>
                  <w:name w:val="Text6"/>
                  <w:enabled/>
                  <w:calcOnExit w:val="0"/>
                  <w:textInput/>
                </w:ffData>
              </w:fldChar>
            </w:r>
            <w:r w:rsidR="0087026F" w:rsidRPr="00977992">
              <w:rPr>
                <w:sz w:val="24"/>
                <w:szCs w:val="24"/>
              </w:rPr>
              <w:instrText xml:space="preserve"> FORMTEXT </w:instrText>
            </w:r>
            <w:r w:rsidRPr="00977992">
              <w:fldChar w:fldCharType="separate"/>
            </w:r>
            <w:r w:rsidR="0087026F" w:rsidRPr="00977992">
              <w:rPr>
                <w:noProof/>
                <w:sz w:val="24"/>
                <w:szCs w:val="24"/>
              </w:rPr>
              <w:t> </w:t>
            </w:r>
            <w:r w:rsidR="0087026F" w:rsidRPr="00977992">
              <w:rPr>
                <w:noProof/>
                <w:sz w:val="24"/>
                <w:szCs w:val="24"/>
              </w:rPr>
              <w:t> </w:t>
            </w:r>
            <w:r w:rsidR="0087026F" w:rsidRPr="00977992">
              <w:rPr>
                <w:noProof/>
                <w:sz w:val="24"/>
                <w:szCs w:val="24"/>
              </w:rPr>
              <w:t> </w:t>
            </w:r>
            <w:r w:rsidR="0087026F" w:rsidRPr="00977992">
              <w:rPr>
                <w:noProof/>
                <w:sz w:val="24"/>
                <w:szCs w:val="24"/>
              </w:rPr>
              <w:t> </w:t>
            </w:r>
            <w:r w:rsidR="0087026F" w:rsidRPr="00977992">
              <w:rPr>
                <w:noProof/>
                <w:sz w:val="24"/>
                <w:szCs w:val="24"/>
              </w:rPr>
              <w:t> </w:t>
            </w:r>
            <w:r w:rsidRPr="00977992">
              <w:fldChar w:fldCharType="end"/>
            </w:r>
          </w:p>
        </w:tc>
      </w:tr>
      <w:tr w:rsidR="0087026F" w:rsidRPr="00977992" w:rsidTr="001C50E5">
        <w:trPr>
          <w:trHeight w:val="71"/>
        </w:trPr>
        <w:tc>
          <w:tcPr>
            <w:tcW w:w="5306" w:type="dxa"/>
            <w:shd w:val="clear" w:color="auto" w:fill="FFFFFF"/>
            <w:vAlign w:val="center"/>
          </w:tcPr>
          <w:p w:rsidR="0087026F" w:rsidRPr="00977992" w:rsidRDefault="0087026F" w:rsidP="001C50E5">
            <w:pPr>
              <w:rPr>
                <w:sz w:val="24"/>
                <w:szCs w:val="24"/>
              </w:rPr>
            </w:pPr>
            <w:r w:rsidRPr="00977992">
              <w:rPr>
                <w:b/>
                <w:sz w:val="24"/>
                <w:szCs w:val="24"/>
              </w:rPr>
              <w:lastRenderedPageBreak/>
              <w:t xml:space="preserve">5) </w:t>
            </w:r>
            <w:r w:rsidRPr="00977992">
              <w:rPr>
                <w:sz w:val="24"/>
                <w:szCs w:val="24"/>
              </w:rPr>
              <w:t>Ide</w:t>
            </w:r>
            <w:r>
              <w:rPr>
                <w:sz w:val="24"/>
                <w:szCs w:val="24"/>
              </w:rPr>
              <w:t xml:space="preserve">ntify best practice in physical </w:t>
            </w:r>
            <w:r w:rsidRPr="00977992">
              <w:rPr>
                <w:sz w:val="24"/>
                <w:szCs w:val="24"/>
              </w:rPr>
              <w:t>education/exercise</w:t>
            </w:r>
          </w:p>
          <w:p w:rsidR="0087026F" w:rsidRPr="00977992" w:rsidRDefault="0087026F" w:rsidP="001C50E5">
            <w:pPr>
              <w:rPr>
                <w:sz w:val="24"/>
                <w:szCs w:val="24"/>
              </w:rPr>
            </w:pPr>
            <w:r w:rsidRPr="00977992">
              <w:rPr>
                <w:sz w:val="24"/>
                <w:szCs w:val="24"/>
              </w:rPr>
              <w:t>Science/sport and recreation management. Demonstrate an ability to organize and develop a variety of recreation/fitness/</w:t>
            </w:r>
          </w:p>
          <w:p w:rsidR="0087026F" w:rsidRPr="00977992" w:rsidRDefault="0087026F" w:rsidP="001C50E5">
            <w:pPr>
              <w:rPr>
                <w:sz w:val="24"/>
                <w:szCs w:val="24"/>
              </w:rPr>
            </w:pPr>
            <w:r>
              <w:rPr>
                <w:sz w:val="24"/>
                <w:szCs w:val="24"/>
              </w:rPr>
              <w:t>s</w:t>
            </w:r>
            <w:r w:rsidRPr="00977992">
              <w:rPr>
                <w:sz w:val="24"/>
                <w:szCs w:val="24"/>
              </w:rPr>
              <w:t>port programming and events.</w:t>
            </w:r>
          </w:p>
        </w:tc>
        <w:tc>
          <w:tcPr>
            <w:tcW w:w="1710" w:type="dxa"/>
          </w:tcPr>
          <w:p w:rsidR="0087026F" w:rsidRPr="00977992" w:rsidRDefault="0087026F" w:rsidP="001C50E5">
            <w:pPr>
              <w:jc w:val="center"/>
              <w:rPr>
                <w:sz w:val="24"/>
                <w:szCs w:val="24"/>
              </w:rPr>
            </w:pPr>
            <w:r w:rsidRPr="00977992">
              <w:rPr>
                <w:sz w:val="24"/>
                <w:szCs w:val="24"/>
              </w:rPr>
              <w:t>PED 270</w:t>
            </w:r>
          </w:p>
        </w:tc>
        <w:tc>
          <w:tcPr>
            <w:tcW w:w="1980" w:type="dxa"/>
            <w:shd w:val="clear" w:color="auto" w:fill="auto"/>
          </w:tcPr>
          <w:p w:rsidR="0087026F" w:rsidRPr="00977992" w:rsidRDefault="002A35F8" w:rsidP="001C50E5">
            <w:pPr>
              <w:rPr>
                <w:sz w:val="24"/>
                <w:szCs w:val="24"/>
              </w:rPr>
            </w:pPr>
            <w:r>
              <w:rPr>
                <w:noProof/>
              </w:rPr>
              <w:pict>
                <v:shape id="_x0000_s1067" type="#_x0000_t201" style="position:absolute;margin-left:34.9pt;margin-top:8.2pt;width:16.5pt;height:15pt;z-index:251662848;mso-position-horizontal-relative:text;mso-position-vertical-relative:text" o:preferrelative="t" wrapcoords="-982 0 -982 21228 21600 21228 21600 0 -982 0" filled="f" stroked="f">
                  <v:imagedata r:id="rId14" o:title=""/>
                  <o:lock v:ext="edit" aspectratio="t"/>
                  <w10:wrap type="tight"/>
                </v:shape>
                <w:control r:id="rId15" w:name="CheckBox13" w:shapeid="_x0000_s1067"/>
              </w:pict>
            </w:r>
          </w:p>
        </w:tc>
        <w:tc>
          <w:tcPr>
            <w:tcW w:w="2194" w:type="dxa"/>
          </w:tcPr>
          <w:p w:rsidR="0087026F" w:rsidRPr="00977992" w:rsidRDefault="002A35F8" w:rsidP="001C50E5">
            <w:pPr>
              <w:pStyle w:val="ListParagraph"/>
              <w:numPr>
                <w:ilvl w:val="0"/>
                <w:numId w:val="14"/>
              </w:numPr>
              <w:ind w:left="252" w:hanging="180"/>
              <w:rPr>
                <w:sz w:val="24"/>
                <w:szCs w:val="24"/>
              </w:rPr>
            </w:pPr>
            <w:r w:rsidRPr="00977992">
              <w:fldChar w:fldCharType="begin">
                <w:ffData>
                  <w:name w:val="Text6"/>
                  <w:enabled/>
                  <w:calcOnExit w:val="0"/>
                  <w:textInput/>
                </w:ffData>
              </w:fldChar>
            </w:r>
            <w:r w:rsidR="0087026F" w:rsidRPr="00977992">
              <w:rPr>
                <w:sz w:val="24"/>
                <w:szCs w:val="24"/>
              </w:rPr>
              <w:instrText xml:space="preserve"> FORMTEXT </w:instrText>
            </w:r>
            <w:r w:rsidRPr="00977992">
              <w:fldChar w:fldCharType="separate"/>
            </w:r>
            <w:r w:rsidR="0087026F" w:rsidRPr="00977992">
              <w:rPr>
                <w:noProof/>
                <w:sz w:val="24"/>
                <w:szCs w:val="24"/>
              </w:rPr>
              <w:t> </w:t>
            </w:r>
            <w:r w:rsidR="0087026F" w:rsidRPr="00977992">
              <w:rPr>
                <w:noProof/>
                <w:sz w:val="24"/>
                <w:szCs w:val="24"/>
              </w:rPr>
              <w:t> </w:t>
            </w:r>
            <w:r w:rsidR="0087026F" w:rsidRPr="00977992">
              <w:rPr>
                <w:noProof/>
                <w:sz w:val="24"/>
                <w:szCs w:val="24"/>
              </w:rPr>
              <w:t> </w:t>
            </w:r>
            <w:r w:rsidR="0087026F" w:rsidRPr="00977992">
              <w:rPr>
                <w:noProof/>
                <w:sz w:val="24"/>
                <w:szCs w:val="24"/>
              </w:rPr>
              <w:t> </w:t>
            </w:r>
            <w:r w:rsidR="0087026F" w:rsidRPr="00977992">
              <w:rPr>
                <w:noProof/>
                <w:sz w:val="24"/>
                <w:szCs w:val="24"/>
              </w:rPr>
              <w:t> </w:t>
            </w:r>
            <w:r w:rsidRPr="00977992">
              <w:fldChar w:fldCharType="end"/>
            </w:r>
          </w:p>
        </w:tc>
      </w:tr>
    </w:tbl>
    <w:p w:rsidR="00BF3561" w:rsidRDefault="00BF3561" w:rsidP="00BF3561">
      <w:pPr>
        <w:pStyle w:val="ListParagraph"/>
        <w:tabs>
          <w:tab w:val="left" w:pos="5040"/>
        </w:tabs>
      </w:pPr>
    </w:p>
    <w:p w:rsidR="0088399E" w:rsidRDefault="0088399E" w:rsidP="00BF3561">
      <w:pPr>
        <w:pStyle w:val="ListParagraph"/>
        <w:tabs>
          <w:tab w:val="left" w:pos="5040"/>
        </w:tabs>
      </w:pPr>
    </w:p>
    <w:p w:rsidR="005531E8" w:rsidRPr="00BF3561" w:rsidRDefault="00320CDE">
      <w:pPr>
        <w:pStyle w:val="ListParagraph"/>
        <w:numPr>
          <w:ilvl w:val="0"/>
          <w:numId w:val="22"/>
        </w:numPr>
        <w:tabs>
          <w:tab w:val="left" w:pos="5040"/>
        </w:tabs>
      </w:pPr>
      <w:r w:rsidRPr="00BF3561">
        <w:t>For the assessment methods listed in the table above, w</w:t>
      </w:r>
      <w:r w:rsidR="00A63ACE" w:rsidRPr="00BF3561">
        <w:t xml:space="preserve">hat were the results?  </w:t>
      </w:r>
    </w:p>
    <w:p w:rsidR="00BF3561" w:rsidRPr="00BF3561" w:rsidRDefault="00083D3C" w:rsidP="00BF3561">
      <w:pPr>
        <w:pStyle w:val="ListParagraph"/>
        <w:tabs>
          <w:tab w:val="left" w:pos="5040"/>
        </w:tabs>
      </w:pPr>
      <w:r>
        <w:t>Students successfully</w:t>
      </w:r>
      <w:r w:rsidR="00604A46">
        <w:t xml:space="preserve"> analyze</w:t>
      </w:r>
      <w:r>
        <w:t>d</w:t>
      </w:r>
      <w:r w:rsidR="00604A46">
        <w:t xml:space="preserve"> the scientific evidence that exists supporting the importance of optimal health.</w:t>
      </w:r>
      <w:r w:rsidR="00AD4D36">
        <w:t xml:space="preserve"> </w:t>
      </w:r>
    </w:p>
    <w:p w:rsidR="00BF3561" w:rsidRPr="00BF3561" w:rsidRDefault="00BF3561" w:rsidP="00BF3561">
      <w:pPr>
        <w:pStyle w:val="ListParagraph"/>
        <w:tabs>
          <w:tab w:val="left" w:pos="5040"/>
        </w:tabs>
      </w:pPr>
    </w:p>
    <w:p w:rsidR="005531E8" w:rsidRPr="00BF3561" w:rsidRDefault="005531E8">
      <w:pPr>
        <w:pStyle w:val="ListParagraph"/>
        <w:tabs>
          <w:tab w:val="left" w:pos="5040"/>
        </w:tabs>
      </w:pPr>
    </w:p>
    <w:p w:rsidR="00BF3561" w:rsidRPr="00BF3561" w:rsidRDefault="00DF5973" w:rsidP="00BF3561">
      <w:pPr>
        <w:pStyle w:val="ListParagraph"/>
        <w:numPr>
          <w:ilvl w:val="0"/>
          <w:numId w:val="22"/>
        </w:numPr>
        <w:tabs>
          <w:tab w:val="left" w:pos="5040"/>
        </w:tabs>
      </w:pPr>
      <w:r w:rsidRPr="00BF3561">
        <w:t xml:space="preserve">Were </w:t>
      </w:r>
      <w:r w:rsidR="00A63ACE" w:rsidRPr="00BF3561">
        <w:t>changes planned as a result of the data?</w:t>
      </w:r>
      <w:r w:rsidRPr="00BF3561">
        <w:t xml:space="preserve">  If so, what were those changes?</w:t>
      </w:r>
      <w:r w:rsidR="00BF3561" w:rsidRPr="00BF3561">
        <w:t xml:space="preserve"> </w:t>
      </w:r>
    </w:p>
    <w:p w:rsidR="00BF3561" w:rsidRPr="00BF3561" w:rsidRDefault="00AD4D36" w:rsidP="00BF3561">
      <w:pPr>
        <w:pStyle w:val="ListParagraph"/>
        <w:tabs>
          <w:tab w:val="left" w:pos="5040"/>
        </w:tabs>
      </w:pPr>
      <w:r>
        <w:t>The students demons</w:t>
      </w:r>
      <w:r w:rsidR="004025D6">
        <w:t>trated they understood the task; 1</w:t>
      </w:r>
      <w:r w:rsidR="004025D6" w:rsidRPr="00977992">
        <w:rPr>
          <w:b/>
        </w:rPr>
        <w:t xml:space="preserve">) </w:t>
      </w:r>
      <w:r w:rsidR="004025D6" w:rsidRPr="00977992">
        <w:t>Exhibit an understanding of the principles of the biological aspects of life as related to the scientific world.</w:t>
      </w:r>
      <w:r>
        <w:t xml:space="preserve"> The department as a result of going through Q2S </w:t>
      </w:r>
      <w:r w:rsidR="004025D6">
        <w:t xml:space="preserve">has changed this outcome. The outcome was not stated clearly which made it difficult to understand and truly answer and measure. </w:t>
      </w:r>
    </w:p>
    <w:p w:rsidR="00BF3561" w:rsidRDefault="004025D6" w:rsidP="00BF3561">
      <w:pPr>
        <w:pStyle w:val="ListParagraph"/>
        <w:tabs>
          <w:tab w:val="left" w:pos="5040"/>
        </w:tabs>
      </w:pPr>
      <w:r>
        <w:t>Outcome Name – Movement, assessment and evaluation</w:t>
      </w:r>
    </w:p>
    <w:p w:rsidR="004025D6" w:rsidRPr="00BF3561" w:rsidRDefault="004025D6" w:rsidP="00BF3561">
      <w:pPr>
        <w:pStyle w:val="ListParagraph"/>
        <w:tabs>
          <w:tab w:val="left" w:pos="5040"/>
        </w:tabs>
      </w:pPr>
      <w:r>
        <w:t xml:space="preserve">Description of Outcome – Analyze the principles of the biological aspects of movement and to be able to administer a wide variety of fitness evaluation assessments for exercise prescription. </w:t>
      </w:r>
    </w:p>
    <w:p w:rsidR="00BF3561" w:rsidRPr="00BF3561" w:rsidRDefault="00BF3561" w:rsidP="00BF3561">
      <w:pPr>
        <w:pStyle w:val="ListParagraph"/>
        <w:tabs>
          <w:tab w:val="left" w:pos="5040"/>
        </w:tabs>
      </w:pPr>
    </w:p>
    <w:p w:rsidR="00BF3561" w:rsidRPr="00BF3561" w:rsidRDefault="006A2AA3" w:rsidP="00BF3561">
      <w:pPr>
        <w:pStyle w:val="ListParagraph"/>
        <w:numPr>
          <w:ilvl w:val="0"/>
          <w:numId w:val="22"/>
        </w:numPr>
        <w:tabs>
          <w:tab w:val="left" w:pos="5040"/>
        </w:tabs>
      </w:pPr>
      <w:r w:rsidRPr="00BF3561">
        <w:t>How will you determine whether those changes had an impact?</w:t>
      </w:r>
      <w:r w:rsidR="00BF3561" w:rsidRPr="00BF3561">
        <w:t xml:space="preserve"> </w:t>
      </w:r>
    </w:p>
    <w:p w:rsidR="00BF3561" w:rsidRPr="00BF3561" w:rsidRDefault="00604A46" w:rsidP="00BF3561">
      <w:pPr>
        <w:pStyle w:val="ListParagraph"/>
        <w:tabs>
          <w:tab w:val="left" w:pos="5040"/>
        </w:tabs>
      </w:pPr>
      <w:r>
        <w:t>We will continue to gather data which will be evaluated; we will also get feedback from our internship sites so we can measure its usefulness in the professional field.</w:t>
      </w:r>
      <w:r w:rsidR="004025D6">
        <w:t xml:space="preserve"> </w:t>
      </w:r>
    </w:p>
    <w:p w:rsidR="005531E8" w:rsidRPr="00BF3561" w:rsidRDefault="005531E8" w:rsidP="00BF3561">
      <w:pPr>
        <w:pStyle w:val="ListParagraph"/>
        <w:tabs>
          <w:tab w:val="left" w:pos="5040"/>
        </w:tabs>
      </w:pPr>
    </w:p>
    <w:p w:rsidR="00847243" w:rsidRPr="00BF3561" w:rsidRDefault="00847243" w:rsidP="00034CE6">
      <w:pPr>
        <w:tabs>
          <w:tab w:val="left" w:pos="5040"/>
        </w:tabs>
      </w:pPr>
    </w:p>
    <w:p w:rsidR="00F86156" w:rsidRDefault="00F86156" w:rsidP="00034CE6">
      <w:pPr>
        <w:tabs>
          <w:tab w:val="left" w:pos="5040"/>
        </w:tabs>
      </w:pPr>
    </w:p>
    <w:p w:rsidR="00034CE6" w:rsidRPr="00BF3561" w:rsidRDefault="00414645" w:rsidP="00034CE6">
      <w:pPr>
        <w:tabs>
          <w:tab w:val="left" w:pos="5040"/>
        </w:tabs>
      </w:pPr>
      <w:r w:rsidRPr="00BF3561">
        <w:t>c</w:t>
      </w:r>
      <w:r w:rsidR="006A2AA3" w:rsidRPr="00BF3561">
        <w:t xml:space="preserve">)   </w:t>
      </w:r>
      <w:r w:rsidR="000E4EFE" w:rsidRPr="00BF3561">
        <w:t xml:space="preserve">Starting with next year’s Annual Update, this section will ask about assessment of general education outcomes.  </w:t>
      </w:r>
      <w:r w:rsidR="00B608D5">
        <w:t>For FY 2012-13, you will be asked how the department is assessing Oral Communication and Written Communication in your courses, and in addition you will be asked to share the results of those assessments.</w:t>
      </w:r>
      <w:r w:rsidR="00BF3561">
        <w:t xml:space="preserve">  </w:t>
      </w:r>
      <w:r w:rsidR="00BF3561" w:rsidRPr="00BF3561">
        <w:rPr>
          <w:u w:val="single"/>
        </w:rPr>
        <w:t>Please be prepared to address this in next year’s Annual Update</w:t>
      </w:r>
      <w:r w:rsidR="00BF3561">
        <w:t>.</w:t>
      </w:r>
    </w:p>
    <w:p w:rsidR="00F17C08" w:rsidRDefault="00F17C08" w:rsidP="00034CE6">
      <w:pPr>
        <w:tabs>
          <w:tab w:val="left" w:pos="5040"/>
        </w:tabs>
      </w:pPr>
    </w:p>
    <w:p w:rsidR="00BF3561" w:rsidRDefault="00BF3561" w:rsidP="00034CE6">
      <w:pPr>
        <w:tabs>
          <w:tab w:val="left" w:pos="5040"/>
        </w:tabs>
      </w:pPr>
    </w:p>
    <w:p w:rsidR="00BF3561" w:rsidRPr="00BF3561" w:rsidRDefault="00BF3561" w:rsidP="00034CE6">
      <w:pPr>
        <w:tabs>
          <w:tab w:val="left" w:pos="5040"/>
        </w:tabs>
      </w:pPr>
    </w:p>
    <w:p w:rsidR="00F17C08" w:rsidRPr="00BF3561" w:rsidRDefault="00F17C08" w:rsidP="00034CE6">
      <w:pPr>
        <w:tabs>
          <w:tab w:val="left" w:pos="5040"/>
        </w:tabs>
      </w:pPr>
      <w:r w:rsidRPr="00BF3561">
        <w:t xml:space="preserve">d)   Does your department have courses where there are common assignments or exams across all sections of the course?  If so, please list those courses, and indicate whether you are currently examining results across all sections of those courses.   </w:t>
      </w:r>
      <w:r w:rsidR="004025D6">
        <w:t>The department has n</w:t>
      </w:r>
      <w:r w:rsidR="00604A46">
        <w:t>one at this time.</w:t>
      </w:r>
      <w:r w:rsidRPr="00BF3561">
        <w:t xml:space="preserve">  </w:t>
      </w:r>
    </w:p>
    <w:p w:rsidR="00847243" w:rsidRPr="00BF3561" w:rsidRDefault="00847243" w:rsidP="00034CE6">
      <w:pPr>
        <w:tabs>
          <w:tab w:val="left" w:pos="5040"/>
        </w:tabs>
        <w:rPr>
          <w:b/>
          <w:u w:val="single"/>
        </w:rPr>
      </w:pPr>
    </w:p>
    <w:p w:rsidR="00BA3246" w:rsidRDefault="00BA3246" w:rsidP="00BA3246">
      <w:pPr>
        <w:spacing w:after="200" w:line="276" w:lineRule="auto"/>
        <w:rPr>
          <w:b/>
          <w:u w:val="single"/>
        </w:rPr>
      </w:pPr>
    </w:p>
    <w:p w:rsidR="004025D6" w:rsidRDefault="004025D6" w:rsidP="00BA3246">
      <w:pPr>
        <w:spacing w:after="200" w:line="276" w:lineRule="auto"/>
        <w:rPr>
          <w:b/>
          <w:u w:val="single"/>
        </w:rPr>
      </w:pPr>
    </w:p>
    <w:p w:rsidR="00083D3C" w:rsidRDefault="00083D3C" w:rsidP="00BA3246">
      <w:pPr>
        <w:spacing w:after="200" w:line="276" w:lineRule="auto"/>
        <w:rPr>
          <w:b/>
          <w:u w:val="single"/>
        </w:rPr>
      </w:pPr>
    </w:p>
    <w:p w:rsidR="004025D6" w:rsidRDefault="004025D6" w:rsidP="00BA3246">
      <w:pPr>
        <w:spacing w:after="200" w:line="276" w:lineRule="auto"/>
        <w:rPr>
          <w:b/>
          <w:u w:val="single"/>
        </w:rPr>
      </w:pPr>
    </w:p>
    <w:p w:rsidR="002F3278" w:rsidRPr="00034CE6" w:rsidRDefault="002F3278" w:rsidP="002F3278">
      <w:pPr>
        <w:spacing w:after="200" w:line="276" w:lineRule="auto"/>
      </w:pPr>
      <w:r w:rsidRPr="00D708C3">
        <w:rPr>
          <w:b/>
          <w:u w:val="single"/>
        </w:rPr>
        <w:lastRenderedPageBreak/>
        <w:t xml:space="preserve">Section IV:  </w:t>
      </w:r>
      <w:r w:rsidRPr="00A36DEE">
        <w:rPr>
          <w:b/>
          <w:u w:val="single"/>
        </w:rPr>
        <w:t>Improvement Efforts</w:t>
      </w:r>
      <w:r w:rsidRPr="00D708C3">
        <w:rPr>
          <w:b/>
          <w:u w:val="single"/>
        </w:rPr>
        <w:t xml:space="preserve"> for the Fiscal Year</w:t>
      </w:r>
    </w:p>
    <w:p w:rsidR="002F3278" w:rsidRDefault="002F3278" w:rsidP="002F3278">
      <w:pPr>
        <w:tabs>
          <w:tab w:val="left" w:pos="5040"/>
        </w:tabs>
      </w:pPr>
    </w:p>
    <w:p w:rsidR="00083D3C" w:rsidRDefault="002F3278" w:rsidP="00083D3C">
      <w:pPr>
        <w:pStyle w:val="ListParagraph"/>
        <w:numPr>
          <w:ilvl w:val="0"/>
          <w:numId w:val="11"/>
        </w:numPr>
        <w:tabs>
          <w:tab w:val="left" w:pos="5040"/>
        </w:tabs>
      </w:pPr>
      <w:r w:rsidRPr="00827AE5">
        <w:rPr>
          <w:b/>
          <w:u w:val="single"/>
        </w:rPr>
        <w:t xml:space="preserve">FY </w:t>
      </w:r>
      <w:r>
        <w:rPr>
          <w:b/>
          <w:u w:val="single"/>
        </w:rPr>
        <w:t>10</w:t>
      </w:r>
      <w:r w:rsidRPr="00827AE5">
        <w:rPr>
          <w:b/>
          <w:u w:val="single"/>
        </w:rPr>
        <w:t>-</w:t>
      </w:r>
      <w:r>
        <w:rPr>
          <w:b/>
          <w:u w:val="single"/>
        </w:rPr>
        <w:t>11</w:t>
      </w:r>
      <w:r w:rsidRPr="00827AE5">
        <w:rPr>
          <w:b/>
        </w:rPr>
        <w:t>:</w:t>
      </w:r>
      <w:r w:rsidRPr="00827AE5">
        <w:rPr>
          <w:b/>
          <w:color w:val="FF0000"/>
        </w:rPr>
        <w:t xml:space="preserve"> </w:t>
      </w:r>
      <w:r w:rsidRPr="00A36DEE">
        <w:t xml:space="preserve">What other improvement efforts did the department make in FY </w:t>
      </w:r>
      <w:r>
        <w:t>10</w:t>
      </w:r>
      <w:r w:rsidRPr="00A36DEE">
        <w:t>-1</w:t>
      </w:r>
      <w:r>
        <w:t>1</w:t>
      </w:r>
      <w:r w:rsidRPr="00A36DEE">
        <w:t>?  How successful were these efforts?  What further efforts need to be made? If your department didn’t make improvement efforts during the fiscal year, discuss the strengths and weaknesses of the department over the last year and how the department plans to address them in the coming year.</w:t>
      </w:r>
      <w:r w:rsidR="00083D3C">
        <w:t xml:space="preserve"> </w:t>
      </w:r>
    </w:p>
    <w:p w:rsidR="00083D3C" w:rsidRDefault="00083D3C" w:rsidP="00083D3C">
      <w:pPr>
        <w:pStyle w:val="ListParagraph"/>
        <w:tabs>
          <w:tab w:val="left" w:pos="5040"/>
        </w:tabs>
      </w:pPr>
      <w:r>
        <w:t>The department had stated a possible collaboration with Counseling Services; this has not been done at this time. This improvement effort to collaborate with Counseling Services is still a task the department would like to focus on for 11-12.</w:t>
      </w:r>
      <w:r w:rsidR="00526123">
        <w:t xml:space="preserve"> Meeting with Gwen Helton to establish a plan will be our first step.</w:t>
      </w:r>
    </w:p>
    <w:p w:rsidR="002F3278" w:rsidRDefault="002F52EE" w:rsidP="002F52EE">
      <w:pPr>
        <w:pStyle w:val="ListParagraph"/>
        <w:tabs>
          <w:tab w:val="left" w:pos="5040"/>
        </w:tabs>
      </w:pPr>
      <w:r>
        <w:t>The department successfully</w:t>
      </w:r>
      <w:r w:rsidR="00AD4D36">
        <w:t xml:space="preserve"> complete</w:t>
      </w:r>
      <w:r w:rsidR="00083D3C">
        <w:t>d all courses,</w:t>
      </w:r>
      <w:r w:rsidR="00AD4D36">
        <w:t xml:space="preserve"> programs</w:t>
      </w:r>
      <w:r w:rsidR="00083D3C">
        <w:t xml:space="preserve"> and other responsibilities at this time with the Q2S project</w:t>
      </w:r>
      <w:r w:rsidR="00AD4D36">
        <w:t xml:space="preserve">. </w:t>
      </w:r>
      <w:r w:rsidR="00F03232">
        <w:t>Ty</w:t>
      </w:r>
      <w:r w:rsidR="00083D3C">
        <w:t>wan</w:t>
      </w:r>
      <w:r w:rsidR="00F03232">
        <w:t xml:space="preserve"> Corbitt joined the department as a “Grow Our Own” faculty member, completing his Masters degree from Xavier Spring 11. </w:t>
      </w:r>
      <w:r>
        <w:t xml:space="preserve">We offered the </w:t>
      </w:r>
      <w:r w:rsidR="00F03232">
        <w:t>Associates</w:t>
      </w:r>
      <w:r>
        <w:t xml:space="preserve"> of Applied Science in Exercise Science beginning Fall 10. Many of our students who were currently </w:t>
      </w:r>
      <w:r w:rsidR="00F03232">
        <w:t>pursuing</w:t>
      </w:r>
      <w:r>
        <w:t xml:space="preserve"> their </w:t>
      </w:r>
      <w:r w:rsidR="00F03232">
        <w:t>Associates</w:t>
      </w:r>
      <w:r>
        <w:t xml:space="preserve"> of Arts in Physical Education with an emphasis in Exercise Science switched programs, resulting in </w:t>
      </w:r>
      <w:r w:rsidR="00F03232">
        <w:t>5 graduating</w:t>
      </w:r>
      <w:r w:rsidR="00083D3C">
        <w:t xml:space="preserve"> Spring 11, along with an additional 6 with their PED.AA degree.</w:t>
      </w:r>
    </w:p>
    <w:p w:rsidR="002234DC" w:rsidRDefault="002234DC" w:rsidP="002F52EE">
      <w:pPr>
        <w:pStyle w:val="ListParagraph"/>
        <w:tabs>
          <w:tab w:val="left" w:pos="5040"/>
        </w:tabs>
      </w:pPr>
    </w:p>
    <w:p w:rsidR="002234DC" w:rsidRPr="002234DC" w:rsidRDefault="002234DC" w:rsidP="002234DC">
      <w:pPr>
        <w:rPr>
          <w:rFonts w:ascii="Arial" w:hAnsi="Arial" w:cs="Arial"/>
          <w:b/>
        </w:rPr>
      </w:pPr>
      <w:r w:rsidRPr="002234DC">
        <w:rPr>
          <w:rFonts w:ascii="Arial" w:hAnsi="Arial" w:cs="Arial"/>
          <w:b/>
        </w:rPr>
        <w:t>Latest CAAHEP</w:t>
      </w:r>
      <w:r>
        <w:rPr>
          <w:rFonts w:ascii="Arial" w:hAnsi="Arial" w:cs="Arial"/>
          <w:b/>
        </w:rPr>
        <w:t xml:space="preserve"> (Commission on Accreditation of Allied Health Education Programs)</w:t>
      </w:r>
      <w:r w:rsidRPr="002234DC">
        <w:rPr>
          <w:rFonts w:ascii="Arial" w:hAnsi="Arial" w:cs="Arial"/>
          <w:b/>
        </w:rPr>
        <w:t xml:space="preserve"> Annual Report submitted:  January 28, 2011</w:t>
      </w:r>
    </w:p>
    <w:p w:rsidR="002234DC" w:rsidRDefault="002234DC" w:rsidP="002234DC">
      <w:pPr>
        <w:rPr>
          <w:rFonts w:ascii="Arial" w:hAnsi="Arial" w:cs="Arial"/>
        </w:rPr>
      </w:pPr>
      <w:r>
        <w:rPr>
          <w:rFonts w:ascii="Arial" w:hAnsi="Arial" w:cs="Arial"/>
        </w:rPr>
        <w:t>Suggested areas to highlight for your report:</w:t>
      </w:r>
    </w:p>
    <w:p w:rsidR="002234DC" w:rsidRPr="00477E1E" w:rsidRDefault="002234DC" w:rsidP="002234DC">
      <w:pPr>
        <w:rPr>
          <w:rFonts w:ascii="Arial" w:hAnsi="Arial" w:cs="Arial"/>
        </w:rPr>
      </w:pPr>
      <w:proofErr w:type="gramStart"/>
      <w:r>
        <w:rPr>
          <w:rFonts w:ascii="Arial" w:hAnsi="Arial" w:cs="Arial"/>
        </w:rPr>
        <w:t>Culminating experience:  certification exams and internships.</w:t>
      </w:r>
      <w:proofErr w:type="gramEnd"/>
      <w:r>
        <w:rPr>
          <w:rFonts w:ascii="Arial" w:hAnsi="Arial" w:cs="Arial"/>
        </w:rPr>
        <w:t xml:space="preserve"> New internship sites added last academic year, and continues to increase</w:t>
      </w:r>
    </w:p>
    <w:p w:rsidR="002234DC" w:rsidRDefault="002234DC" w:rsidP="002234DC">
      <w:pPr>
        <w:pStyle w:val="BodyText"/>
        <w:rPr>
          <w:i w:val="0"/>
        </w:rPr>
      </w:pPr>
    </w:p>
    <w:p w:rsidR="002234DC" w:rsidRPr="00FE14A4" w:rsidRDefault="002234DC" w:rsidP="002234DC">
      <w:pPr>
        <w:pStyle w:val="BodyText"/>
        <w:rPr>
          <w:i w:val="0"/>
        </w:rPr>
      </w:pPr>
      <w:r>
        <w:rPr>
          <w:i w:val="0"/>
        </w:rPr>
        <w:t>36.</w:t>
      </w:r>
      <w:r>
        <w:rPr>
          <w:i w:val="0"/>
        </w:rPr>
        <w:tab/>
      </w:r>
      <w:r w:rsidRPr="00477E1E">
        <w:rPr>
          <w:i w:val="0"/>
          <w:caps/>
          <w:szCs w:val="24"/>
          <w:u w:val="single"/>
        </w:rPr>
        <w:t>culminating experience</w:t>
      </w:r>
      <w:r w:rsidRPr="00FE14A4">
        <w:rPr>
          <w:i w:val="0"/>
        </w:rPr>
        <w:t xml:space="preserve"> </w:t>
      </w:r>
    </w:p>
    <w:p w:rsidR="002234DC" w:rsidRPr="00FE14A4" w:rsidRDefault="002234DC" w:rsidP="002234DC">
      <w:pPr>
        <w:pStyle w:val="BodyText"/>
        <w:rPr>
          <w:i w:val="0"/>
          <w:szCs w:val="24"/>
        </w:rPr>
      </w:pPr>
    </w:p>
    <w:p w:rsidR="002234DC" w:rsidRPr="00BF0EAD" w:rsidRDefault="002234DC" w:rsidP="002234DC">
      <w:pPr>
        <w:pStyle w:val="BodyText"/>
        <w:ind w:firstLine="720"/>
        <w:rPr>
          <w:i w:val="0"/>
          <w:szCs w:val="24"/>
        </w:rPr>
      </w:pPr>
      <w:r w:rsidRPr="00BF0EAD">
        <w:rPr>
          <w:i w:val="0"/>
          <w:szCs w:val="24"/>
        </w:rPr>
        <w:t>a. National Certification Examination</w:t>
      </w:r>
    </w:p>
    <w:p w:rsidR="002234DC" w:rsidRPr="00E443CC" w:rsidRDefault="002234DC" w:rsidP="002234DC">
      <w:pPr>
        <w:pStyle w:val="BodyText"/>
        <w:ind w:left="720" w:firstLine="720"/>
        <w:rPr>
          <w:i w:val="0"/>
          <w:highlight w:val="yellow"/>
        </w:rPr>
      </w:pPr>
      <w:r w:rsidRPr="00FE14A4">
        <w:rPr>
          <w:i w:val="0"/>
        </w:rPr>
        <w:t>Total number o</w:t>
      </w:r>
      <w:r>
        <w:rPr>
          <w:i w:val="0"/>
        </w:rPr>
        <w:t xml:space="preserve">f students who took exam:  </w:t>
      </w:r>
      <w:bookmarkStart w:id="0" w:name="_GoBack"/>
      <w:bookmarkEnd w:id="0"/>
      <w:r w:rsidRPr="00E443CC">
        <w:rPr>
          <w:i w:val="0"/>
          <w:highlight w:val="yellow"/>
        </w:rPr>
        <w:t>12 took exam</w:t>
      </w:r>
    </w:p>
    <w:p w:rsidR="002234DC" w:rsidRPr="00E443CC" w:rsidRDefault="002234DC" w:rsidP="002234DC">
      <w:pPr>
        <w:pStyle w:val="BodyText"/>
        <w:ind w:left="5520"/>
        <w:rPr>
          <w:i w:val="0"/>
          <w:highlight w:val="yellow"/>
        </w:rPr>
      </w:pPr>
      <w:r w:rsidRPr="00E443CC">
        <w:rPr>
          <w:i w:val="0"/>
          <w:highlight w:val="yellow"/>
        </w:rPr>
        <w:t>10 passed and earned certification on first attempt.</w:t>
      </w:r>
    </w:p>
    <w:p w:rsidR="002234DC" w:rsidRDefault="002234DC" w:rsidP="002234DC">
      <w:pPr>
        <w:pStyle w:val="BodyText"/>
        <w:ind w:left="5520"/>
        <w:rPr>
          <w:i w:val="0"/>
        </w:rPr>
      </w:pPr>
      <w:r w:rsidRPr="00E443CC">
        <w:rPr>
          <w:i w:val="0"/>
          <w:highlight w:val="yellow"/>
        </w:rPr>
        <w:t xml:space="preserve">  2 passed on second attempt and earned certification.</w:t>
      </w:r>
    </w:p>
    <w:p w:rsidR="002234DC" w:rsidRDefault="002234DC" w:rsidP="002234DC">
      <w:pPr>
        <w:pStyle w:val="BodyText"/>
        <w:ind w:left="5520"/>
        <w:rPr>
          <w:i w:val="0"/>
        </w:rPr>
      </w:pPr>
      <w:r>
        <w:rPr>
          <w:i w:val="0"/>
        </w:rPr>
        <w:t xml:space="preserve"> Scores are not provided to us.</w:t>
      </w:r>
    </w:p>
    <w:p w:rsidR="002234DC" w:rsidRPr="00BF0EAD" w:rsidRDefault="002234DC" w:rsidP="002234DC">
      <w:pPr>
        <w:pStyle w:val="BodyText"/>
        <w:ind w:firstLine="720"/>
        <w:rPr>
          <w:i w:val="0"/>
          <w:szCs w:val="24"/>
        </w:rPr>
      </w:pPr>
      <w:r w:rsidRPr="00BF0EAD">
        <w:rPr>
          <w:i w:val="0"/>
          <w:szCs w:val="24"/>
        </w:rPr>
        <w:t>b. Internship</w:t>
      </w:r>
      <w:r>
        <w:rPr>
          <w:i w:val="0"/>
          <w:szCs w:val="24"/>
        </w:rPr>
        <w:t xml:space="preserve"> (if applicable)</w:t>
      </w:r>
    </w:p>
    <w:p w:rsidR="002234DC" w:rsidRPr="007C52BC" w:rsidRDefault="002234DC" w:rsidP="002234DC">
      <w:pPr>
        <w:pStyle w:val="BodyText"/>
        <w:ind w:left="720" w:firstLine="720"/>
        <w:rPr>
          <w:i w:val="0"/>
        </w:rPr>
      </w:pPr>
      <w:r w:rsidRPr="007C52BC">
        <w:rPr>
          <w:i w:val="0"/>
        </w:rPr>
        <w:t xml:space="preserve">Total number of students who interned:  12          </w:t>
      </w:r>
    </w:p>
    <w:p w:rsidR="002234DC" w:rsidRPr="007C52BC" w:rsidRDefault="002234DC" w:rsidP="002234DC">
      <w:pPr>
        <w:pStyle w:val="BodyText"/>
        <w:ind w:left="720" w:firstLine="720"/>
        <w:rPr>
          <w:i w:val="0"/>
        </w:rPr>
      </w:pPr>
      <w:r w:rsidRPr="007C52BC">
        <w:rPr>
          <w:i w:val="0"/>
        </w:rPr>
        <w:t xml:space="preserve">Number of students who scored </w:t>
      </w:r>
      <w:r w:rsidRPr="007C52BC">
        <w:rPr>
          <w:i w:val="0"/>
          <w:color w:val="FF0000"/>
        </w:rPr>
        <w:t>“Exceptional” (86-100%):  1</w:t>
      </w:r>
      <w:r>
        <w:rPr>
          <w:i w:val="0"/>
          <w:color w:val="FF0000"/>
        </w:rPr>
        <w:t>1</w:t>
      </w:r>
      <w:r w:rsidRPr="007C52BC">
        <w:rPr>
          <w:i w:val="0"/>
          <w:color w:val="FF0000"/>
        </w:rPr>
        <w:t xml:space="preserve"> students out of 12 – </w:t>
      </w:r>
      <w:r>
        <w:rPr>
          <w:i w:val="0"/>
          <w:color w:val="FF0000"/>
        </w:rPr>
        <w:t>92</w:t>
      </w:r>
      <w:r w:rsidRPr="007C52BC">
        <w:rPr>
          <w:i w:val="0"/>
          <w:color w:val="FF0000"/>
        </w:rPr>
        <w:t>%</w:t>
      </w:r>
    </w:p>
    <w:p w:rsidR="002234DC" w:rsidRPr="00FE14A4" w:rsidRDefault="002234DC" w:rsidP="002234DC">
      <w:pPr>
        <w:pStyle w:val="BodyText"/>
        <w:rPr>
          <w:i w:val="0"/>
        </w:rPr>
      </w:pPr>
      <w:r w:rsidRPr="007C52BC">
        <w:rPr>
          <w:i w:val="0"/>
        </w:rPr>
        <w:tab/>
      </w:r>
      <w:r w:rsidRPr="007C52BC">
        <w:rPr>
          <w:i w:val="0"/>
        </w:rPr>
        <w:tab/>
        <w:t xml:space="preserve">Number of students who scored </w:t>
      </w:r>
      <w:r w:rsidRPr="007C52BC">
        <w:rPr>
          <w:i w:val="0"/>
          <w:color w:val="FF0000"/>
        </w:rPr>
        <w:t xml:space="preserve">“Sufficient” (70-85%):  </w:t>
      </w:r>
      <w:r>
        <w:rPr>
          <w:i w:val="0"/>
          <w:color w:val="FF0000"/>
        </w:rPr>
        <w:t>1 student</w:t>
      </w:r>
      <w:r w:rsidRPr="007C52BC">
        <w:rPr>
          <w:i w:val="0"/>
          <w:color w:val="FF0000"/>
        </w:rPr>
        <w:t xml:space="preserve"> out of 12 – </w:t>
      </w:r>
      <w:r>
        <w:rPr>
          <w:i w:val="0"/>
          <w:color w:val="FF0000"/>
        </w:rPr>
        <w:t>8</w:t>
      </w:r>
      <w:r w:rsidRPr="007C52BC">
        <w:rPr>
          <w:i w:val="0"/>
          <w:color w:val="FF0000"/>
        </w:rPr>
        <w:t>%</w:t>
      </w:r>
    </w:p>
    <w:p w:rsidR="002234DC" w:rsidRDefault="002234DC" w:rsidP="002234DC">
      <w:pPr>
        <w:pStyle w:val="BodyText"/>
        <w:rPr>
          <w:i w:val="0"/>
        </w:rPr>
      </w:pPr>
    </w:p>
    <w:p w:rsidR="002234DC" w:rsidRDefault="002234DC" w:rsidP="002234DC">
      <w:pPr>
        <w:pStyle w:val="BodyText"/>
        <w:ind w:left="720" w:hanging="720"/>
        <w:rPr>
          <w:i w:val="0"/>
        </w:rPr>
      </w:pPr>
      <w:r>
        <w:rPr>
          <w:i w:val="0"/>
        </w:rPr>
        <w:t>37.</w:t>
      </w:r>
      <w:r>
        <w:rPr>
          <w:i w:val="0"/>
        </w:rPr>
        <w:tab/>
      </w:r>
      <w:r w:rsidRPr="00477E1E">
        <w:rPr>
          <w:i w:val="0"/>
          <w:u w:val="single"/>
        </w:rPr>
        <w:t>How do culminating experience results compare with the previous two years’ culminating experience results?</w:t>
      </w:r>
    </w:p>
    <w:p w:rsidR="002234DC" w:rsidRPr="00646D92" w:rsidRDefault="002234DC" w:rsidP="002234DC">
      <w:pPr>
        <w:pStyle w:val="BodyText"/>
        <w:ind w:left="720" w:hanging="720"/>
        <w:rPr>
          <w:i w:val="0"/>
        </w:rPr>
      </w:pPr>
    </w:p>
    <w:p w:rsidR="002234DC" w:rsidRDefault="002234DC" w:rsidP="002234DC">
      <w:pPr>
        <w:pStyle w:val="BodyText"/>
        <w:ind w:left="720"/>
        <w:rPr>
          <w:i w:val="0"/>
        </w:rPr>
      </w:pPr>
      <w:r w:rsidRPr="00E443CC">
        <w:rPr>
          <w:i w:val="0"/>
          <w:highlight w:val="yellow"/>
        </w:rPr>
        <w:t>There were a greater number of students taking a certification exam (8 in our first year and 12 this year) and all passed and earned certification. The number of students completing an internship increased (7 in our first year and 12 this year). In addition, we have added more internship sites.</w:t>
      </w:r>
    </w:p>
    <w:p w:rsidR="002234DC" w:rsidRDefault="002234DC" w:rsidP="002234DC">
      <w:pPr>
        <w:pStyle w:val="BodyText"/>
        <w:ind w:left="720"/>
        <w:rPr>
          <w:i w:val="0"/>
        </w:rPr>
      </w:pPr>
    </w:p>
    <w:p w:rsidR="002234DC" w:rsidRPr="002234DC" w:rsidRDefault="002234DC" w:rsidP="002234DC">
      <w:pPr>
        <w:pStyle w:val="BodyText"/>
        <w:ind w:left="720"/>
        <w:rPr>
          <w:rFonts w:ascii="Arial" w:hAnsi="Arial" w:cs="Arial"/>
          <w:b/>
          <w:i w:val="0"/>
        </w:rPr>
      </w:pPr>
      <w:r w:rsidRPr="002234DC">
        <w:rPr>
          <w:rFonts w:ascii="Arial" w:hAnsi="Arial" w:cs="Arial"/>
          <w:b/>
          <w:i w:val="0"/>
        </w:rPr>
        <w:lastRenderedPageBreak/>
        <w:t>New Internship sites:</w:t>
      </w:r>
    </w:p>
    <w:p w:rsidR="002234DC" w:rsidRDefault="002234DC" w:rsidP="002234DC">
      <w:pPr>
        <w:rPr>
          <w:rFonts w:ascii="Garamond" w:hAnsi="Garamond"/>
        </w:rPr>
      </w:pPr>
      <w:r>
        <w:rPr>
          <w:rFonts w:ascii="Garamond" w:hAnsi="Garamond"/>
        </w:rPr>
        <w:tab/>
        <w:t>NK Parts Associate Development Center</w:t>
      </w:r>
    </w:p>
    <w:p w:rsidR="002234DC" w:rsidRDefault="002234DC" w:rsidP="002234DC">
      <w:pPr>
        <w:rPr>
          <w:rFonts w:ascii="Garamond" w:hAnsi="Garamond"/>
        </w:rPr>
      </w:pPr>
      <w:r>
        <w:rPr>
          <w:rFonts w:ascii="Garamond" w:hAnsi="Garamond"/>
        </w:rPr>
        <w:tab/>
        <w:t>Power Enterprises Inc.</w:t>
      </w:r>
    </w:p>
    <w:p w:rsidR="002234DC" w:rsidRDefault="002234DC" w:rsidP="002234DC">
      <w:pPr>
        <w:rPr>
          <w:rFonts w:ascii="Garamond" w:hAnsi="Garamond"/>
        </w:rPr>
      </w:pPr>
      <w:r>
        <w:rPr>
          <w:rFonts w:ascii="Garamond" w:hAnsi="Garamond"/>
        </w:rPr>
        <w:tab/>
        <w:t>Personally Fit</w:t>
      </w:r>
    </w:p>
    <w:p w:rsidR="002234DC" w:rsidRDefault="002234DC" w:rsidP="002234DC">
      <w:pPr>
        <w:rPr>
          <w:rFonts w:ascii="Garamond" w:hAnsi="Garamond"/>
        </w:rPr>
      </w:pPr>
      <w:r>
        <w:rPr>
          <w:rFonts w:ascii="Garamond" w:hAnsi="Garamond"/>
        </w:rPr>
        <w:tab/>
      </w:r>
      <w:proofErr w:type="spellStart"/>
      <w:r>
        <w:rPr>
          <w:rFonts w:ascii="Garamond" w:hAnsi="Garamond"/>
        </w:rPr>
        <w:t>CrossFit</w:t>
      </w:r>
      <w:proofErr w:type="spellEnd"/>
    </w:p>
    <w:p w:rsidR="002234DC" w:rsidRDefault="002234DC" w:rsidP="002234DC">
      <w:pPr>
        <w:rPr>
          <w:rFonts w:ascii="Garamond" w:hAnsi="Garamond"/>
        </w:rPr>
      </w:pPr>
      <w:r>
        <w:rPr>
          <w:rFonts w:ascii="Garamond" w:hAnsi="Garamond"/>
        </w:rPr>
        <w:tab/>
      </w:r>
      <w:smartTag w:uri="urn:schemas-microsoft-com:office:smarttags" w:element="place">
        <w:smartTag w:uri="urn:schemas-microsoft-com:office:smarttags" w:element="PlaceName">
          <w:r>
            <w:rPr>
              <w:rFonts w:ascii="Garamond" w:hAnsi="Garamond"/>
            </w:rPr>
            <w:t>Kettering</w:t>
          </w:r>
        </w:smartTag>
        <w:r>
          <w:rPr>
            <w:rFonts w:ascii="Garamond" w:hAnsi="Garamond"/>
          </w:rPr>
          <w:t xml:space="preserve"> </w:t>
        </w:r>
        <w:smartTag w:uri="urn:schemas-microsoft-com:office:smarttags" w:element="PlaceName">
          <w:r>
            <w:rPr>
              <w:rFonts w:ascii="Garamond" w:hAnsi="Garamond"/>
            </w:rPr>
            <w:t>Sports</w:t>
          </w:r>
        </w:smartTag>
        <w:r>
          <w:rPr>
            <w:rFonts w:ascii="Garamond" w:hAnsi="Garamond"/>
          </w:rPr>
          <w:t xml:space="preserve"> </w:t>
        </w:r>
        <w:smartTag w:uri="urn:schemas-microsoft-com:office:smarttags" w:element="PlaceName">
          <w:r>
            <w:rPr>
              <w:rFonts w:ascii="Garamond" w:hAnsi="Garamond"/>
            </w:rPr>
            <w:t>Medicine</w:t>
          </w:r>
        </w:smartTag>
        <w:r>
          <w:rPr>
            <w:rFonts w:ascii="Garamond" w:hAnsi="Garamond"/>
          </w:rPr>
          <w:t xml:space="preserve"> </w:t>
        </w:r>
        <w:smartTag w:uri="urn:schemas-microsoft-com:office:smarttags" w:element="PlaceType">
          <w:r>
            <w:rPr>
              <w:rFonts w:ascii="Garamond" w:hAnsi="Garamond"/>
            </w:rPr>
            <w:t>Center</w:t>
          </w:r>
        </w:smartTag>
      </w:smartTag>
    </w:p>
    <w:p w:rsidR="002234DC" w:rsidRDefault="002234DC" w:rsidP="002234DC">
      <w:pPr>
        <w:rPr>
          <w:rFonts w:ascii="Garamond" w:hAnsi="Garamond"/>
        </w:rPr>
      </w:pPr>
      <w:r>
        <w:rPr>
          <w:rFonts w:ascii="Garamond" w:hAnsi="Garamond"/>
        </w:rPr>
        <w:tab/>
      </w:r>
      <w:smartTag w:uri="urn:schemas-microsoft-com:office:smarttags" w:element="place">
        <w:smartTag w:uri="urn:schemas-microsoft-com:office:smarttags" w:element="PlaceName">
          <w:r>
            <w:rPr>
              <w:rFonts w:ascii="Garamond" w:hAnsi="Garamond"/>
            </w:rPr>
            <w:t>Preble</w:t>
          </w:r>
        </w:smartTag>
        <w:r>
          <w:rPr>
            <w:rFonts w:ascii="Garamond" w:hAnsi="Garamond"/>
          </w:rPr>
          <w:t xml:space="preserve"> </w:t>
        </w:r>
        <w:smartTag w:uri="urn:schemas-microsoft-com:office:smarttags" w:element="PlaceType">
          <w:r>
            <w:rPr>
              <w:rFonts w:ascii="Garamond" w:hAnsi="Garamond"/>
            </w:rPr>
            <w:t>County</w:t>
          </w:r>
        </w:smartTag>
        <w:r>
          <w:rPr>
            <w:rFonts w:ascii="Garamond" w:hAnsi="Garamond"/>
          </w:rPr>
          <w:t xml:space="preserve"> </w:t>
        </w:r>
        <w:smartTag w:uri="urn:schemas-microsoft-com:office:smarttags" w:element="PlaceName">
          <w:r>
            <w:rPr>
              <w:rFonts w:ascii="Garamond" w:hAnsi="Garamond"/>
            </w:rPr>
            <w:t>YMCA</w:t>
          </w:r>
        </w:smartTag>
      </w:smartTag>
    </w:p>
    <w:p w:rsidR="002234DC" w:rsidRDefault="002234DC" w:rsidP="002234DC">
      <w:pPr>
        <w:rPr>
          <w:rFonts w:ascii="Garamond" w:hAnsi="Garamond"/>
        </w:rPr>
      </w:pPr>
      <w:r>
        <w:rPr>
          <w:rFonts w:ascii="Garamond" w:hAnsi="Garamond"/>
        </w:rPr>
        <w:tab/>
      </w:r>
      <w:smartTag w:uri="urn:schemas-microsoft-com:office:smarttags" w:element="place">
        <w:smartTag w:uri="urn:schemas-microsoft-com:office:smarttags" w:element="PlaceName">
          <w:r>
            <w:rPr>
              <w:rFonts w:ascii="Garamond" w:hAnsi="Garamond"/>
            </w:rPr>
            <w:t>Miami</w:t>
          </w:r>
        </w:smartTag>
        <w:r>
          <w:rPr>
            <w:rFonts w:ascii="Garamond" w:hAnsi="Garamond"/>
          </w:rPr>
          <w:t xml:space="preserve"> </w:t>
        </w:r>
        <w:smartTag w:uri="urn:schemas-microsoft-com:office:smarttags" w:element="PlaceType">
          <w:r>
            <w:rPr>
              <w:rFonts w:ascii="Garamond" w:hAnsi="Garamond"/>
            </w:rPr>
            <w:t>Valley</w:t>
          </w:r>
        </w:smartTag>
        <w:r>
          <w:rPr>
            <w:rFonts w:ascii="Garamond" w:hAnsi="Garamond"/>
          </w:rPr>
          <w:t xml:space="preserve"> </w:t>
        </w:r>
        <w:smartTag w:uri="urn:schemas-microsoft-com:office:smarttags" w:element="PlaceType">
          <w:r>
            <w:rPr>
              <w:rFonts w:ascii="Garamond" w:hAnsi="Garamond"/>
            </w:rPr>
            <w:t>Hospital</w:t>
          </w:r>
        </w:smartTag>
      </w:smartTag>
      <w:r>
        <w:rPr>
          <w:rFonts w:ascii="Garamond" w:hAnsi="Garamond"/>
        </w:rPr>
        <w:t xml:space="preserve"> Cardiovascular &amp; Pulmonary Rehab</w:t>
      </w:r>
    </w:p>
    <w:p w:rsidR="002234DC" w:rsidRDefault="002234DC" w:rsidP="002234DC">
      <w:pPr>
        <w:rPr>
          <w:rFonts w:ascii="Garamond" w:hAnsi="Garamond"/>
        </w:rPr>
      </w:pPr>
      <w:r>
        <w:rPr>
          <w:rFonts w:ascii="Garamond" w:hAnsi="Garamond"/>
        </w:rPr>
        <w:t xml:space="preserve">             Public Health – Dayton and Montgomery County</w:t>
      </w:r>
    </w:p>
    <w:p w:rsidR="002F3278" w:rsidRDefault="002F3278" w:rsidP="002234DC">
      <w:pPr>
        <w:tabs>
          <w:tab w:val="left" w:pos="5040"/>
        </w:tabs>
      </w:pPr>
    </w:p>
    <w:p w:rsidR="00526123" w:rsidRDefault="002F3278" w:rsidP="00F03232">
      <w:pPr>
        <w:pStyle w:val="ListParagraph"/>
        <w:numPr>
          <w:ilvl w:val="0"/>
          <w:numId w:val="11"/>
        </w:numPr>
        <w:tabs>
          <w:tab w:val="left" w:pos="5040"/>
        </w:tabs>
      </w:pPr>
      <w:r w:rsidRPr="00660080">
        <w:rPr>
          <w:b/>
          <w:u w:val="single"/>
        </w:rPr>
        <w:t>FY 1</w:t>
      </w:r>
      <w:r>
        <w:rPr>
          <w:b/>
          <w:u w:val="single"/>
        </w:rPr>
        <w:t>1</w:t>
      </w:r>
      <w:r w:rsidRPr="00660080">
        <w:rPr>
          <w:b/>
          <w:u w:val="single"/>
        </w:rPr>
        <w:t>-1</w:t>
      </w:r>
      <w:r>
        <w:rPr>
          <w:b/>
          <w:u w:val="single"/>
        </w:rPr>
        <w:t>2</w:t>
      </w:r>
      <w:r w:rsidRPr="00660080">
        <w:rPr>
          <w:b/>
        </w:rPr>
        <w:t>:</w:t>
      </w:r>
      <w:r>
        <w:t xml:space="preserve"> </w:t>
      </w:r>
      <w:r w:rsidRPr="00A36DEE">
        <w:t>What improvement efforts does the department have planned for FY 1</w:t>
      </w:r>
      <w:r>
        <w:t>1</w:t>
      </w:r>
      <w:r w:rsidRPr="00A36DEE">
        <w:t>-1</w:t>
      </w:r>
      <w:r>
        <w:t>2</w:t>
      </w:r>
      <w:r w:rsidRPr="00A36DEE">
        <w:t>?</w:t>
      </w:r>
      <w:r>
        <w:t xml:space="preserve">  How will you know whether you have been successful?</w:t>
      </w:r>
      <w:r w:rsidR="00F03232">
        <w:t xml:space="preserve"> </w:t>
      </w:r>
    </w:p>
    <w:p w:rsidR="002F52EE" w:rsidRPr="00AD4D36" w:rsidRDefault="00526123" w:rsidP="00526123">
      <w:pPr>
        <w:pStyle w:val="ListParagraph"/>
        <w:tabs>
          <w:tab w:val="left" w:pos="5040"/>
        </w:tabs>
      </w:pPr>
      <w:r>
        <w:t xml:space="preserve">The department will be establishing collaboration with Counseling Services along with Career Services. We have identified these two service areas to help us with student retention and success. We piloted Fall 11 a project where one of our capstone students went and participated in the virtual interview and also met regarding his resume. The feedback from these two assignments was very positive and impactful. </w:t>
      </w:r>
      <w:r w:rsidR="00F03232">
        <w:t xml:space="preserve">The department </w:t>
      </w:r>
      <w:r>
        <w:t xml:space="preserve">also </w:t>
      </w:r>
      <w:r w:rsidR="00F03232">
        <w:t>has been</w:t>
      </w:r>
      <w:r>
        <w:t xml:space="preserve"> actively</w:t>
      </w:r>
      <w:r w:rsidR="00F03232">
        <w:t xml:space="preserve"> advising students to complete their degree</w:t>
      </w:r>
      <w:r>
        <w:t xml:space="preserve"> in a timely manner. We are</w:t>
      </w:r>
      <w:r w:rsidR="00F03232">
        <w:t xml:space="preserve"> offering more opportunities for students to complete courses needed before moving to semesters.</w:t>
      </w:r>
      <w:r>
        <w:t xml:space="preserve"> </w:t>
      </w:r>
      <w:r w:rsidR="00F03232">
        <w:t>We will know if we are successful if we see more graduates from the EXSC.AAS and PED.AA</w:t>
      </w:r>
      <w:r>
        <w:t xml:space="preserve"> programs. We</w:t>
      </w:r>
      <w:r w:rsidR="002F52EE">
        <w:t xml:space="preserve"> are also working diligently on teaching syllabi and identifying teaching materials. The advisory board and internship sites have been helpful in our process. </w:t>
      </w:r>
      <w:r w:rsidR="00F03232">
        <w:t xml:space="preserve">The department is also </w:t>
      </w:r>
      <w:r>
        <w:t>forecasting course offerings for semester terms.</w:t>
      </w:r>
    </w:p>
    <w:p w:rsidR="002F52EE" w:rsidRDefault="002F52EE" w:rsidP="002F52EE">
      <w:pPr>
        <w:pStyle w:val="ListParagraph"/>
        <w:tabs>
          <w:tab w:val="left" w:pos="5040"/>
        </w:tabs>
      </w:pPr>
    </w:p>
    <w:p w:rsidR="002F52EE" w:rsidRDefault="002F52EE" w:rsidP="002F52EE">
      <w:pPr>
        <w:pStyle w:val="ListParagraph"/>
        <w:tabs>
          <w:tab w:val="left" w:pos="5040"/>
        </w:tabs>
      </w:pPr>
    </w:p>
    <w:p w:rsidR="002F3278" w:rsidRDefault="002F3278" w:rsidP="002F3278">
      <w:pPr>
        <w:pStyle w:val="ListParagraph"/>
        <w:tabs>
          <w:tab w:val="left" w:pos="5040"/>
        </w:tabs>
        <w:rPr>
          <w:rFonts w:ascii="Arial" w:hAnsi="Arial" w:cs="Arial"/>
        </w:rPr>
      </w:pPr>
    </w:p>
    <w:p w:rsidR="002F3278" w:rsidRDefault="002F3278" w:rsidP="002F3278">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Pr="00526123" w:rsidRDefault="002A35F8" w:rsidP="00526123">
      <w:pPr>
        <w:tabs>
          <w:tab w:val="left" w:pos="5040"/>
        </w:tabs>
        <w:rPr>
          <w:rFonts w:ascii="Arial" w:hAnsi="Arial" w:cs="Arial"/>
        </w:rPr>
      </w:pPr>
      <w:r w:rsidRPr="002A35F8">
        <w:rPr>
          <w:noProof/>
        </w:rPr>
        <w:pict>
          <v:shapetype id="_x0000_t202" coordsize="21600,21600" o:spt="202" path="m,l,21600r21600,l21600,xe">
            <v:stroke joinstyle="miter"/>
            <v:path gradientshapeok="t" o:connecttype="rect"/>
          </v:shapetype>
          <v:shape id="_x0000_s1036" type="#_x0000_t202" style="position:absolute;margin-left:-9.3pt;margin-top:61.4pt;width:509.45pt;height:35.55pt;z-index:251657728;mso-height-percent:200;mso-height-percent:200;mso-width-relative:margin;mso-height-relative:margin">
            <v:textbox style="mso-next-textbox:#_x0000_s1036;mso-fit-shape-to-text:t">
              <w:txbxContent>
                <w:p w:rsidR="005531E8" w:rsidRDefault="005531E8" w:rsidP="00847243">
                  <w:r>
                    <w:t>Questions regarding completion of the Annual Update?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6"/>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1E8" w:rsidRDefault="005531E8" w:rsidP="0094204C">
      <w:r>
        <w:separator/>
      </w:r>
    </w:p>
  </w:endnote>
  <w:endnote w:type="continuationSeparator" w:id="0">
    <w:p w:rsidR="005531E8" w:rsidRDefault="005531E8"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1E8" w:rsidRPr="00E16205" w:rsidRDefault="005531E8"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5531E8" w:rsidRDefault="005531E8">
    <w:pPr>
      <w:pStyle w:val="Footer"/>
    </w:pPr>
  </w:p>
  <w:p w:rsidR="005531E8" w:rsidRDefault="005531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1E8" w:rsidRDefault="005531E8" w:rsidP="0094204C">
      <w:r>
        <w:separator/>
      </w:r>
    </w:p>
  </w:footnote>
  <w:footnote w:type="continuationSeparator" w:id="0">
    <w:p w:rsidR="005531E8" w:rsidRDefault="005531E8"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525C3A"/>
    <w:multiLevelType w:val="hybridMultilevel"/>
    <w:tmpl w:val="AA7CE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9E6CEA"/>
    <w:multiLevelType w:val="hybridMultilevel"/>
    <w:tmpl w:val="C7EAD7DE"/>
    <w:lvl w:ilvl="0" w:tplc="D1F0A166">
      <w:start w:val="1"/>
      <w:numFmt w:val="upperLetter"/>
      <w:lvlText w:val="%1."/>
      <w:lvlJc w:val="left"/>
      <w:pPr>
        <w:tabs>
          <w:tab w:val="num" w:pos="720"/>
        </w:tabs>
        <w:ind w:left="72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133AA"/>
    <w:multiLevelType w:val="hybridMultilevel"/>
    <w:tmpl w:val="09B4B8C4"/>
    <w:lvl w:ilvl="0" w:tplc="0EDA1D6C">
      <w:start w:val="5"/>
      <w:numFmt w:val="upperLetter"/>
      <w:lvlText w:val="%1."/>
      <w:lvlJc w:val="left"/>
      <w:pPr>
        <w:ind w:left="720" w:hanging="360"/>
      </w:pPr>
      <w:rPr>
        <w:rFonts w:cs="Tahom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46041"/>
    <w:multiLevelType w:val="hybridMultilevel"/>
    <w:tmpl w:val="F68E26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8773C8"/>
    <w:multiLevelType w:val="hybridMultilevel"/>
    <w:tmpl w:val="80FCC70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6E7D4C"/>
    <w:multiLevelType w:val="hybridMultilevel"/>
    <w:tmpl w:val="FF92445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63AE3CC">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95B3BB0"/>
    <w:multiLevelType w:val="hybridMultilevel"/>
    <w:tmpl w:val="2D383D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5C283E2F"/>
    <w:multiLevelType w:val="hybridMultilevel"/>
    <w:tmpl w:val="41CCAD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D259C9"/>
    <w:multiLevelType w:val="hybridMultilevel"/>
    <w:tmpl w:val="242E54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0"/>
  </w:num>
  <w:num w:numId="3">
    <w:abstractNumId w:val="26"/>
  </w:num>
  <w:num w:numId="4">
    <w:abstractNumId w:val="13"/>
  </w:num>
  <w:num w:numId="5">
    <w:abstractNumId w:val="16"/>
  </w:num>
  <w:num w:numId="6">
    <w:abstractNumId w:val="11"/>
  </w:num>
  <w:num w:numId="7">
    <w:abstractNumId w:val="14"/>
  </w:num>
  <w:num w:numId="8">
    <w:abstractNumId w:val="17"/>
  </w:num>
  <w:num w:numId="9">
    <w:abstractNumId w:val="25"/>
  </w:num>
  <w:num w:numId="10">
    <w:abstractNumId w:val="22"/>
  </w:num>
  <w:num w:numId="11">
    <w:abstractNumId w:val="12"/>
  </w:num>
  <w:num w:numId="12">
    <w:abstractNumId w:val="3"/>
  </w:num>
  <w:num w:numId="13">
    <w:abstractNumId w:val="4"/>
  </w:num>
  <w:num w:numId="14">
    <w:abstractNumId w:val="23"/>
  </w:num>
  <w:num w:numId="15">
    <w:abstractNumId w:val="19"/>
  </w:num>
  <w:num w:numId="16">
    <w:abstractNumId w:val="7"/>
  </w:num>
  <w:num w:numId="17">
    <w:abstractNumId w:val="9"/>
  </w:num>
  <w:num w:numId="18">
    <w:abstractNumId w:val="15"/>
  </w:num>
  <w:num w:numId="19">
    <w:abstractNumId w:val="5"/>
  </w:num>
  <w:num w:numId="20">
    <w:abstractNumId w:val="10"/>
  </w:num>
  <w:num w:numId="21">
    <w:abstractNumId w:val="11"/>
  </w:num>
  <w:num w:numId="22">
    <w:abstractNumId w:val="24"/>
  </w:num>
  <w:num w:numId="23">
    <w:abstractNumId w:val="8"/>
  </w:num>
  <w:num w:numId="24">
    <w:abstractNumId w:val="2"/>
  </w:num>
  <w:num w:numId="25">
    <w:abstractNumId w:val="1"/>
  </w:num>
  <w:num w:numId="26">
    <w:abstractNumId w:val="6"/>
  </w:num>
  <w:num w:numId="27">
    <w:abstractNumId w:val="20"/>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56964"/>
    <w:rsid w:val="000616F3"/>
    <w:rsid w:val="00063778"/>
    <w:rsid w:val="00065129"/>
    <w:rsid w:val="00083D3C"/>
    <w:rsid w:val="000A4EE0"/>
    <w:rsid w:val="000B0D23"/>
    <w:rsid w:val="000D3A39"/>
    <w:rsid w:val="000E4EFE"/>
    <w:rsid w:val="0010227C"/>
    <w:rsid w:val="001026AA"/>
    <w:rsid w:val="001201D5"/>
    <w:rsid w:val="00120E81"/>
    <w:rsid w:val="001240D0"/>
    <w:rsid w:val="00183806"/>
    <w:rsid w:val="00184AE5"/>
    <w:rsid w:val="00195B7B"/>
    <w:rsid w:val="001A1B67"/>
    <w:rsid w:val="001B6007"/>
    <w:rsid w:val="001D5757"/>
    <w:rsid w:val="001D7080"/>
    <w:rsid w:val="001E7137"/>
    <w:rsid w:val="002234DC"/>
    <w:rsid w:val="002245AB"/>
    <w:rsid w:val="0022692B"/>
    <w:rsid w:val="0025548D"/>
    <w:rsid w:val="00255C18"/>
    <w:rsid w:val="00256114"/>
    <w:rsid w:val="00265A99"/>
    <w:rsid w:val="00266F2F"/>
    <w:rsid w:val="0026791C"/>
    <w:rsid w:val="00281C63"/>
    <w:rsid w:val="0028603C"/>
    <w:rsid w:val="00293D8D"/>
    <w:rsid w:val="002A35F8"/>
    <w:rsid w:val="002C1797"/>
    <w:rsid w:val="002C56AC"/>
    <w:rsid w:val="002C5E1D"/>
    <w:rsid w:val="002D2748"/>
    <w:rsid w:val="002E175B"/>
    <w:rsid w:val="002E28B0"/>
    <w:rsid w:val="002E548B"/>
    <w:rsid w:val="002F3278"/>
    <w:rsid w:val="002F52EE"/>
    <w:rsid w:val="00303041"/>
    <w:rsid w:val="0030733F"/>
    <w:rsid w:val="00320CDE"/>
    <w:rsid w:val="003233E7"/>
    <w:rsid w:val="003254BC"/>
    <w:rsid w:val="00330692"/>
    <w:rsid w:val="003454F6"/>
    <w:rsid w:val="003501F9"/>
    <w:rsid w:val="0037795E"/>
    <w:rsid w:val="003A298D"/>
    <w:rsid w:val="003B5176"/>
    <w:rsid w:val="003C1C8E"/>
    <w:rsid w:val="003D2587"/>
    <w:rsid w:val="004025D6"/>
    <w:rsid w:val="00414645"/>
    <w:rsid w:val="00424E5D"/>
    <w:rsid w:val="00425F46"/>
    <w:rsid w:val="00461386"/>
    <w:rsid w:val="00462D00"/>
    <w:rsid w:val="004712EB"/>
    <w:rsid w:val="004818E1"/>
    <w:rsid w:val="00481A7E"/>
    <w:rsid w:val="0048427F"/>
    <w:rsid w:val="00495C9D"/>
    <w:rsid w:val="004B7492"/>
    <w:rsid w:val="004C2B30"/>
    <w:rsid w:val="004D3BE1"/>
    <w:rsid w:val="004D3C8C"/>
    <w:rsid w:val="004E47AA"/>
    <w:rsid w:val="004E4BD6"/>
    <w:rsid w:val="004F41D5"/>
    <w:rsid w:val="00516463"/>
    <w:rsid w:val="00526123"/>
    <w:rsid w:val="005363BC"/>
    <w:rsid w:val="0054350A"/>
    <w:rsid w:val="005455F0"/>
    <w:rsid w:val="00551966"/>
    <w:rsid w:val="005531E8"/>
    <w:rsid w:val="00553D3C"/>
    <w:rsid w:val="00567C64"/>
    <w:rsid w:val="00573ECD"/>
    <w:rsid w:val="005863ED"/>
    <w:rsid w:val="005864A4"/>
    <w:rsid w:val="005A4EEF"/>
    <w:rsid w:val="005F7377"/>
    <w:rsid w:val="00604A46"/>
    <w:rsid w:val="0061712A"/>
    <w:rsid w:val="006368CC"/>
    <w:rsid w:val="00640611"/>
    <w:rsid w:val="00643370"/>
    <w:rsid w:val="006532D6"/>
    <w:rsid w:val="0065453B"/>
    <w:rsid w:val="006551C4"/>
    <w:rsid w:val="00660080"/>
    <w:rsid w:val="0066607A"/>
    <w:rsid w:val="006835C1"/>
    <w:rsid w:val="00690A3D"/>
    <w:rsid w:val="006A2AA3"/>
    <w:rsid w:val="006A3D7A"/>
    <w:rsid w:val="006E1FF0"/>
    <w:rsid w:val="006E3686"/>
    <w:rsid w:val="00724157"/>
    <w:rsid w:val="0072649A"/>
    <w:rsid w:val="00746675"/>
    <w:rsid w:val="007478F2"/>
    <w:rsid w:val="007768AC"/>
    <w:rsid w:val="007825CC"/>
    <w:rsid w:val="0078669D"/>
    <w:rsid w:val="00786F00"/>
    <w:rsid w:val="007C1FEF"/>
    <w:rsid w:val="007C46D3"/>
    <w:rsid w:val="007F66F9"/>
    <w:rsid w:val="008056C5"/>
    <w:rsid w:val="00821011"/>
    <w:rsid w:val="00827AE5"/>
    <w:rsid w:val="00847243"/>
    <w:rsid w:val="008642E1"/>
    <w:rsid w:val="0087026F"/>
    <w:rsid w:val="00875A7C"/>
    <w:rsid w:val="00877383"/>
    <w:rsid w:val="0088399E"/>
    <w:rsid w:val="008860C1"/>
    <w:rsid w:val="008909D4"/>
    <w:rsid w:val="008942FA"/>
    <w:rsid w:val="00897A68"/>
    <w:rsid w:val="008C228F"/>
    <w:rsid w:val="008F3D47"/>
    <w:rsid w:val="0094204C"/>
    <w:rsid w:val="009432BF"/>
    <w:rsid w:val="00963DD8"/>
    <w:rsid w:val="009A69F0"/>
    <w:rsid w:val="009C1092"/>
    <w:rsid w:val="009D4970"/>
    <w:rsid w:val="009E2519"/>
    <w:rsid w:val="009F2769"/>
    <w:rsid w:val="00A21E6E"/>
    <w:rsid w:val="00A341DF"/>
    <w:rsid w:val="00A36DEE"/>
    <w:rsid w:val="00A6078F"/>
    <w:rsid w:val="00A63ACE"/>
    <w:rsid w:val="00A8476F"/>
    <w:rsid w:val="00AC0386"/>
    <w:rsid w:val="00AC26B7"/>
    <w:rsid w:val="00AC62F8"/>
    <w:rsid w:val="00AD4D36"/>
    <w:rsid w:val="00AE4AD2"/>
    <w:rsid w:val="00AE5F43"/>
    <w:rsid w:val="00AF6A23"/>
    <w:rsid w:val="00B27095"/>
    <w:rsid w:val="00B32990"/>
    <w:rsid w:val="00B42737"/>
    <w:rsid w:val="00B44B23"/>
    <w:rsid w:val="00B4625A"/>
    <w:rsid w:val="00B608D5"/>
    <w:rsid w:val="00B71307"/>
    <w:rsid w:val="00B81607"/>
    <w:rsid w:val="00B8227E"/>
    <w:rsid w:val="00BA3246"/>
    <w:rsid w:val="00BA4418"/>
    <w:rsid w:val="00BC5FF1"/>
    <w:rsid w:val="00BD26BD"/>
    <w:rsid w:val="00BE51FF"/>
    <w:rsid w:val="00BF3561"/>
    <w:rsid w:val="00BF36E8"/>
    <w:rsid w:val="00BF556C"/>
    <w:rsid w:val="00C5365F"/>
    <w:rsid w:val="00C56C48"/>
    <w:rsid w:val="00C63B58"/>
    <w:rsid w:val="00C7001F"/>
    <w:rsid w:val="00C71F16"/>
    <w:rsid w:val="00C800A9"/>
    <w:rsid w:val="00C80222"/>
    <w:rsid w:val="00C86D2C"/>
    <w:rsid w:val="00C90C76"/>
    <w:rsid w:val="00CA10D7"/>
    <w:rsid w:val="00CA3CC3"/>
    <w:rsid w:val="00CB09E0"/>
    <w:rsid w:val="00CC66AD"/>
    <w:rsid w:val="00CC69E8"/>
    <w:rsid w:val="00CD2E74"/>
    <w:rsid w:val="00CE06A2"/>
    <w:rsid w:val="00D31DDA"/>
    <w:rsid w:val="00D44D7D"/>
    <w:rsid w:val="00D57E53"/>
    <w:rsid w:val="00D60F74"/>
    <w:rsid w:val="00D632DC"/>
    <w:rsid w:val="00D708C3"/>
    <w:rsid w:val="00D7686A"/>
    <w:rsid w:val="00DA5E37"/>
    <w:rsid w:val="00DC0672"/>
    <w:rsid w:val="00DD42DB"/>
    <w:rsid w:val="00DF5973"/>
    <w:rsid w:val="00E12E4F"/>
    <w:rsid w:val="00E16205"/>
    <w:rsid w:val="00E25ACC"/>
    <w:rsid w:val="00E501C6"/>
    <w:rsid w:val="00E7049B"/>
    <w:rsid w:val="00E727F2"/>
    <w:rsid w:val="00E73A43"/>
    <w:rsid w:val="00E749F1"/>
    <w:rsid w:val="00E87116"/>
    <w:rsid w:val="00E90F22"/>
    <w:rsid w:val="00E96021"/>
    <w:rsid w:val="00E97968"/>
    <w:rsid w:val="00EA634B"/>
    <w:rsid w:val="00EA68BA"/>
    <w:rsid w:val="00EB3C20"/>
    <w:rsid w:val="00EC0B9E"/>
    <w:rsid w:val="00EC1EB5"/>
    <w:rsid w:val="00ED0C45"/>
    <w:rsid w:val="00ED4142"/>
    <w:rsid w:val="00EF6E21"/>
    <w:rsid w:val="00F0239E"/>
    <w:rsid w:val="00F03232"/>
    <w:rsid w:val="00F07EFD"/>
    <w:rsid w:val="00F1164D"/>
    <w:rsid w:val="00F1200D"/>
    <w:rsid w:val="00F154DF"/>
    <w:rsid w:val="00F17C08"/>
    <w:rsid w:val="00F27D5C"/>
    <w:rsid w:val="00F60C52"/>
    <w:rsid w:val="00F81080"/>
    <w:rsid w:val="00F86156"/>
    <w:rsid w:val="00FA24D1"/>
    <w:rsid w:val="00FB231A"/>
    <w:rsid w:val="00FB3906"/>
    <w:rsid w:val="00FC1435"/>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paragraph" w:styleId="BodyText">
    <w:name w:val="Body Text"/>
    <w:basedOn w:val="Normal"/>
    <w:link w:val="BodyTextChar"/>
    <w:uiPriority w:val="99"/>
    <w:rsid w:val="002234DC"/>
    <w:pPr>
      <w:widowControl w:val="0"/>
      <w:suppressLineNumbers/>
    </w:pPr>
    <w:rPr>
      <w:rFonts w:ascii="Garamond" w:hAnsi="Garamond"/>
      <w:i/>
      <w:szCs w:val="20"/>
    </w:rPr>
  </w:style>
  <w:style w:type="character" w:customStyle="1" w:styleId="BodyTextChar">
    <w:name w:val="Body Text Char"/>
    <w:basedOn w:val="DefaultParagraphFont"/>
    <w:link w:val="BodyText"/>
    <w:uiPriority w:val="99"/>
    <w:rsid w:val="002234DC"/>
    <w:rPr>
      <w:rFonts w:ascii="Garamond" w:eastAsia="Times New Roman" w:hAnsi="Garamond" w:cs="Times New Roman"/>
      <w:i/>
      <w:sz w:val="24"/>
      <w:szCs w:val="20"/>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about/administrative/vpi/pdreview/" TargetMode="External"/><Relationship Id="rId13" Type="http://schemas.openxmlformats.org/officeDocument/2006/relationships/control" Target="activeX/activeX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5D637-B881-46FD-8742-B396DCF5D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billie.sanders</cp:lastModifiedBy>
  <cp:revision>3</cp:revision>
  <dcterms:created xsi:type="dcterms:W3CDTF">2011-12-05T21:41:00Z</dcterms:created>
  <dcterms:modified xsi:type="dcterms:W3CDTF">2011-12-06T17:28:00Z</dcterms:modified>
</cp:coreProperties>
</file>