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75B31">
        <w:rPr>
          <w:rFonts w:ascii="Arial" w:hAnsi="Arial" w:cs="Arial"/>
          <w:color w:val="000000" w:themeColor="text1"/>
          <w:u w:val="single"/>
        </w:rPr>
        <w:t>06</w:t>
      </w:r>
      <w:r w:rsidR="00624150">
        <w:rPr>
          <w:rFonts w:ascii="Arial" w:hAnsi="Arial" w:cs="Arial"/>
          <w:color w:val="000000" w:themeColor="text1"/>
          <w:u w:val="single"/>
        </w:rPr>
        <w:t>79</w:t>
      </w:r>
      <w:r w:rsidR="00D75B31">
        <w:rPr>
          <w:rFonts w:ascii="Arial" w:hAnsi="Arial" w:cs="Arial"/>
          <w:color w:val="000000" w:themeColor="text1"/>
          <w:u w:val="single"/>
        </w:rPr>
        <w:t xml:space="preserve"> – </w:t>
      </w:r>
      <w:r w:rsidR="00624150">
        <w:rPr>
          <w:rFonts w:ascii="Arial" w:hAnsi="Arial" w:cs="Arial"/>
          <w:color w:val="000000" w:themeColor="text1"/>
          <w:u w:val="single"/>
        </w:rPr>
        <w:t>Health Information Management</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935E8">
        <w:rPr>
          <w:rFonts w:ascii="Arial" w:hAnsi="Arial" w:cs="Arial"/>
          <w:color w:val="000000" w:themeColor="text1"/>
        </w:rPr>
        <w:t>0</w:t>
      </w:r>
      <w:r w:rsidR="009B102E">
        <w:rPr>
          <w:rFonts w:ascii="Arial" w:hAnsi="Arial" w:cs="Arial"/>
          <w:color w:val="000000" w:themeColor="text1"/>
        </w:rPr>
        <w:t>6</w:t>
      </w:r>
      <w:r>
        <w:rPr>
          <w:rFonts w:ascii="Arial" w:hAnsi="Arial" w:cs="Arial"/>
          <w:color w:val="000000" w:themeColor="text1"/>
        </w:rPr>
        <w:t>-</w:t>
      </w:r>
      <w:r w:rsidR="00A23AB6">
        <w:rPr>
          <w:rFonts w:ascii="Arial" w:hAnsi="Arial" w:cs="Arial"/>
          <w:color w:val="000000" w:themeColor="text1"/>
        </w:rPr>
        <w:t>20</w:t>
      </w:r>
      <w:r w:rsidR="00637591">
        <w:rPr>
          <w:rFonts w:ascii="Arial" w:hAnsi="Arial" w:cs="Arial"/>
          <w:color w:val="000000" w:themeColor="text1"/>
        </w:rPr>
        <w:t>0</w:t>
      </w:r>
      <w:r w:rsidR="009B102E">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935E8">
        <w:rPr>
          <w:rFonts w:ascii="Arial" w:hAnsi="Arial" w:cs="Arial"/>
          <w:color w:val="000000" w:themeColor="text1"/>
        </w:rPr>
        <w:t>1</w:t>
      </w:r>
      <w:r w:rsidR="009B102E">
        <w:rPr>
          <w:rFonts w:ascii="Arial" w:hAnsi="Arial" w:cs="Arial"/>
          <w:color w:val="000000" w:themeColor="text1"/>
        </w:rPr>
        <w:t>3</w:t>
      </w:r>
      <w:r>
        <w:rPr>
          <w:rFonts w:ascii="Arial" w:hAnsi="Arial" w:cs="Arial"/>
          <w:color w:val="000000" w:themeColor="text1"/>
        </w:rPr>
        <w:t>-201</w:t>
      </w:r>
      <w:r w:rsidR="009B102E">
        <w:rPr>
          <w:rFonts w:ascii="Arial" w:hAnsi="Arial" w:cs="Arial"/>
          <w:color w:val="000000" w:themeColor="text1"/>
        </w:rPr>
        <w:t>4</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2A099B" w:rsidP="00585766">
      <w:pPr>
        <w:rPr>
          <w:rFonts w:ascii="Arial" w:hAnsi="Arial" w:cs="Arial"/>
          <w:noProof/>
          <w:color w:val="000000" w:themeColor="text1"/>
        </w:rPr>
      </w:pPr>
      <w:r w:rsidRPr="002A099B">
        <w:rPr>
          <w:rFonts w:ascii="Arial" w:hAnsi="Arial" w:cs="Arial"/>
          <w:noProof/>
          <w:color w:val="000000" w:themeColor="text1"/>
        </w:rPr>
        <w:drawing>
          <wp:inline distT="0" distB="0" distL="0" distR="0">
            <wp:extent cx="4572000" cy="2743200"/>
            <wp:effectExtent l="38100" t="1905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F52320" w:rsidRDefault="00101865">
      <w:pPr>
        <w:spacing w:after="200" w:line="276" w:lineRule="auto"/>
      </w:pPr>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F52320" w:rsidRPr="00F52320">
        <w:t xml:space="preserve">Prior to Fall Quarter 2009, students were required to apply for "graduation" from the certificate programs. After </w:t>
      </w:r>
      <w:r w:rsidR="00F52320">
        <w:t xml:space="preserve">Fall </w:t>
      </w:r>
      <w:r w:rsidR="00F52320" w:rsidRPr="00F52320">
        <w:t>2009, an automated system for certificate completion was implemented and resulted in a 54% increase in the issuance of certificates (Medical Coding and Billing Specialist and Medical Office Coding Specialist) awarded.</w:t>
      </w:r>
    </w:p>
    <w:p w:rsidR="00145E42" w:rsidRDefault="00F52320">
      <w:pPr>
        <w:spacing w:after="200" w:line="276" w:lineRule="auto"/>
      </w:pPr>
      <w:r>
        <w:lastRenderedPageBreak/>
        <w:t>Beginning in Fall 2008</w:t>
      </w:r>
      <w:r w:rsidRPr="00F52320">
        <w:t xml:space="preserve">, there were changes </w:t>
      </w:r>
      <w:r>
        <w:t>made to the HIM</w:t>
      </w:r>
      <w:r w:rsidRPr="00F52320">
        <w:t xml:space="preserve"> curriculum</w:t>
      </w:r>
      <w:r>
        <w:t xml:space="preserve"> to include a BIO 121 program prerequisite. </w:t>
      </w:r>
      <w:r w:rsidRPr="00F52320">
        <w:t xml:space="preserve"> </w:t>
      </w:r>
      <w:r w:rsidR="00145E42">
        <w:t>The changes may have contributed to the measure of student success rates for completion of the HIM AAS degree.</w:t>
      </w:r>
    </w:p>
    <w:p w:rsidR="00145E42" w:rsidRDefault="00145E42">
      <w:pPr>
        <w:spacing w:after="200" w:line="276" w:lineRule="auto"/>
      </w:pPr>
      <w:r>
        <w:t>Starting in Fall 2008, the entire</w:t>
      </w:r>
      <w:r w:rsidR="00F52320" w:rsidRPr="00F52320">
        <w:t xml:space="preserve"> HIM Associate Degree</w:t>
      </w:r>
      <w:r>
        <w:t xml:space="preserve"> curriculum was</w:t>
      </w:r>
      <w:r w:rsidR="00F52320" w:rsidRPr="00F52320">
        <w:t xml:space="preserve"> available </w:t>
      </w:r>
      <w:r>
        <w:t>wholl</w:t>
      </w:r>
      <w:r w:rsidR="00F52320" w:rsidRPr="00F52320">
        <w:t>y online.</w:t>
      </w:r>
      <w:r w:rsidR="002E2353">
        <w:t xml:space="preserve"> Students generally living outside of the Dayton area are admitted into the remote cohort</w:t>
      </w:r>
      <w:r w:rsidR="004A2AEC">
        <w:t xml:space="preserve"> which is a growing population as this cohort has </w:t>
      </w:r>
      <w:r w:rsidR="00A95AB8">
        <w:t>continued to increase</w:t>
      </w:r>
      <w:r w:rsidR="004A2AEC">
        <w:t xml:space="preserve"> in number </w:t>
      </w:r>
      <w:r w:rsidR="003F6457">
        <w:t>starting with 2010 graduates</w:t>
      </w:r>
      <w:r w:rsidR="004A2AEC">
        <w:t>.</w:t>
      </w:r>
    </w:p>
    <w:p w:rsidR="00314606" w:rsidRDefault="00F52320">
      <w:pPr>
        <w:spacing w:after="200" w:line="276" w:lineRule="auto"/>
      </w:pPr>
      <w:r w:rsidRPr="00F52320">
        <w:t>Externally, socioeconomic reasons (such as layoffs in manufacturing</w:t>
      </w:r>
      <w:r w:rsidR="00164F58">
        <w:t xml:space="preserve"> and</w:t>
      </w:r>
      <w:r w:rsidRPr="00F52320">
        <w:t xml:space="preserve"> business relocations) increased the number of students enrolled in HIM courses</w:t>
      </w:r>
      <w:r w:rsidR="00BA1A19">
        <w:t xml:space="preserve"> as displaced students seemed to be searching for a healthcare field </w:t>
      </w:r>
      <w:r w:rsidR="00164F58">
        <w:t xml:space="preserve">program </w:t>
      </w:r>
      <w:r w:rsidR="00BA1A19">
        <w:t>with little to no wait list</w:t>
      </w:r>
      <w:r w:rsidRPr="00F52320">
        <w:t>.</w:t>
      </w:r>
    </w:p>
    <w:p w:rsidR="004C52FC" w:rsidRDefault="00F52320">
      <w:pPr>
        <w:spacing w:after="200" w:line="276" w:lineRule="auto"/>
        <w:rPr>
          <w:rFonts w:ascii="Arial" w:hAnsi="Arial" w:cs="Arial"/>
          <w:b/>
          <w:color w:val="000000" w:themeColor="text1"/>
        </w:rPr>
      </w:pPr>
      <w:r w:rsidRPr="00F52320">
        <w:t>Implications of</w:t>
      </w:r>
      <w:r w:rsidR="00314606">
        <w:t xml:space="preserve"> the HIM program </w:t>
      </w:r>
      <w:r w:rsidRPr="00F52320">
        <w:t xml:space="preserve">growth </w:t>
      </w:r>
      <w:r w:rsidR="00314606">
        <w:t>ha</w:t>
      </w:r>
      <w:r w:rsidR="00420EBF">
        <w:t>ve</w:t>
      </w:r>
      <w:r w:rsidR="00314606">
        <w:t xml:space="preserve"> </w:t>
      </w:r>
      <w:r w:rsidRPr="00F52320">
        <w:t>re</w:t>
      </w:r>
      <w:r w:rsidR="00420EBF">
        <w:t>s</w:t>
      </w:r>
      <w:r w:rsidRPr="00F52320">
        <w:t xml:space="preserve">ulted in the need for additional skilled faculty, increased course offerings (different times, more sections, online sections), and a </w:t>
      </w:r>
      <w:r w:rsidR="00314606">
        <w:t xml:space="preserve">need for remote cohort Professional Practice Experience/clinical (PPE) coordination. </w:t>
      </w:r>
      <w:r w:rsidRPr="00F52320">
        <w:t xml:space="preserve">Strategies that the department </w:t>
      </w:r>
      <w:r w:rsidR="00314606">
        <w:t>continues to</w:t>
      </w:r>
      <w:r w:rsidRPr="00F52320">
        <w:t xml:space="preserve"> implement as a result of this </w:t>
      </w:r>
      <w:r w:rsidR="00F323B2">
        <w:t>explosive growth</w:t>
      </w:r>
      <w:r w:rsidR="00DA3F09">
        <w:t xml:space="preserve"> and </w:t>
      </w:r>
      <w:r w:rsidR="00017790">
        <w:t>in order</w:t>
      </w:r>
      <w:r w:rsidR="00DA3F09">
        <w:t xml:space="preserve"> promote student success</w:t>
      </w:r>
      <w:r w:rsidRPr="00F52320">
        <w:t xml:space="preserve"> include</w:t>
      </w:r>
      <w:r w:rsidR="00017790">
        <w:t xml:space="preserve">: 1) </w:t>
      </w:r>
      <w:r w:rsidRPr="00F52320">
        <w:t xml:space="preserve">continual mentoring </w:t>
      </w:r>
      <w:r w:rsidR="00017790">
        <w:t xml:space="preserve">of </w:t>
      </w:r>
      <w:r w:rsidRPr="00F52320">
        <w:t>new faculty (full-time and adjunct)</w:t>
      </w:r>
      <w:r w:rsidR="00314606">
        <w:t xml:space="preserve">, </w:t>
      </w:r>
      <w:r w:rsidR="00017790">
        <w:t xml:space="preserve">2) </w:t>
      </w:r>
      <w:r w:rsidR="00314606">
        <w:t>increas</w:t>
      </w:r>
      <w:r w:rsidR="00017790">
        <w:t>ing</w:t>
      </w:r>
      <w:r w:rsidR="00314606">
        <w:t xml:space="preserve"> the </w:t>
      </w:r>
      <w:r w:rsidRPr="00F52320">
        <w:t xml:space="preserve">skill mix </w:t>
      </w:r>
      <w:r w:rsidR="00314606">
        <w:t>of faculty members (including online course coordination</w:t>
      </w:r>
      <w:r w:rsidR="00017790">
        <w:t xml:space="preserve"> skills</w:t>
      </w:r>
      <w:r w:rsidR="00314606">
        <w:t xml:space="preserve">) </w:t>
      </w:r>
      <w:r w:rsidRPr="00F52320">
        <w:t>needed to support student success</w:t>
      </w:r>
      <w:r w:rsidR="00F323B2">
        <w:t xml:space="preserve">, and </w:t>
      </w:r>
      <w:r w:rsidR="00017790">
        <w:t xml:space="preserve">3) </w:t>
      </w:r>
      <w:r w:rsidR="00F323B2">
        <w:t>encourag</w:t>
      </w:r>
      <w:r w:rsidR="00017790">
        <w:t>ing</w:t>
      </w:r>
      <w:r w:rsidR="00F323B2">
        <w:t xml:space="preserve"> training for technical/ANGEL expertise</w:t>
      </w:r>
      <w:r w:rsidR="00017790">
        <w:t xml:space="preserve"> for all faculty members.</w:t>
      </w:r>
      <w:r w:rsidRPr="00F52320">
        <w:t xml:space="preserve">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sidR="00101865" w:rsidRPr="00A16696">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943CFB" w:rsidP="00585766">
      <w:pPr>
        <w:rPr>
          <w:rFonts w:ascii="Arial" w:hAnsi="Arial" w:cs="Arial"/>
          <w:color w:val="000000" w:themeColor="text1"/>
        </w:rPr>
      </w:pPr>
      <w:r w:rsidRPr="00943CFB">
        <w:rPr>
          <w:rFonts w:ascii="Arial" w:hAnsi="Arial" w:cs="Arial"/>
          <w:noProof/>
          <w:color w:val="000000" w:themeColor="text1"/>
        </w:rPr>
        <w:drawing>
          <wp:inline distT="0" distB="0" distL="0" distR="0">
            <wp:extent cx="56007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B21846" w:rsidRPr="00B21846" w:rsidRDefault="00101865" w:rsidP="00B21846">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647181">
        <w:t>In 2008, t</w:t>
      </w:r>
      <w:r w:rsidR="00B21846">
        <w:t>he</w:t>
      </w:r>
      <w:r w:rsidR="00B21846" w:rsidRPr="00B21846">
        <w:t xml:space="preserve"> HIM 121 and HIM 122 courses were transformed as a result of the requirements of </w:t>
      </w:r>
      <w:r w:rsidR="003F6457">
        <w:t>a Learning Challenge Grant</w:t>
      </w:r>
      <w:r w:rsidR="00B21846" w:rsidRPr="00B21846">
        <w:t xml:space="preserve">.  HIM121 and HIM122 were standardized with the course content.  A new textbook and instructor presentation tools were provided.  Effective AY2008, this course was offered online (for the first time) and face-to-face. For AY2007 and AY2008, the success rate for HIM121 was 69.4% and in AY2011-2012 the success rate increased to 78.5%.  This is a result of the transformed course.  HIM122 went from 81.7% to 84.9%. </w:t>
      </w:r>
      <w:r w:rsidR="003F6457">
        <w:t xml:space="preserve">(Note: </w:t>
      </w:r>
      <w:r w:rsidR="00B21846" w:rsidRPr="00B21846">
        <w:t>The 84.9% excludes the data for Spring AY2011-2012</w:t>
      </w:r>
      <w:r w:rsidR="003F6457">
        <w:t xml:space="preserve"> which is not available)</w:t>
      </w:r>
      <w:r w:rsidR="00B21846" w:rsidRPr="00B21846">
        <w:t xml:space="preserve">.  </w:t>
      </w:r>
    </w:p>
    <w:p w:rsidR="00B21846" w:rsidRPr="00B21846" w:rsidRDefault="00B21846" w:rsidP="00B21846"/>
    <w:p w:rsidR="00B21846" w:rsidRPr="00B21846" w:rsidRDefault="00C55DA6" w:rsidP="00B21846">
      <w:r>
        <w:t xml:space="preserve">Student success in the </w:t>
      </w:r>
      <w:r w:rsidR="00B21846" w:rsidRPr="00B21846">
        <w:t xml:space="preserve"> coding courses (HIM260, HIM261, and HIM262) continually </w:t>
      </w:r>
      <w:r w:rsidR="000D035A">
        <w:t>raises a red flag when comparing s</w:t>
      </w:r>
      <w:r w:rsidR="00B21846" w:rsidRPr="00B21846">
        <w:t>tudent success between online and on-campus courses</w:t>
      </w:r>
      <w:r w:rsidR="000D035A">
        <w:t xml:space="preserve"> (see Attachment A - Comparison grid)</w:t>
      </w:r>
      <w:r w:rsidR="00B21846" w:rsidRPr="00B21846">
        <w:t xml:space="preserve">  </w:t>
      </w:r>
      <w:r>
        <w:t xml:space="preserve">This </w:t>
      </w:r>
      <w:r w:rsidR="000D035A">
        <w:t>comparison</w:t>
      </w:r>
      <w:r>
        <w:t xml:space="preserve"> has been concurrently monitored throughout the past</w:t>
      </w:r>
      <w:r w:rsidR="00470F03">
        <w:t xml:space="preserve"> </w:t>
      </w:r>
      <w:r>
        <w:t xml:space="preserve">few years. </w:t>
      </w:r>
      <w:r w:rsidR="00B21846" w:rsidRPr="00B21846">
        <w:t xml:space="preserve">The coding courses have been revised and learning resources have been changed.  The coding course </w:t>
      </w:r>
      <w:r>
        <w:t xml:space="preserve">now </w:t>
      </w:r>
      <w:r w:rsidR="00B21846" w:rsidRPr="00B21846">
        <w:t>require</w:t>
      </w:r>
      <w:r>
        <w:t>s</w:t>
      </w:r>
      <w:r w:rsidR="00B21846" w:rsidRPr="00B21846">
        <w:t xml:space="preserve"> a prerequisite of a higher</w:t>
      </w:r>
      <w:r>
        <w:t>-</w:t>
      </w:r>
      <w:r w:rsidR="00B21846" w:rsidRPr="00B21846">
        <w:t xml:space="preserve">level biology.  </w:t>
      </w:r>
      <w:r>
        <w:t>In addition to the changes made within the coding course material</w:t>
      </w:r>
      <w:r w:rsidR="00B21846" w:rsidRPr="00B21846">
        <w:t>, the department has created a coding concepts course</w:t>
      </w:r>
      <w:r>
        <w:t xml:space="preserve"> (starting Fall 2012)</w:t>
      </w:r>
      <w:r w:rsidR="00B21846" w:rsidRPr="00B21846">
        <w:t xml:space="preserve"> for BIS </w:t>
      </w:r>
      <w:r>
        <w:t xml:space="preserve">medical-option </w:t>
      </w:r>
      <w:r w:rsidR="00B21846" w:rsidRPr="00B21846">
        <w:t>students</w:t>
      </w:r>
      <w:r>
        <w:t>.</w:t>
      </w:r>
      <w:r w:rsidR="000D035A">
        <w:t xml:space="preserve"> These BIS students were a large component of these coding courses. T</w:t>
      </w:r>
      <w:r>
        <w:t xml:space="preserve">hese BIS students' curriculum had required HIM260 and HIM261, however, </w:t>
      </w:r>
      <w:r w:rsidR="00A12E02">
        <w:t xml:space="preserve">with the advent of </w:t>
      </w:r>
      <w:r>
        <w:t>the semester curriculum</w:t>
      </w:r>
      <w:r w:rsidR="00A12E02">
        <w:t>,</w:t>
      </w:r>
      <w:r>
        <w:t xml:space="preserve"> BIS students </w:t>
      </w:r>
      <w:r w:rsidR="00A12E02">
        <w:t xml:space="preserve">are no longer </w:t>
      </w:r>
      <w:r>
        <w:t>require</w:t>
      </w:r>
      <w:r w:rsidR="00A12E02">
        <w:t>d to take</w:t>
      </w:r>
      <w:r>
        <w:t xml:space="preserve"> </w:t>
      </w:r>
      <w:r w:rsidR="00A12E02">
        <w:t xml:space="preserve">courses with </w:t>
      </w:r>
      <w:r>
        <w:t>such</w:t>
      </w:r>
      <w:r w:rsidR="00B21846" w:rsidRPr="00B21846">
        <w:t xml:space="preserve"> intensive coding </w:t>
      </w:r>
      <w:r w:rsidR="00A12E02">
        <w:t>skills</w:t>
      </w:r>
      <w:r w:rsidR="00B21846" w:rsidRPr="00B21846">
        <w:t xml:space="preserve">. </w:t>
      </w:r>
      <w:r w:rsidR="000D035A">
        <w:t>The effects of these changes should show in the Fall 2012 course comparisons.  Measurement and assessment is continuing.</w:t>
      </w:r>
    </w:p>
    <w:p w:rsidR="00B21846" w:rsidRPr="00B21846" w:rsidRDefault="00B21846" w:rsidP="00B21846"/>
    <w:p w:rsidR="001D3E1D" w:rsidRPr="00A23AB6" w:rsidRDefault="00B21846" w:rsidP="00B21846">
      <w:pPr>
        <w:rPr>
          <w:rFonts w:ascii="Arial" w:hAnsi="Arial" w:cs="Arial"/>
          <w:color w:val="000000" w:themeColor="text1"/>
        </w:rPr>
      </w:pPr>
      <w:r w:rsidRPr="00B21846">
        <w:t xml:space="preserve">The HIM240 course went from </w:t>
      </w:r>
      <w:r w:rsidR="00647181">
        <w:t xml:space="preserve">a </w:t>
      </w:r>
      <w:r w:rsidRPr="00B21846">
        <w:t xml:space="preserve">100.0% </w:t>
      </w:r>
      <w:r w:rsidR="00647181">
        <w:t xml:space="preserve">student success rate </w:t>
      </w:r>
      <w:r w:rsidRPr="00B21846">
        <w:t xml:space="preserve">in AY2007-2008 to 88.6% in AY2010-2011. </w:t>
      </w:r>
      <w:r w:rsidR="00F71A68">
        <w:t>Concurrent a</w:t>
      </w:r>
      <w:r w:rsidRPr="00B21846">
        <w:t xml:space="preserve">nalysis resulted in </w:t>
      </w:r>
      <w:r w:rsidR="00F71A68">
        <w:t xml:space="preserve">findings that </w:t>
      </w:r>
      <w:r w:rsidRPr="00B21846">
        <w:t xml:space="preserve">the textbook was </w:t>
      </w:r>
      <w:r w:rsidR="00F71A68">
        <w:t xml:space="preserve">a huge factor in the </w:t>
      </w:r>
      <w:r w:rsidR="00F71A68">
        <w:lastRenderedPageBreak/>
        <w:t>decline in student success rate. The textbook was found to contain inade</w:t>
      </w:r>
      <w:r w:rsidRPr="00B21846">
        <w:t>quate</w:t>
      </w:r>
      <w:r w:rsidR="00F71A68">
        <w:t xml:space="preserve"> </w:t>
      </w:r>
      <w:r w:rsidRPr="00B21846">
        <w:t>content</w:t>
      </w:r>
      <w:r w:rsidR="00F71A68">
        <w:t xml:space="preserve">  for intended student outcomes and low-level coding scenarios.</w:t>
      </w:r>
      <w:r w:rsidRPr="00B21846">
        <w:t xml:space="preserve"> </w:t>
      </w:r>
      <w:r w:rsidR="00F71A68">
        <w:t>T</w:t>
      </w:r>
      <w:r w:rsidRPr="00B21846">
        <w:t xml:space="preserve">he course </w:t>
      </w:r>
      <w:r w:rsidR="00F71A68">
        <w:t xml:space="preserve">was </w:t>
      </w:r>
      <w:r w:rsidRPr="00B21846">
        <w:t xml:space="preserve">revised which included expanded online content, </w:t>
      </w:r>
      <w:r w:rsidR="00574765">
        <w:t xml:space="preserve">increased </w:t>
      </w:r>
      <w:r w:rsidR="001B2914">
        <w:t xml:space="preserve">skill-level coding scenarios, and online resources </w:t>
      </w:r>
      <w:r w:rsidRPr="00B21846">
        <w:t xml:space="preserve">promote student engagement. </w:t>
      </w:r>
      <w:r w:rsidR="00647181">
        <w:t>Student success in this course is ongoing.</w:t>
      </w:r>
      <w:r w:rsidR="00101865" w:rsidRPr="00A16696">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9524F7" w:rsidRPr="009524F7" w:rsidRDefault="00101865" w:rsidP="009524F7">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E41D6E">
        <w:t>-</w:t>
      </w:r>
      <w:r w:rsidR="0060376D">
        <w:t>A</w:t>
      </w:r>
      <w:r w:rsidR="009524F7" w:rsidRPr="009524F7">
        <w:t xml:space="preserve">ccredition data - </w:t>
      </w:r>
      <w:r w:rsidR="00321F84">
        <w:t xml:space="preserve">The HIM </w:t>
      </w:r>
      <w:r w:rsidR="009524F7" w:rsidRPr="009524F7">
        <w:t xml:space="preserve">program has </w:t>
      </w:r>
      <w:r w:rsidR="0060376D">
        <w:t>maintained</w:t>
      </w:r>
      <w:r w:rsidR="009524F7" w:rsidRPr="009524F7">
        <w:t xml:space="preserve"> </w:t>
      </w:r>
      <w:r w:rsidR="00647181">
        <w:t xml:space="preserve">continual </w:t>
      </w:r>
      <w:r w:rsidR="009524F7" w:rsidRPr="009524F7">
        <w:t>full accredit</w:t>
      </w:r>
      <w:r w:rsidR="0060376D">
        <w:t>ation with American Health Information Management</w:t>
      </w:r>
      <w:r w:rsidR="00647181">
        <w:t xml:space="preserve"> Association</w:t>
      </w:r>
      <w:r w:rsidR="00321F84">
        <w:t>.</w:t>
      </w:r>
    </w:p>
    <w:p w:rsidR="009524F7" w:rsidRPr="009524F7" w:rsidRDefault="00E41D6E" w:rsidP="009524F7">
      <w:r>
        <w:t>-</w:t>
      </w:r>
      <w:r w:rsidR="0060376D">
        <w:t>P</w:t>
      </w:r>
      <w:r w:rsidR="009524F7" w:rsidRPr="009524F7">
        <w:t xml:space="preserve">rogram data - </w:t>
      </w:r>
      <w:r w:rsidR="0060376D">
        <w:t xml:space="preserve">Current analysis is beginning to compare student success of students who take HIM courses online </w:t>
      </w:r>
      <w:r w:rsidR="009524F7" w:rsidRPr="009524F7">
        <w:t>vs. on-campus</w:t>
      </w:r>
      <w:r w:rsidR="00647181">
        <w:t>.  Results are not yet available.</w:t>
      </w:r>
    </w:p>
    <w:p w:rsidR="009524F7" w:rsidRPr="009524F7" w:rsidRDefault="00E41D6E" w:rsidP="009524F7">
      <w:r>
        <w:t>-</w:t>
      </w:r>
      <w:r w:rsidR="0060376D">
        <w:t>B</w:t>
      </w:r>
      <w:r w:rsidR="009524F7" w:rsidRPr="009524F7">
        <w:t>enchmark data from national exam - RHIT exam results</w:t>
      </w:r>
      <w:r w:rsidR="0060376D">
        <w:t xml:space="preserve"> demonstrated </w:t>
      </w:r>
      <w:r w:rsidR="00810A15">
        <w:t>100% (</w:t>
      </w:r>
      <w:r w:rsidR="0060376D">
        <w:t>16 out of 16</w:t>
      </w:r>
      <w:r w:rsidR="00810A15">
        <w:t>)</w:t>
      </w:r>
      <w:r w:rsidR="0060376D">
        <w:t xml:space="preserve"> </w:t>
      </w:r>
      <w:r w:rsidR="00810A15">
        <w:t xml:space="preserve">of our </w:t>
      </w:r>
      <w:r w:rsidR="0060376D">
        <w:t>students passed (based on last AHIMA School Score Report)</w:t>
      </w:r>
      <w:r w:rsidR="00242E5C">
        <w:t>. Also, c</w:t>
      </w:r>
      <w:r w:rsidR="00242E5C" w:rsidRPr="00242E5C">
        <w:t>ompared to the national mean, Sinclair’s results were above the national mean in 100% of AHIMA’s subdomains</w:t>
      </w:r>
    </w:p>
    <w:p w:rsidR="009524F7" w:rsidRPr="009524F7" w:rsidRDefault="00E41D6E" w:rsidP="009524F7">
      <w:r>
        <w:t>-</w:t>
      </w:r>
      <w:r w:rsidR="0060376D">
        <w:t>R</w:t>
      </w:r>
      <w:r w:rsidR="009524F7" w:rsidRPr="009524F7">
        <w:t xml:space="preserve">etention - </w:t>
      </w:r>
      <w:r w:rsidR="00242E5C">
        <w:t>The attrition rate for 10-11 academic year (as reported in AHIMA's Annual Program Report) was 15.6 %.</w:t>
      </w:r>
    </w:p>
    <w:p w:rsidR="009524F7" w:rsidRPr="009524F7" w:rsidRDefault="00E41D6E" w:rsidP="009524F7">
      <w:r>
        <w:t>-</w:t>
      </w:r>
      <w:r w:rsidR="00FA58AC">
        <w:t>D</w:t>
      </w:r>
      <w:r w:rsidR="009524F7" w:rsidRPr="009524F7">
        <w:t xml:space="preserve">emographic data - </w:t>
      </w:r>
      <w:r w:rsidR="00810A15">
        <w:t>In addition to the students who live in Ohio yet outside the Dayton area, our current HIM cohort students span to include 5 additional states to include Kentucky, Washington, Texas, Pennsylvania and California</w:t>
      </w:r>
      <w:r w:rsidR="00321F84">
        <w:t>.</w:t>
      </w:r>
      <w:r w:rsidR="00810A15">
        <w:t xml:space="preserve"> </w:t>
      </w:r>
    </w:p>
    <w:p w:rsidR="009524F7" w:rsidRPr="009524F7" w:rsidRDefault="00E41D6E" w:rsidP="009524F7">
      <w:r>
        <w:t>-</w:t>
      </w:r>
      <w:r w:rsidR="00810A15">
        <w:t>D</w:t>
      </w:r>
      <w:r w:rsidR="009524F7" w:rsidRPr="009524F7">
        <w:t xml:space="preserve">ata of placement of graduates - </w:t>
      </w:r>
      <w:r w:rsidR="00321F84">
        <w:t xml:space="preserve">Of our June 2011 graduates, </w:t>
      </w:r>
      <w:r w:rsidR="00810A15">
        <w:t>8</w:t>
      </w:r>
      <w:r w:rsidR="00321F84">
        <w:t>0</w:t>
      </w:r>
      <w:r w:rsidR="00810A15">
        <w:t xml:space="preserve">% are either employed in an </w:t>
      </w:r>
      <w:r>
        <w:t>-</w:t>
      </w:r>
      <w:r w:rsidR="00810A15">
        <w:t>HIM-related position or continuing their education</w:t>
      </w:r>
      <w:r w:rsidR="00321F84">
        <w:t>.</w:t>
      </w:r>
    </w:p>
    <w:p w:rsidR="009524F7" w:rsidRPr="009524F7" w:rsidRDefault="00E41D6E" w:rsidP="009524F7">
      <w:r>
        <w:t>-</w:t>
      </w:r>
      <w:r w:rsidR="00810A15">
        <w:t>G</w:t>
      </w:r>
      <w:r w:rsidR="009524F7" w:rsidRPr="009524F7">
        <w:t>raduate survey data -</w:t>
      </w:r>
      <w:r w:rsidR="00E02C5A">
        <w:t xml:space="preserve"> Each year our program is required by our accrediting agency to distribute to past graduates a student satisfaction rate. As reported in the most recent AHIMA Annual Program Report, our employer satisfaction rate was 100%.</w:t>
      </w:r>
    </w:p>
    <w:p w:rsidR="00A23AB6" w:rsidRDefault="00E41D6E" w:rsidP="009524F7">
      <w:pPr>
        <w:spacing w:after="200" w:line="276" w:lineRule="auto"/>
        <w:rPr>
          <w:rFonts w:ascii="Arial" w:hAnsi="Arial" w:cs="Arial"/>
          <w:color w:val="000000" w:themeColor="text1"/>
        </w:rPr>
      </w:pPr>
      <w:r>
        <w:t>-</w:t>
      </w:r>
      <w:bookmarkStart w:id="0" w:name="_GoBack"/>
      <w:bookmarkEnd w:id="0"/>
      <w:r w:rsidR="000A1240">
        <w:t>E</w:t>
      </w:r>
      <w:r w:rsidR="009524F7" w:rsidRPr="009524F7">
        <w:t xml:space="preserve">mployer satisfaction rate - </w:t>
      </w:r>
      <w:r w:rsidR="00E02C5A" w:rsidRPr="00E02C5A">
        <w:t>Each year our program is required by our accrediting agency to distribute an Employer Statisfaction survey. As reported in the most recent AHIMA Annual Program Report, our employer satisfaction rate was 100%.</w:t>
      </w:r>
      <w:r w:rsidR="00101865" w:rsidRPr="00A16696">
        <w:rPr>
          <w:rFonts w:ascii="Arial" w:hAnsi="Arial" w:cs="Arial"/>
          <w:color w:val="000000" w:themeColor="text1"/>
        </w:rPr>
        <w:fldChar w:fldCharType="end"/>
      </w:r>
    </w:p>
    <w:p w:rsidR="004C52FC" w:rsidRDefault="004C52FC" w:rsidP="00377D40">
      <w:pPr>
        <w:spacing w:after="200" w:line="276" w:lineRule="auto"/>
        <w:rPr>
          <w:rFonts w:ascii="Arial" w:hAnsi="Arial" w:cs="Arial"/>
          <w:color w:val="000000" w:themeColor="text1"/>
        </w:rPr>
      </w:pPr>
    </w:p>
    <w:p w:rsidR="00A23AB6" w:rsidRDefault="00A23AB6" w:rsidP="00377D40">
      <w:pPr>
        <w:spacing w:after="200" w:line="276" w:lineRule="auto"/>
        <w:rPr>
          <w:rFonts w:ascii="Arial" w:hAnsi="Arial" w:cs="Arial"/>
          <w:color w:val="000000" w:themeColor="text1"/>
        </w:rPr>
        <w:sectPr w:rsidR="00A23AB6"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A23AB6">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3AB6" w:rsidTr="00A23AB6">
        <w:trPr>
          <w:trHeight w:val="1399"/>
        </w:trPr>
        <w:tc>
          <w:tcPr>
            <w:tcW w:w="3951" w:type="dxa"/>
          </w:tcPr>
          <w:p w:rsidR="00A23AB6" w:rsidRPr="0037786D" w:rsidRDefault="00A23AB6" w:rsidP="00225B53">
            <w:pPr>
              <w:spacing w:line="276" w:lineRule="auto"/>
              <w:rPr>
                <w:rFonts w:ascii="Arial" w:hAnsi="Arial" w:cs="Arial"/>
                <w:color w:val="000000" w:themeColor="text1"/>
              </w:rPr>
            </w:pPr>
            <w:r>
              <w:rPr>
                <w:sz w:val="24"/>
                <w:szCs w:val="24"/>
              </w:rPr>
              <w:t xml:space="preserve">We have proposed an entirely web-based cohort of the HIM associate degree program. Our program </w:t>
            </w:r>
            <w:r w:rsidRPr="007C6AC3">
              <w:rPr>
                <w:sz w:val="24"/>
                <w:szCs w:val="24"/>
              </w:rPr>
              <w:t xml:space="preserve">has traditionally needed to restrict enrollment to 25 students per year due to the number of professional practice sites available in the </w:t>
            </w:r>
            <w:smartTag w:uri="urn:schemas-microsoft-com:office:smarttags" w:element="City">
              <w:smartTag w:uri="urn:schemas-microsoft-com:office:smarttags" w:element="place">
                <w:r w:rsidRPr="007C6AC3">
                  <w:rPr>
                    <w:sz w:val="24"/>
                    <w:szCs w:val="24"/>
                  </w:rPr>
                  <w:t>Dayton</w:t>
                </w:r>
              </w:smartTag>
            </w:smartTag>
            <w:r w:rsidRPr="007C6AC3">
              <w:rPr>
                <w:sz w:val="24"/>
                <w:szCs w:val="24"/>
              </w:rPr>
              <w:t xml:space="preserve"> area hospitals.  </w:t>
            </w:r>
          </w:p>
        </w:tc>
        <w:tc>
          <w:tcPr>
            <w:tcW w:w="2647"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ed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632" w:type="dxa"/>
          </w:tcPr>
          <w:p w:rsidR="00A23AB6" w:rsidRDefault="00101865" w:rsidP="00420EBF">
            <w:r w:rsidRPr="00E02628">
              <w:rPr>
                <w:rFonts w:ascii="Arial" w:hAnsi="Arial" w:cs="Arial"/>
                <w:color w:val="000000" w:themeColor="text1"/>
              </w:rPr>
              <w:fldChar w:fldCharType="begin">
                <w:ffData>
                  <w:name w:val="Text1"/>
                  <w:enabled/>
                  <w:calcOnExit w:val="0"/>
                  <w:textInput/>
                </w:ffData>
              </w:fldChar>
            </w:r>
            <w:r w:rsidR="00A23AB6" w:rsidRPr="00E02628">
              <w:rPr>
                <w:rFonts w:ascii="Arial" w:hAnsi="Arial" w:cs="Arial"/>
                <w:color w:val="000000" w:themeColor="text1"/>
              </w:rPr>
              <w:instrText xml:space="preserve"> FORMTEXT </w:instrText>
            </w:r>
            <w:r w:rsidRPr="00E02628">
              <w:rPr>
                <w:rFonts w:ascii="Arial" w:hAnsi="Arial" w:cs="Arial"/>
                <w:color w:val="000000" w:themeColor="text1"/>
              </w:rPr>
            </w:r>
            <w:r w:rsidRPr="00E02628">
              <w:rPr>
                <w:rFonts w:ascii="Arial" w:hAnsi="Arial" w:cs="Arial"/>
                <w:color w:val="000000" w:themeColor="text1"/>
              </w:rPr>
              <w:fldChar w:fldCharType="separate"/>
            </w:r>
            <w:r w:rsidR="001733AE" w:rsidRPr="001733AE">
              <w:t>The HIM program has successfully converted all</w:t>
            </w:r>
            <w:r w:rsidR="00420EBF">
              <w:t xml:space="preserve"> </w:t>
            </w:r>
            <w:r w:rsidR="00202E6F">
              <w:t xml:space="preserve">22 </w:t>
            </w:r>
            <w:r w:rsidR="001733AE" w:rsidRPr="001733AE">
              <w:t xml:space="preserve">curriculum courses to an online format. The HIM program has two separate cohorts - local cohort and the remote cohort. The local cohort, due to limited number of available clinical sites, is limited to 35 students.  The remote cohort is currently unlimited due to available remote clinical sites.  For 2012, </w:t>
            </w:r>
            <w:r w:rsidR="00202E6F">
              <w:t xml:space="preserve">the total of both cohorts is </w:t>
            </w:r>
            <w:r w:rsidR="001733AE" w:rsidRPr="001733AE">
              <w:t>starting with 5</w:t>
            </w:r>
            <w:r w:rsidR="00395156">
              <w:t>9</w:t>
            </w:r>
            <w:r w:rsidR="001733AE" w:rsidRPr="001733AE">
              <w:t xml:space="preserve"> students.</w:t>
            </w:r>
            <w:r w:rsidRPr="00E02628">
              <w:rPr>
                <w:rFonts w:ascii="Arial" w:hAnsi="Arial" w:cs="Arial"/>
                <w:color w:val="000000" w:themeColor="text1"/>
              </w:rPr>
              <w:fldChar w:fldCharType="end"/>
            </w:r>
          </w:p>
        </w:tc>
      </w:tr>
      <w:tr w:rsidR="00A23AB6" w:rsidTr="00A23AB6">
        <w:trPr>
          <w:trHeight w:val="1399"/>
        </w:trPr>
        <w:tc>
          <w:tcPr>
            <w:tcW w:w="3951" w:type="dxa"/>
          </w:tcPr>
          <w:p w:rsidR="00A23AB6" w:rsidRDefault="00A23AB6" w:rsidP="000D5FE3">
            <w:pPr>
              <w:rPr>
                <w:sz w:val="24"/>
                <w:szCs w:val="24"/>
              </w:rPr>
            </w:pPr>
            <w:r>
              <w:rPr>
                <w:sz w:val="24"/>
                <w:szCs w:val="24"/>
              </w:rPr>
              <w:t xml:space="preserve">There are presently nine courses in </w:t>
            </w:r>
            <w:proofErr w:type="gramStart"/>
            <w:r>
              <w:rPr>
                <w:sz w:val="24"/>
                <w:szCs w:val="24"/>
              </w:rPr>
              <w:t>the  Medical</w:t>
            </w:r>
            <w:proofErr w:type="gramEnd"/>
            <w:r>
              <w:rPr>
                <w:sz w:val="24"/>
                <w:szCs w:val="24"/>
              </w:rPr>
              <w:t xml:space="preserve"> Office Coding Certificate and all but one are available online. BIO 107 is the only course remaining that prevents us from marketing this certificate as available entirely online.  If this obstacle is overcome, there might be significant opportunity for an increase in enrollment with some targeted marketing.</w:t>
            </w:r>
          </w:p>
          <w:p w:rsidR="00A23AB6" w:rsidRPr="009D7495" w:rsidRDefault="00A23AB6" w:rsidP="009D7495">
            <w:pPr>
              <w:ind w:firstLine="720"/>
              <w:rPr>
                <w:rFonts w:ascii="Arial" w:hAnsi="Arial" w:cs="Arial"/>
              </w:rPr>
            </w:pPr>
          </w:p>
        </w:tc>
        <w:tc>
          <w:tcPr>
            <w:tcW w:w="2647"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632" w:type="dxa"/>
          </w:tcPr>
          <w:p w:rsidR="00A23AB6" w:rsidRDefault="00101865" w:rsidP="00B37484">
            <w:r w:rsidRPr="00E02628">
              <w:rPr>
                <w:rFonts w:ascii="Arial" w:hAnsi="Arial" w:cs="Arial"/>
                <w:color w:val="000000" w:themeColor="text1"/>
              </w:rPr>
              <w:fldChar w:fldCharType="begin">
                <w:ffData>
                  <w:name w:val="Text1"/>
                  <w:enabled/>
                  <w:calcOnExit w:val="0"/>
                  <w:textInput/>
                </w:ffData>
              </w:fldChar>
            </w:r>
            <w:r w:rsidR="00A23AB6" w:rsidRPr="00E02628">
              <w:rPr>
                <w:rFonts w:ascii="Arial" w:hAnsi="Arial" w:cs="Arial"/>
                <w:color w:val="000000" w:themeColor="text1"/>
              </w:rPr>
              <w:instrText xml:space="preserve"> FORMTEXT </w:instrText>
            </w:r>
            <w:r w:rsidRPr="00E02628">
              <w:rPr>
                <w:rFonts w:ascii="Arial" w:hAnsi="Arial" w:cs="Arial"/>
                <w:color w:val="000000" w:themeColor="text1"/>
              </w:rPr>
            </w:r>
            <w:r w:rsidRPr="00E02628">
              <w:rPr>
                <w:rFonts w:ascii="Arial" w:hAnsi="Arial" w:cs="Arial"/>
                <w:color w:val="000000" w:themeColor="text1"/>
              </w:rPr>
              <w:fldChar w:fldCharType="separate"/>
            </w:r>
            <w:r w:rsidR="00B03808">
              <w:t>Biology 107 (and its semester equivalent) is available online. However, the biology credit required in the Certificate is now the BIO 121 &amp; BIO 122 equivalent</w:t>
            </w:r>
            <w:r w:rsidR="00B37484">
              <w:t xml:space="preserve"> and these BIO courses are available online.</w:t>
            </w:r>
            <w:r w:rsidR="00B03808">
              <w:t xml:space="preserve"> </w:t>
            </w:r>
            <w:r w:rsidRPr="00E02628">
              <w:rPr>
                <w:rFonts w:ascii="Arial" w:hAnsi="Arial" w:cs="Arial"/>
                <w:color w:val="000000" w:themeColor="text1"/>
              </w:rPr>
              <w:fldChar w:fldCharType="end"/>
            </w:r>
          </w:p>
        </w:tc>
      </w:tr>
      <w:tr w:rsidR="00A23AB6" w:rsidTr="00A23AB6">
        <w:trPr>
          <w:trHeight w:val="1101"/>
        </w:trPr>
        <w:tc>
          <w:tcPr>
            <w:tcW w:w="3951" w:type="dxa"/>
          </w:tcPr>
          <w:p w:rsidR="00A23AB6" w:rsidRDefault="00A23AB6" w:rsidP="000D5FE3">
            <w:pPr>
              <w:rPr>
                <w:sz w:val="24"/>
                <w:szCs w:val="24"/>
              </w:rPr>
            </w:pPr>
            <w:r>
              <w:rPr>
                <w:sz w:val="24"/>
                <w:szCs w:val="24"/>
              </w:rPr>
              <w:t xml:space="preserve">As a result of the data reviewed during the self-study, we became more aware of the undesirable (although not unexpected) success rate in HIM 121 (63% for the last 3 years). This a top 45 enrollment course with </w:t>
            </w:r>
            <w:r>
              <w:rPr>
                <w:sz w:val="24"/>
                <w:szCs w:val="24"/>
              </w:rPr>
              <w:lastRenderedPageBreak/>
              <w:t>almost 900 students enrolled last year.  One of our goals for the coming year is to look at this course and examine our learning activities to determine if any changes could be made to improve student success.</w:t>
            </w:r>
          </w:p>
          <w:p w:rsidR="00A23AB6" w:rsidRPr="0037786D" w:rsidRDefault="00A23AB6" w:rsidP="00225B53">
            <w:pPr>
              <w:spacing w:line="276" w:lineRule="auto"/>
              <w:rPr>
                <w:rFonts w:ascii="Arial" w:hAnsi="Arial" w:cs="Arial"/>
                <w:color w:val="000000" w:themeColor="text1"/>
              </w:rPr>
            </w:pPr>
          </w:p>
        </w:tc>
        <w:tc>
          <w:tcPr>
            <w:tcW w:w="2647"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632" w:type="dxa"/>
          </w:tcPr>
          <w:p w:rsidR="00A23AB6" w:rsidRDefault="00101865" w:rsidP="00395156">
            <w:r w:rsidRPr="00E02628">
              <w:rPr>
                <w:rFonts w:ascii="Arial" w:hAnsi="Arial" w:cs="Arial"/>
                <w:color w:val="000000" w:themeColor="text1"/>
              </w:rPr>
              <w:fldChar w:fldCharType="begin">
                <w:ffData>
                  <w:name w:val="Text1"/>
                  <w:enabled/>
                  <w:calcOnExit w:val="0"/>
                  <w:textInput/>
                </w:ffData>
              </w:fldChar>
            </w:r>
            <w:r w:rsidR="00A23AB6" w:rsidRPr="00E02628">
              <w:rPr>
                <w:rFonts w:ascii="Arial" w:hAnsi="Arial" w:cs="Arial"/>
                <w:color w:val="000000" w:themeColor="text1"/>
              </w:rPr>
              <w:instrText xml:space="preserve"> FORMTEXT </w:instrText>
            </w:r>
            <w:r w:rsidRPr="00E02628">
              <w:rPr>
                <w:rFonts w:ascii="Arial" w:hAnsi="Arial" w:cs="Arial"/>
                <w:color w:val="000000" w:themeColor="text1"/>
              </w:rPr>
            </w:r>
            <w:r w:rsidRPr="00E02628">
              <w:rPr>
                <w:rFonts w:ascii="Arial" w:hAnsi="Arial" w:cs="Arial"/>
                <w:color w:val="000000" w:themeColor="text1"/>
              </w:rPr>
              <w:fldChar w:fldCharType="separate"/>
            </w:r>
            <w:r w:rsidR="00E525AD" w:rsidRPr="00E525AD">
              <w:t>The HIM 121 and HIM 122 courses were transformed as a result of the requirements of a Learning Challenge Grant</w:t>
            </w:r>
            <w:r w:rsidR="00395156">
              <w:t xml:space="preserve"> in 2008</w:t>
            </w:r>
            <w:r w:rsidR="00E525AD" w:rsidRPr="00E525AD">
              <w:t xml:space="preserve">.  HIM121 and HIM122 were standardized with the course content.  A new textbook and instructor presentation tools were provided.  Effective AY2008, this course was offered online (for the first time) and face-to-face. For AY2007 and AY2008, the success rate for HIM121 was 69.4% and in AY2011-2012 the success rate increased to 78.5%.  This is a result of </w:t>
            </w:r>
            <w:r w:rsidR="00E525AD" w:rsidRPr="00E525AD">
              <w:lastRenderedPageBreak/>
              <w:t xml:space="preserve">the transformed course.  HIM122 went from 81.7% to 84.9%. (Note: The 84.9% excludes the data for Spring AY2011-2012 which is not available).  </w:t>
            </w:r>
            <w:r w:rsidRPr="00E02628">
              <w:rPr>
                <w:rFonts w:ascii="Arial" w:hAnsi="Arial" w:cs="Arial"/>
                <w:color w:val="000000" w:themeColor="text1"/>
              </w:rPr>
              <w:fldChar w:fldCharType="end"/>
            </w:r>
          </w:p>
        </w:tc>
      </w:tr>
      <w:tr w:rsidR="00A23AB6" w:rsidTr="00A23AB6">
        <w:trPr>
          <w:trHeight w:val="1101"/>
        </w:trPr>
        <w:tc>
          <w:tcPr>
            <w:tcW w:w="3951" w:type="dxa"/>
          </w:tcPr>
          <w:p w:rsidR="00A23AB6" w:rsidRDefault="00A23AB6" w:rsidP="000D5FE3">
            <w:pPr>
              <w:rPr>
                <w:sz w:val="24"/>
                <w:szCs w:val="24"/>
              </w:rPr>
            </w:pPr>
            <w:r>
              <w:rPr>
                <w:sz w:val="24"/>
                <w:szCs w:val="24"/>
              </w:rPr>
              <w:lastRenderedPageBreak/>
              <w:t xml:space="preserve">As part of our curriculum revision effective in Fall 2006, we implemented a mid-curriculum capstone course (HIM 178) in the summer between the first-year and second-year course work. The goal of this course is to be a summative assessment of first-year knowledge and skills and to reinforce the first-year course material with projects and assignments. This course will be offered for the first time during Summer 2007 and we will assess its success at three points: 1) at the end of the HIM 178 course, 2) during the second year of the curriculum, and 3) on the credentialing exam after graduation.   </w:t>
            </w:r>
          </w:p>
          <w:p w:rsidR="00A23AB6" w:rsidRPr="0037786D" w:rsidRDefault="00A23AB6" w:rsidP="00225B53">
            <w:pPr>
              <w:spacing w:line="276" w:lineRule="auto"/>
              <w:rPr>
                <w:rFonts w:ascii="Arial" w:hAnsi="Arial" w:cs="Arial"/>
                <w:color w:val="000000" w:themeColor="text1"/>
              </w:rPr>
            </w:pPr>
          </w:p>
        </w:tc>
        <w:tc>
          <w:tcPr>
            <w:tcW w:w="2647" w:type="dxa"/>
          </w:tcPr>
          <w:p w:rsidR="00A23AB6" w:rsidRDefault="00A23AB6" w:rsidP="00831D38">
            <w:pPr>
              <w:pStyle w:val="ListParagraph"/>
              <w:ind w:left="0"/>
              <w:rPr>
                <w:rFonts w:ascii="Arial" w:hAnsi="Arial" w:cs="Arial"/>
                <w:color w:val="000000" w:themeColor="text1"/>
              </w:rPr>
            </w:pPr>
          </w:p>
          <w:p w:rsidR="00A23AB6" w:rsidRDefault="00A23AB6" w:rsidP="00831D38">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831D38">
            <w:pPr>
              <w:pStyle w:val="ListParagraph"/>
              <w:ind w:left="0"/>
              <w:rPr>
                <w:rFonts w:ascii="Arial" w:hAnsi="Arial" w:cs="Arial"/>
                <w:color w:val="000000" w:themeColor="text1"/>
              </w:rPr>
            </w:pPr>
          </w:p>
          <w:p w:rsidR="00A23AB6" w:rsidRDefault="00A23AB6" w:rsidP="00831D38">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831D38">
            <w:pPr>
              <w:pStyle w:val="ListParagraph"/>
              <w:ind w:left="0"/>
              <w:rPr>
                <w:rFonts w:ascii="Arial" w:hAnsi="Arial" w:cs="Arial"/>
                <w:color w:val="000000" w:themeColor="text1"/>
              </w:rPr>
            </w:pPr>
          </w:p>
          <w:p w:rsidR="00A23AB6" w:rsidRDefault="00A23AB6" w:rsidP="00831D3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tc>
        <w:tc>
          <w:tcPr>
            <w:tcW w:w="6632" w:type="dxa"/>
          </w:tcPr>
          <w:p w:rsidR="00A23AB6" w:rsidRDefault="00101865" w:rsidP="00C419F8">
            <w:r w:rsidRPr="00E02628">
              <w:rPr>
                <w:rFonts w:ascii="Arial" w:hAnsi="Arial" w:cs="Arial"/>
                <w:color w:val="000000" w:themeColor="text1"/>
              </w:rPr>
              <w:fldChar w:fldCharType="begin">
                <w:ffData>
                  <w:name w:val="Text1"/>
                  <w:enabled/>
                  <w:calcOnExit w:val="0"/>
                  <w:textInput/>
                </w:ffData>
              </w:fldChar>
            </w:r>
            <w:r w:rsidR="00A23AB6" w:rsidRPr="00E02628">
              <w:rPr>
                <w:rFonts w:ascii="Arial" w:hAnsi="Arial" w:cs="Arial"/>
                <w:color w:val="000000" w:themeColor="text1"/>
              </w:rPr>
              <w:instrText xml:space="preserve"> FORMTEXT </w:instrText>
            </w:r>
            <w:r w:rsidRPr="00E02628">
              <w:rPr>
                <w:rFonts w:ascii="Arial" w:hAnsi="Arial" w:cs="Arial"/>
                <w:color w:val="000000" w:themeColor="text1"/>
              </w:rPr>
            </w:r>
            <w:r w:rsidRPr="00E02628">
              <w:rPr>
                <w:rFonts w:ascii="Arial" w:hAnsi="Arial" w:cs="Arial"/>
                <w:color w:val="000000" w:themeColor="text1"/>
              </w:rPr>
              <w:fldChar w:fldCharType="separate"/>
            </w:r>
            <w:r w:rsidR="00C419F8" w:rsidRPr="00C419F8">
              <w:t>Due to semester conversion, the HIM</w:t>
            </w:r>
            <w:r w:rsidR="00C419F8">
              <w:t xml:space="preserve"> </w:t>
            </w:r>
            <w:r w:rsidR="00C419F8" w:rsidRPr="00C419F8">
              <w:t>178</w:t>
            </w:r>
            <w:r w:rsidR="00C419F8">
              <w:t xml:space="preserve"> course</w:t>
            </w:r>
            <w:r w:rsidR="00C419F8" w:rsidRPr="00C419F8">
              <w:t xml:space="preserve"> no longer exists.</w:t>
            </w:r>
            <w:r w:rsidRPr="00E02628">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23AB6" w:rsidRPr="0037786D" w:rsidTr="00D07030">
        <w:tc>
          <w:tcPr>
            <w:tcW w:w="3708" w:type="dxa"/>
          </w:tcPr>
          <w:p w:rsidR="00A23AB6" w:rsidRDefault="00A23AB6" w:rsidP="000D5FE3">
            <w:r>
              <w:t>In keeping with the department’s report that the current level of graduates largely meets local employment demand, it is recommended that the department c</w:t>
            </w:r>
            <w:r w:rsidRPr="0042274F">
              <w:t>ontinue to closely monitor the balance of graduates and job opportunities</w:t>
            </w:r>
            <w:r>
              <w:t xml:space="preserve">.  Important factors influencing the demand of the program will include turnover in the profession, new coding standards and competition from other providers.  The department is encouraged to gather and assess data where available regarding anticipated demand for the program. </w:t>
            </w:r>
          </w:p>
          <w:p w:rsidR="00A23AB6" w:rsidRPr="00654C15" w:rsidRDefault="00A23AB6" w:rsidP="003E791C">
            <w:pPr>
              <w:pStyle w:val="ListParagraph"/>
              <w:ind w:left="0"/>
              <w:rPr>
                <w:rFonts w:ascii="Arial" w:hAnsi="Arial" w:cs="Arial"/>
                <w:color w:val="000000" w:themeColor="text1"/>
                <w:sz w:val="24"/>
                <w:szCs w:val="24"/>
              </w:rPr>
            </w:pPr>
          </w:p>
        </w:tc>
        <w:tc>
          <w:tcPr>
            <w:tcW w:w="2700"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D6388" w:rsidRDefault="00101865" w:rsidP="00AD6388">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AD6388" w:rsidRPr="00AD6388">
              <w:t>Data of placement of graduates - Of our June 2011 graduates, 80% are either employed in an -HIM-related position or continuing their education.</w:t>
            </w:r>
          </w:p>
          <w:p w:rsidR="00AD6388" w:rsidRDefault="00AD6388" w:rsidP="00AD6388"/>
          <w:p w:rsidR="00A23AB6" w:rsidRDefault="00AD6388" w:rsidP="00AD6388">
            <w:r>
              <w:t>With the federal government's planned October 1, 2014 conversion to the new ICD-10-CM coding system, demand for our graduates is anticpated to remain strong.</w:t>
            </w:r>
            <w:r w:rsidR="00101865" w:rsidRPr="00F946D7">
              <w:rPr>
                <w:rFonts w:ascii="Arial" w:hAnsi="Arial" w:cs="Arial"/>
                <w:color w:val="000000" w:themeColor="text1"/>
              </w:rPr>
              <w:fldChar w:fldCharType="end"/>
            </w:r>
          </w:p>
        </w:tc>
      </w:tr>
      <w:tr w:rsidR="00A23AB6" w:rsidRPr="0037786D" w:rsidTr="00D07030">
        <w:tc>
          <w:tcPr>
            <w:tcW w:w="3708" w:type="dxa"/>
          </w:tcPr>
          <w:p w:rsidR="00A23AB6" w:rsidRDefault="00A23AB6" w:rsidP="000D5FE3">
            <w:r>
              <w:t>The department is encouraged to articulate the SCC program with the baccalaureate degree completion program at the University of Cincinnati and other institutions.</w:t>
            </w:r>
          </w:p>
          <w:p w:rsidR="00A23AB6" w:rsidRPr="00654C15" w:rsidRDefault="00A23AB6" w:rsidP="003E791C">
            <w:pPr>
              <w:pStyle w:val="ListParagraph"/>
              <w:ind w:left="0"/>
              <w:rPr>
                <w:rFonts w:ascii="Arial" w:hAnsi="Arial" w:cs="Arial"/>
                <w:color w:val="000000" w:themeColor="text1"/>
                <w:sz w:val="24"/>
                <w:szCs w:val="24"/>
              </w:rPr>
            </w:pPr>
          </w:p>
        </w:tc>
        <w:tc>
          <w:tcPr>
            <w:tcW w:w="2700"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AD6388">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A37771" w:rsidRPr="00A37771">
              <w:t xml:space="preserve">Articulation agreement </w:t>
            </w:r>
            <w:r w:rsidR="00AD6388">
              <w:t>was completed in</w:t>
            </w:r>
            <w:r w:rsidR="00A37771" w:rsidRPr="00A37771">
              <w:t xml:space="preserve"> August 2010.  This agreement will be updated with semesters.</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t xml:space="preserve">Assess the feasibility of offering Sinclair’s program fully online in order to enable more students to complete the program while meeting work and family commitments.  An online program at Sinclair can prepare students to successfully complete UC’s baccalaureate degree completion program, which is offered fully online.  It appears that the department and college have a relatively small window </w:t>
            </w:r>
            <w:r>
              <w:lastRenderedPageBreak/>
              <w:t>of opportunity for making the decision on whether or not to develop this online program, and prompt attention to this issue is warranted.</w:t>
            </w:r>
          </w:p>
          <w:p w:rsidR="00A23AB6" w:rsidRPr="00654C15" w:rsidRDefault="00A23AB6" w:rsidP="003E791C">
            <w:pPr>
              <w:pStyle w:val="ListParagraph"/>
              <w:ind w:left="0"/>
              <w:rPr>
                <w:rFonts w:ascii="Arial" w:hAnsi="Arial" w:cs="Arial"/>
                <w:color w:val="000000" w:themeColor="text1"/>
                <w:sz w:val="24"/>
                <w:szCs w:val="24"/>
              </w:rPr>
            </w:pPr>
          </w:p>
        </w:tc>
        <w:tc>
          <w:tcPr>
            <w:tcW w:w="2700"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A37771">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A37771">
              <w:t xml:space="preserve">As of Fall 2008, the </w:t>
            </w:r>
            <w:r w:rsidR="00AD6388">
              <w:t xml:space="preserve">Sinclair's </w:t>
            </w:r>
            <w:r w:rsidR="00A37771">
              <w:t xml:space="preserve">HIM curriculum is offered fully online. </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lastRenderedPageBreak/>
              <w:t>In anticipation of retirements among the faculty, d</w:t>
            </w:r>
            <w:r w:rsidRPr="0042274F">
              <w:t xml:space="preserve">evelop </w:t>
            </w:r>
            <w:r>
              <w:t xml:space="preserve">a </w:t>
            </w:r>
            <w:r w:rsidRPr="0042274F">
              <w:t xml:space="preserve">succession plan to ensure </w:t>
            </w:r>
            <w:r>
              <w:t xml:space="preserve">continuing strong </w:t>
            </w:r>
            <w:r w:rsidRPr="0042274F">
              <w:t>leadership</w:t>
            </w:r>
            <w:r>
              <w:t xml:space="preserve"> for the department.</w:t>
            </w:r>
          </w:p>
          <w:p w:rsidR="00A23AB6" w:rsidRPr="00654C15" w:rsidRDefault="00A23AB6" w:rsidP="003E791C">
            <w:pPr>
              <w:pStyle w:val="ListParagraph"/>
              <w:ind w:left="0"/>
              <w:rPr>
                <w:rFonts w:ascii="Arial" w:hAnsi="Arial" w:cs="Arial"/>
                <w:color w:val="000000" w:themeColor="text1"/>
                <w:sz w:val="24"/>
                <w:szCs w:val="24"/>
              </w:rPr>
            </w:pPr>
          </w:p>
        </w:tc>
        <w:tc>
          <w:tcPr>
            <w:tcW w:w="2700" w:type="dxa"/>
          </w:tcPr>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637591">
            <w:pPr>
              <w:pStyle w:val="ListParagraph"/>
              <w:ind w:left="0"/>
              <w:rPr>
                <w:rFonts w:ascii="Arial" w:hAnsi="Arial" w:cs="Arial"/>
                <w:color w:val="000000" w:themeColor="text1"/>
              </w:rPr>
            </w:pPr>
          </w:p>
          <w:p w:rsidR="00A23AB6" w:rsidRPr="0037786D" w:rsidRDefault="00A23AB6"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tc>
        <w:tc>
          <w:tcPr>
            <w:tcW w:w="6480" w:type="dxa"/>
          </w:tcPr>
          <w:p w:rsidR="00A23AB6" w:rsidRDefault="00101865" w:rsidP="003B268A">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3B268A">
              <w:t xml:space="preserve">All planned retirements have already occurred, and the succession plan for the Chairperson and accompanying faculty positions was fulfilled. </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rsidRPr="0042274F">
              <w:t>Position the department to respond to education and training needs for the migration to I-10</w:t>
            </w:r>
            <w:r>
              <w:t xml:space="preserve">, a new coding standard, when it is approved by the Federal government.  Plan to deliver this training through schedules and formats that are convenient for working professionals and consistent with the needs of employers.  </w:t>
            </w:r>
          </w:p>
          <w:p w:rsidR="00A23AB6" w:rsidRPr="00654C15" w:rsidRDefault="00A23AB6" w:rsidP="00D07030">
            <w:pPr>
              <w:pStyle w:val="ListParagraph"/>
              <w:ind w:left="0"/>
              <w:rPr>
                <w:rFonts w:ascii="Arial" w:hAnsi="Arial" w:cs="Arial"/>
                <w:color w:val="000000" w:themeColor="text1"/>
                <w:sz w:val="24"/>
                <w:szCs w:val="24"/>
              </w:rPr>
            </w:pPr>
          </w:p>
        </w:tc>
        <w:tc>
          <w:tcPr>
            <w:tcW w:w="2700" w:type="dxa"/>
          </w:tcPr>
          <w:p w:rsidR="00A23AB6" w:rsidRDefault="00A23AB6" w:rsidP="00D07030">
            <w:pPr>
              <w:pStyle w:val="ListParagraph"/>
              <w:ind w:left="0"/>
              <w:rPr>
                <w:rFonts w:ascii="Arial" w:hAnsi="Arial" w:cs="Arial"/>
                <w:color w:val="000000" w:themeColor="text1"/>
              </w:rPr>
            </w:pPr>
          </w:p>
          <w:p w:rsidR="00A23AB6" w:rsidRDefault="00A23AB6"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D07030">
            <w:pPr>
              <w:pStyle w:val="ListParagraph"/>
              <w:ind w:left="0"/>
              <w:rPr>
                <w:rFonts w:ascii="Arial" w:hAnsi="Arial" w:cs="Arial"/>
                <w:color w:val="000000" w:themeColor="text1"/>
              </w:rPr>
            </w:pPr>
          </w:p>
          <w:p w:rsidR="00A23AB6" w:rsidRDefault="00A23AB6"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D07030">
            <w:pPr>
              <w:pStyle w:val="ListParagraph"/>
              <w:ind w:left="0"/>
              <w:rPr>
                <w:rFonts w:ascii="Arial" w:hAnsi="Arial" w:cs="Arial"/>
                <w:color w:val="000000" w:themeColor="text1"/>
              </w:rPr>
            </w:pPr>
          </w:p>
          <w:p w:rsidR="00A23AB6" w:rsidRPr="0037786D" w:rsidRDefault="00A23AB6"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571919">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571919" w:rsidRPr="00571919">
              <w:t xml:space="preserve">Faculty have completed Train the Trainer education, in-house training occurred with other full-time faculty, and a transition </w:t>
            </w:r>
            <w:r w:rsidR="003B46F5">
              <w:t xml:space="preserve">to I-10 </w:t>
            </w:r>
            <w:r w:rsidR="00571919" w:rsidRPr="00571919">
              <w:t xml:space="preserve">course was developed.  </w:t>
            </w:r>
            <w:r w:rsidR="00571919">
              <w:t xml:space="preserve">The delivery plan for I-10 has been created and is scheduled. </w:t>
            </w:r>
            <w:r w:rsidR="00571919" w:rsidRPr="00571919">
              <w:t>Workforce Development has a plan to implement training within the community.</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t>I</w:t>
            </w:r>
            <w:r w:rsidRPr="0042274F">
              <w:t xml:space="preserve">nvestigate </w:t>
            </w:r>
            <w:r>
              <w:t xml:space="preserve">how students who have studied at </w:t>
            </w:r>
            <w:r w:rsidRPr="0042274F">
              <w:t xml:space="preserve">proprietary </w:t>
            </w:r>
            <w:r>
              <w:t xml:space="preserve">institutions and now wish to enter Sinclair’s program might best be served.  Consider alternatives such as prior learning assessment and proficiency exams as avenues for these students to demonstrate mastery of selected competencies.  </w:t>
            </w:r>
          </w:p>
          <w:p w:rsidR="00A23AB6" w:rsidRPr="00654C15" w:rsidRDefault="00A23AB6" w:rsidP="000D5FE3">
            <w:pPr>
              <w:pStyle w:val="ListParagraph"/>
              <w:ind w:left="0" w:firstLine="720"/>
              <w:rPr>
                <w:rFonts w:ascii="Arial" w:hAnsi="Arial" w:cs="Arial"/>
                <w:color w:val="000000" w:themeColor="text1"/>
              </w:rPr>
            </w:pPr>
          </w:p>
        </w:tc>
        <w:tc>
          <w:tcPr>
            <w:tcW w:w="2700" w:type="dxa"/>
          </w:tcPr>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Pr="0037786D"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AA6DED">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960B34">
              <w:t>P</w:t>
            </w:r>
            <w:r w:rsidR="00960B34" w:rsidRPr="00960B34">
              <w:t>rior learning assessment continues</w:t>
            </w:r>
            <w:r w:rsidR="00960B34">
              <w:t xml:space="preserve"> to be developed, especially within the Professional P</w:t>
            </w:r>
            <w:r w:rsidR="00AA6DED">
              <w:t>ractice Experience/clinical</w:t>
            </w:r>
            <w:r w:rsidR="00960B34" w:rsidRPr="00960B34">
              <w:t xml:space="preserve"> and </w:t>
            </w:r>
            <w:r w:rsidR="00AA6DED">
              <w:t>p</w:t>
            </w:r>
            <w:r w:rsidR="00960B34" w:rsidRPr="00960B34">
              <w:t xml:space="preserve">roficiency exams have been created </w:t>
            </w:r>
            <w:r w:rsidR="00960B34">
              <w:t xml:space="preserve">and are available </w:t>
            </w:r>
            <w:r w:rsidR="00960B34" w:rsidRPr="00960B34">
              <w:t>for every HIM course.</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rsidRPr="0042274F">
              <w:t xml:space="preserve">Encourage </w:t>
            </w:r>
            <w:r>
              <w:t xml:space="preserve">all graduates of the program to take the national </w:t>
            </w:r>
            <w:r w:rsidRPr="0042274F">
              <w:t>certification</w:t>
            </w:r>
            <w:r>
              <w:t xml:space="preserve"> exam promptly upon graduation in order to increase the likelihood of success on the exam.</w:t>
            </w:r>
          </w:p>
          <w:p w:rsidR="00A23AB6" w:rsidRPr="00654C15" w:rsidRDefault="00A23AB6" w:rsidP="00D07030">
            <w:pPr>
              <w:pStyle w:val="ListParagraph"/>
              <w:ind w:left="0"/>
              <w:rPr>
                <w:rFonts w:ascii="Arial" w:hAnsi="Arial" w:cs="Arial"/>
                <w:color w:val="000000" w:themeColor="text1"/>
              </w:rPr>
            </w:pPr>
          </w:p>
        </w:tc>
        <w:tc>
          <w:tcPr>
            <w:tcW w:w="2700" w:type="dxa"/>
          </w:tcPr>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Pr="0037786D" w:rsidRDefault="00A23AB6" w:rsidP="000D5FE3">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420EBF">
            <w:r w:rsidRPr="00F946D7">
              <w:rPr>
                <w:rFonts w:ascii="Arial" w:hAnsi="Arial" w:cs="Arial"/>
                <w:color w:val="000000" w:themeColor="text1"/>
              </w:rPr>
              <w:lastRenderedPageBreak/>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BE5F50">
              <w:t xml:space="preserve">The message of taking the </w:t>
            </w:r>
            <w:r w:rsidR="003B46F5">
              <w:t xml:space="preserve">national </w:t>
            </w:r>
            <w:r w:rsidR="00BE5F50">
              <w:t>RHIT</w:t>
            </w:r>
            <w:r w:rsidR="003B46F5">
              <w:t xml:space="preserve"> exam</w:t>
            </w:r>
            <w:r w:rsidR="00BE5F50">
              <w:t xml:space="preserve"> "as soon as possible after graduation" is reinforced to </w:t>
            </w:r>
            <w:r w:rsidR="003B46F5">
              <w:t xml:space="preserve">cohort </w:t>
            </w:r>
            <w:r w:rsidR="00BE5F50">
              <w:t>students continually as they complete  the HIM program. Additionally, now that students are p</w:t>
            </w:r>
            <w:r w:rsidR="00420EBF">
              <w:t>er</w:t>
            </w:r>
            <w:r w:rsidR="00BE5F50">
              <w:t>mitted to take the RHIT exam within their last term of the program, s</w:t>
            </w:r>
            <w:r w:rsidR="00BE5F50" w:rsidRPr="00BE5F50">
              <w:t xml:space="preserve">tudents receive </w:t>
            </w:r>
            <w:r w:rsidR="00BE5F50">
              <w:t>"</w:t>
            </w:r>
            <w:r w:rsidR="00BE5F50" w:rsidRPr="00BE5F50">
              <w:t>incentive</w:t>
            </w:r>
            <w:r w:rsidR="00BE5F50">
              <w:t>"</w:t>
            </w:r>
            <w:r w:rsidR="00BE5F50" w:rsidRPr="00BE5F50">
              <w:t xml:space="preserve"> in the capstone course to take the </w:t>
            </w:r>
            <w:r w:rsidR="00BE5F50">
              <w:t xml:space="preserve">RHIT </w:t>
            </w:r>
            <w:r w:rsidR="00BE5F50" w:rsidRPr="00BE5F50">
              <w:lastRenderedPageBreak/>
              <w:t xml:space="preserve">exam before graduation. </w:t>
            </w:r>
            <w:r w:rsidR="00A27C05">
              <w:t>Incentive is also provided via t</w:t>
            </w:r>
            <w:r w:rsidR="00BE5F50" w:rsidRPr="00BE5F50">
              <w:t xml:space="preserve">he HIM </w:t>
            </w:r>
            <w:r w:rsidR="00A27C05">
              <w:t>faculty</w:t>
            </w:r>
            <w:r w:rsidR="00BE5F50" w:rsidRPr="00BE5F50">
              <w:t xml:space="preserve"> nominat</w:t>
            </w:r>
            <w:r w:rsidR="00A27C05">
              <w:t>ing</w:t>
            </w:r>
            <w:r w:rsidR="00BE5F50" w:rsidRPr="00BE5F50">
              <w:t xml:space="preserve"> one student for the </w:t>
            </w:r>
            <w:r w:rsidR="00BE5F50">
              <w:t>Ohio Health Information Management Association (</w:t>
            </w:r>
            <w:r w:rsidR="00BE5F50" w:rsidRPr="00BE5F50">
              <w:t>OHIMA</w:t>
            </w:r>
            <w:r w:rsidR="00BE5F50">
              <w:t>)</w:t>
            </w:r>
            <w:r w:rsidR="00BE5F50" w:rsidRPr="00BE5F50">
              <w:t xml:space="preserve"> </w:t>
            </w:r>
            <w:r w:rsidR="00BE5F50">
              <w:t>Outstanding Student a</w:t>
            </w:r>
            <w:r w:rsidR="00BE5F50" w:rsidRPr="00BE5F50">
              <w:t xml:space="preserve">ward </w:t>
            </w:r>
            <w:r w:rsidR="00BE5F50">
              <w:t>which provides</w:t>
            </w:r>
            <w:r w:rsidR="00BE5F50" w:rsidRPr="00BE5F50">
              <w:t xml:space="preserve"> pay</w:t>
            </w:r>
            <w:r w:rsidR="00BE5F50">
              <w:t>ment</w:t>
            </w:r>
            <w:r w:rsidR="00BE5F50" w:rsidRPr="00BE5F50">
              <w:t xml:space="preserve"> for the RHIT exam</w:t>
            </w:r>
            <w:r w:rsidR="00BE5F50">
              <w:t xml:space="preserve"> for </w:t>
            </w:r>
            <w:r w:rsidR="00A27C05">
              <w:t>the</w:t>
            </w:r>
            <w:r w:rsidR="00BE5F50">
              <w:t xml:space="preserve"> student</w:t>
            </w:r>
            <w:r w:rsidR="00BE5F50" w:rsidRPr="00BE5F50">
              <w:t xml:space="preserve">. </w:t>
            </w:r>
            <w:r w:rsidR="00BE5F50">
              <w:t>Miami Valley Health Information Management Association (</w:t>
            </w:r>
            <w:r w:rsidR="00BE5F50" w:rsidRPr="00BE5F50">
              <w:t>MVHIMA</w:t>
            </w:r>
            <w:r w:rsidR="00BE5F50">
              <w:t>) also</w:t>
            </w:r>
            <w:r w:rsidR="00BE5F50" w:rsidRPr="00BE5F50">
              <w:t xml:space="preserve"> pays for the student lia</w:t>
            </w:r>
            <w:r w:rsidR="00BE5F50">
              <w:t>i</w:t>
            </w:r>
            <w:r w:rsidR="00BE5F50" w:rsidRPr="00BE5F50">
              <w:t>son</w:t>
            </w:r>
            <w:r w:rsidR="00BE5F50">
              <w:t>'s</w:t>
            </w:r>
            <w:r w:rsidR="00BE5F50" w:rsidRPr="00BE5F50">
              <w:t xml:space="preserve"> RHITexam.</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rsidRPr="0042274F">
              <w:lastRenderedPageBreak/>
              <w:t xml:space="preserve">Monitor impact of </w:t>
            </w:r>
            <w:r>
              <w:t xml:space="preserve">the program’s </w:t>
            </w:r>
            <w:r w:rsidRPr="0042274F">
              <w:t xml:space="preserve">new prerequisites </w:t>
            </w:r>
            <w:r>
              <w:t>on student enrollment, progression and success.</w:t>
            </w:r>
          </w:p>
          <w:p w:rsidR="00A23AB6" w:rsidRPr="00654C15" w:rsidRDefault="00A23AB6" w:rsidP="00D07030">
            <w:pPr>
              <w:pStyle w:val="ListParagraph"/>
              <w:ind w:left="0"/>
              <w:rPr>
                <w:rFonts w:ascii="Arial" w:hAnsi="Arial" w:cs="Arial"/>
                <w:color w:val="000000" w:themeColor="text1"/>
              </w:rPr>
            </w:pPr>
          </w:p>
        </w:tc>
        <w:tc>
          <w:tcPr>
            <w:tcW w:w="2700" w:type="dxa"/>
          </w:tcPr>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Pr="0037786D"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03003E">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CA653F" w:rsidRPr="00CA653F">
              <w:t xml:space="preserve">In comparing </w:t>
            </w:r>
            <w:r w:rsidR="00420EBF">
              <w:t xml:space="preserve">the </w:t>
            </w:r>
            <w:r w:rsidR="00CA653F" w:rsidRPr="00CA653F">
              <w:t>success rate of advance</w:t>
            </w:r>
            <w:r w:rsidR="00420EBF">
              <w:t>d</w:t>
            </w:r>
            <w:r w:rsidR="00CA653F" w:rsidRPr="00CA653F">
              <w:t xml:space="preserve"> coding courses, it appears the additional higher</w:t>
            </w:r>
            <w:r w:rsidR="0003003E">
              <w:t>-</w:t>
            </w:r>
            <w:r w:rsidR="00CA653F" w:rsidRPr="00CA653F">
              <w:t>level biology course did not positively impact the student success rate of HIM 240 and HIM 241.</w:t>
            </w:r>
            <w:r w:rsidR="0003003E">
              <w:t xml:space="preserve"> However, with the impending converstion to the new ICD-10 coding system, the higher-level BIO is required due to the coding system's intense use of anatomy and physiology knowledge.</w:t>
            </w:r>
            <w:r w:rsidRPr="00F946D7">
              <w:rPr>
                <w:rFonts w:ascii="Arial" w:hAnsi="Arial" w:cs="Arial"/>
                <w:color w:val="000000" w:themeColor="text1"/>
              </w:rPr>
              <w:fldChar w:fldCharType="end"/>
            </w:r>
          </w:p>
        </w:tc>
      </w:tr>
      <w:tr w:rsidR="00A23AB6" w:rsidRPr="0037786D" w:rsidTr="00D07030">
        <w:tc>
          <w:tcPr>
            <w:tcW w:w="3708" w:type="dxa"/>
          </w:tcPr>
          <w:p w:rsidR="00A23AB6" w:rsidRPr="0042274F" w:rsidRDefault="00A23AB6" w:rsidP="000D5FE3">
            <w:r w:rsidRPr="0042274F">
              <w:t xml:space="preserve">Consider alternative </w:t>
            </w:r>
            <w:r>
              <w:t xml:space="preserve">admission practices in order to enable students to begin the program at multiple points in the year.  Such practice holds promise for filling slots created by attrition and thus increasing response time for students on wait lists and being more cost-effective.  </w:t>
            </w:r>
          </w:p>
          <w:p w:rsidR="00A23AB6" w:rsidRPr="00654C15" w:rsidRDefault="00A23AB6" w:rsidP="00D07030">
            <w:pPr>
              <w:pStyle w:val="ListParagraph"/>
              <w:ind w:left="0"/>
              <w:rPr>
                <w:rFonts w:ascii="Arial" w:hAnsi="Arial" w:cs="Arial"/>
                <w:color w:val="000000" w:themeColor="text1"/>
              </w:rPr>
            </w:pPr>
          </w:p>
        </w:tc>
        <w:tc>
          <w:tcPr>
            <w:tcW w:w="2700" w:type="dxa"/>
          </w:tcPr>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In progress </w:t>
            </w:r>
            <w:r w:rsidR="00101865">
              <w:fldChar w:fldCharType="begin">
                <w:ffData>
                  <w:name w:val="Check1"/>
                  <w:enabled/>
                  <w:calcOnExit w:val="0"/>
                  <w:checkBox>
                    <w:sizeAuto/>
                    <w:default w:val="0"/>
                    <w:checked/>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Completed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p w:rsidR="00A23AB6" w:rsidRDefault="00A23AB6" w:rsidP="000D5FE3">
            <w:pPr>
              <w:pStyle w:val="ListParagraph"/>
              <w:ind w:left="0"/>
              <w:rPr>
                <w:rFonts w:ascii="Arial" w:hAnsi="Arial" w:cs="Arial"/>
                <w:color w:val="000000" w:themeColor="text1"/>
              </w:rPr>
            </w:pPr>
          </w:p>
          <w:p w:rsidR="00A23AB6" w:rsidRPr="0037786D" w:rsidRDefault="00A23AB6" w:rsidP="000D5FE3">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01865">
              <w:fldChar w:fldCharType="begin">
                <w:ffData>
                  <w:name w:val="Check1"/>
                  <w:enabled/>
                  <w:calcOnExit w:val="0"/>
                  <w:checkBox>
                    <w:sizeAuto/>
                    <w:default w:val="0"/>
                  </w:checkBox>
                </w:ffData>
              </w:fldChar>
            </w:r>
            <w:r>
              <w:instrText xml:space="preserve"> FORMCHECKBOX </w:instrText>
            </w:r>
            <w:r w:rsidR="00101865">
              <w:fldChar w:fldCharType="separate"/>
            </w:r>
            <w:r w:rsidR="00101865">
              <w:fldChar w:fldCharType="end"/>
            </w:r>
          </w:p>
        </w:tc>
        <w:tc>
          <w:tcPr>
            <w:tcW w:w="6480" w:type="dxa"/>
          </w:tcPr>
          <w:p w:rsidR="00A23AB6" w:rsidRDefault="00101865" w:rsidP="00C838BC">
            <w:r w:rsidRPr="00F946D7">
              <w:rPr>
                <w:rFonts w:ascii="Arial" w:hAnsi="Arial" w:cs="Arial"/>
                <w:color w:val="000000" w:themeColor="text1"/>
              </w:rPr>
              <w:fldChar w:fldCharType="begin">
                <w:ffData>
                  <w:name w:val="Text1"/>
                  <w:enabled/>
                  <w:calcOnExit w:val="0"/>
                  <w:textInput/>
                </w:ffData>
              </w:fldChar>
            </w:r>
            <w:r w:rsidR="00A23AB6" w:rsidRPr="00F946D7">
              <w:rPr>
                <w:rFonts w:ascii="Arial" w:hAnsi="Arial" w:cs="Arial"/>
                <w:color w:val="000000" w:themeColor="text1"/>
              </w:rPr>
              <w:instrText xml:space="preserve"> FORMTEXT </w:instrText>
            </w:r>
            <w:r w:rsidRPr="00F946D7">
              <w:rPr>
                <w:rFonts w:ascii="Arial" w:hAnsi="Arial" w:cs="Arial"/>
                <w:color w:val="000000" w:themeColor="text1"/>
              </w:rPr>
            </w:r>
            <w:r w:rsidRPr="00F946D7">
              <w:rPr>
                <w:rFonts w:ascii="Arial" w:hAnsi="Arial" w:cs="Arial"/>
                <w:color w:val="000000" w:themeColor="text1"/>
              </w:rPr>
              <w:fldChar w:fldCharType="separate"/>
            </w:r>
            <w:r w:rsidR="00CA653F">
              <w:t>The remote cohort, due to the availability of  PPE sites</w:t>
            </w:r>
            <w:r w:rsidR="00C838BC">
              <w:t xml:space="preserve"> outside of the Dayton area</w:t>
            </w:r>
            <w:r w:rsidR="00CA653F">
              <w:t xml:space="preserve">, is the </w:t>
            </w:r>
            <w:r w:rsidR="00C838BC">
              <w:t xml:space="preserve">fertile ground in which staggered admission points could be implemented. The HIM department decided to wait until after the semester PPE term (Spring 2013) to analyze the opportunity of multiple points of entry into the remote cohort. </w:t>
            </w:r>
            <w:r w:rsidRPr="00F946D7">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A23AB6">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23AB6" w:rsidRPr="004C52FC" w:rsidTr="00A23AB6">
        <w:trPr>
          <w:trHeight w:val="274"/>
        </w:trPr>
        <w:tc>
          <w:tcPr>
            <w:tcW w:w="3708" w:type="dxa"/>
            <w:gridSpan w:val="2"/>
            <w:tcBorders>
              <w:right w:val="single" w:sz="4" w:space="0" w:color="auto"/>
            </w:tcBorders>
            <w:shd w:val="clear" w:color="auto" w:fill="FFFFFF"/>
            <w:vAlign w:val="center"/>
          </w:tcPr>
          <w:p w:rsidR="00A23AB6" w:rsidRPr="004C52FC" w:rsidRDefault="00A23AB6"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A23AB6" w:rsidRPr="004C52FC" w:rsidRDefault="00A23AB6"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23AB6" w:rsidRPr="004C52FC" w:rsidRDefault="00A23AB6"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A23AB6" w:rsidRPr="004C52FC" w:rsidRDefault="00A23AB6"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A23AB6" w:rsidRDefault="00101865" w:rsidP="000B64BB">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94565" w:rsidRPr="00A94565">
              <w:t xml:space="preserve">HIM278 - </w:t>
            </w:r>
            <w:r w:rsidR="000B64BB">
              <w:t>A grading rubric was used to assess the a</w:t>
            </w:r>
            <w:r w:rsidR="00A94565" w:rsidRPr="00A94565">
              <w:t>udio/</w:t>
            </w:r>
            <w:r w:rsidR="000B64BB">
              <w:t>v</w:t>
            </w:r>
            <w:r w:rsidR="00A94565" w:rsidRPr="00A94565">
              <w:t xml:space="preserve">ideo recording of a job interview; HIM278 and HIM246 - </w:t>
            </w:r>
            <w:r w:rsidR="000B64BB">
              <w:t xml:space="preserve">grading rubric was used to assess </w:t>
            </w:r>
            <w:r w:rsidR="00A94565" w:rsidRPr="00A94565">
              <w:t>narrated PowerPoint presentations; HIM250, 251, 252 - site supervisors</w:t>
            </w:r>
            <w:r w:rsidR="000B64BB">
              <w:t xml:space="preserve"> (community HIM professionals) gave feedback for the student's oral</w:t>
            </w:r>
            <w:r w:rsidR="00A94565" w:rsidRPr="00A94565">
              <w:t xml:space="preserve"> interaction</w:t>
            </w:r>
            <w:r w:rsidR="000B64BB">
              <w:t xml:space="preserve"> during PPE/clinical.</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c>
          <w:tcPr>
            <w:tcW w:w="4028" w:type="dxa"/>
          </w:tcPr>
          <w:p w:rsidR="00CE72BD" w:rsidRDefault="00101865" w:rsidP="000B64BB">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0B64BB" w:rsidRPr="000B64BB">
              <w:t>Students in HIM278 were</w:t>
            </w:r>
            <w:r w:rsidR="000B64BB">
              <w:t xml:space="preserve"> successful at audio recording and videotaping</w:t>
            </w:r>
            <w:r w:rsidR="000B64BB" w:rsidRPr="000B64BB">
              <w:t xml:space="preserve"> </w:t>
            </w:r>
            <w:r w:rsidR="000B64BB">
              <w:t xml:space="preserve">a simulated job interview. Student feedback proved this simulation a very enlightening and valuable experience. </w:t>
            </w:r>
          </w:p>
          <w:p w:rsidR="00CE72BD" w:rsidRDefault="00CE72BD" w:rsidP="000B64BB"/>
          <w:p w:rsidR="008C7243" w:rsidRDefault="00CE72BD" w:rsidP="008C7243">
            <w:r>
              <w:t>Results of using a grading rubric with the narrated PowerPoints</w:t>
            </w:r>
            <w:r w:rsidR="008C7243">
              <w:t xml:space="preserve"> in HIM278 and HIM246</w:t>
            </w:r>
            <w:r>
              <w:t xml:space="preserve"> provided students with guidance in </w:t>
            </w:r>
            <w:r w:rsidR="008C7243">
              <w:t xml:space="preserve">developing their audio portion of their presentation. Student feedback was positive concerning the narrated PPT assignment. </w:t>
            </w:r>
          </w:p>
          <w:p w:rsidR="008C7243" w:rsidRDefault="008C7243" w:rsidP="008C7243"/>
          <w:p w:rsidR="00A23AB6" w:rsidRDefault="000B64BB" w:rsidP="00603533">
            <w:r w:rsidRPr="000B64BB">
              <w:t>In HIM250, 251, and 252, students were evaluated by their site supervisors</w:t>
            </w:r>
            <w:r w:rsidR="00603533">
              <w:t xml:space="preserve"> which are HIM professionals within the medical facility that the student is involved</w:t>
            </w:r>
            <w:r w:rsidRPr="000B64BB">
              <w:t>.</w:t>
            </w:r>
            <w:r w:rsidR="00603533">
              <w:t xml:space="preserve"> The students respected the opinion of their site supervisor and "took to heart" the judgment of an experienced HIM professional.</w:t>
            </w:r>
            <w:r w:rsidRPr="000B64BB">
              <w:t xml:space="preserve">  </w:t>
            </w:r>
            <w:r w:rsidR="00101865" w:rsidRPr="00A16696">
              <w:rPr>
                <w:rFonts w:ascii="Arial" w:hAnsi="Arial" w:cs="Arial"/>
                <w:color w:val="000000" w:themeColor="text1"/>
              </w:rPr>
              <w:fldChar w:fldCharType="end"/>
            </w:r>
          </w:p>
        </w:tc>
      </w:tr>
      <w:tr w:rsidR="00A23AB6" w:rsidRPr="004C52FC" w:rsidTr="00A23AB6">
        <w:trPr>
          <w:trHeight w:val="274"/>
        </w:trPr>
        <w:tc>
          <w:tcPr>
            <w:tcW w:w="3708" w:type="dxa"/>
            <w:gridSpan w:val="2"/>
            <w:tcBorders>
              <w:right w:val="single" w:sz="4" w:space="0" w:color="auto"/>
            </w:tcBorders>
            <w:shd w:val="clear" w:color="auto" w:fill="FFFFFF"/>
            <w:vAlign w:val="center"/>
          </w:tcPr>
          <w:p w:rsidR="00A23AB6" w:rsidRPr="004C52FC" w:rsidRDefault="00A23AB6"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A23AB6" w:rsidRPr="004C52FC" w:rsidRDefault="00A23AB6"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23AB6" w:rsidRPr="004C52FC" w:rsidRDefault="00A23AB6"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A23AB6" w:rsidRPr="004C52FC" w:rsidRDefault="00A23AB6"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2051FE" w:rsidRDefault="00101865" w:rsidP="00043D44">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03003E">
              <w:t>Five</w:t>
            </w:r>
            <w:r w:rsidR="008D47F0">
              <w:t xml:space="preserve"> different</w:t>
            </w:r>
            <w:r w:rsidR="00137161">
              <w:t xml:space="preserve"> discussion forums were </w:t>
            </w:r>
            <w:r w:rsidR="008D47F0">
              <w:t>included in HIM 297</w:t>
            </w:r>
            <w:r w:rsidR="00137161">
              <w:t xml:space="preserve">. </w:t>
            </w:r>
            <w:r w:rsidR="008D47F0">
              <w:t xml:space="preserve">These discussions were </w:t>
            </w:r>
            <w:r w:rsidR="008D47F0">
              <w:lastRenderedPageBreak/>
              <w:t>focused on students writing their review and including their opinion of a coding subject</w:t>
            </w:r>
            <w:r w:rsidR="0003003E">
              <w:t>.</w:t>
            </w:r>
            <w:r w:rsidR="00137161" w:rsidRPr="00137161">
              <w:t xml:space="preserve"> </w:t>
            </w:r>
          </w:p>
          <w:p w:rsidR="002051FE" w:rsidRDefault="002051FE" w:rsidP="00043D44"/>
          <w:p w:rsidR="002051FE" w:rsidRDefault="00137161" w:rsidP="002051FE">
            <w:r w:rsidRPr="00137161">
              <w:t xml:space="preserve">HIM250, 251, 252 </w:t>
            </w:r>
            <w:r w:rsidR="009879EF">
              <w:t xml:space="preserve">required input from </w:t>
            </w:r>
            <w:r w:rsidRPr="00137161">
              <w:t xml:space="preserve"> site supervisors</w:t>
            </w:r>
            <w:r w:rsidR="0003003E">
              <w:t xml:space="preserve"> for written assignments</w:t>
            </w:r>
            <w:r w:rsidR="002051FE">
              <w:t>.</w:t>
            </w:r>
          </w:p>
          <w:p w:rsidR="002051FE" w:rsidRDefault="002051FE" w:rsidP="002051FE"/>
          <w:p w:rsidR="00A23AB6" w:rsidRDefault="00137161" w:rsidP="002051FE">
            <w:r w:rsidRPr="00137161">
              <w:t xml:space="preserve">HIM245 </w:t>
            </w:r>
            <w:r w:rsidR="00043D44">
              <w:t xml:space="preserve">included a grading rubric for a </w:t>
            </w:r>
            <w:r w:rsidRPr="00137161">
              <w:t xml:space="preserve"> SWOT analysis</w:t>
            </w:r>
            <w:r w:rsidR="00043D44">
              <w:t>.</w:t>
            </w:r>
            <w:r w:rsidRPr="00137161">
              <w:t xml:space="preserve"> </w:t>
            </w:r>
            <w:r w:rsidR="00101865" w:rsidRPr="00A16696">
              <w:rPr>
                <w:rFonts w:ascii="Arial" w:hAnsi="Arial" w:cs="Arial"/>
                <w:color w:val="000000" w:themeColor="text1"/>
              </w:rPr>
              <w:fldChar w:fldCharType="end"/>
            </w:r>
          </w:p>
        </w:tc>
        <w:tc>
          <w:tcPr>
            <w:tcW w:w="4028" w:type="dxa"/>
            <w:tcBorders>
              <w:bottom w:val="single" w:sz="4" w:space="0" w:color="000000" w:themeColor="text1"/>
            </w:tcBorders>
          </w:tcPr>
          <w:p w:rsidR="002051FE" w:rsidRDefault="00101865" w:rsidP="002051FE">
            <w:r w:rsidRPr="00A16696">
              <w:rPr>
                <w:rFonts w:ascii="Arial" w:hAnsi="Arial" w:cs="Arial"/>
                <w:color w:val="000000" w:themeColor="text1"/>
              </w:rPr>
              <w:lastRenderedPageBreak/>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2051FE">
              <w:t xml:space="preserve">HIM297 - These brand new discussion forums proved successful in encouraging students to form an individual opinion on a subject and posting their opinion prior to viewing their peers' opinion. Students also </w:t>
            </w:r>
            <w:r w:rsidR="002051FE">
              <w:lastRenderedPageBreak/>
              <w:t>successfully responded to the opinions of their classmates.</w:t>
            </w:r>
          </w:p>
          <w:p w:rsidR="002051FE" w:rsidRDefault="002051FE" w:rsidP="002051FE"/>
          <w:p w:rsidR="002051FE" w:rsidRDefault="002051FE" w:rsidP="002051FE">
            <w:r>
              <w:t>Written assignments/reports in PPE (HIM250, 251, 252) provided a "real world" experience for students to receive feedback on written assignments from an HIM professional.</w:t>
            </w:r>
          </w:p>
          <w:p w:rsidR="002051FE" w:rsidRDefault="002051FE" w:rsidP="002051FE"/>
          <w:p w:rsidR="00A23AB6" w:rsidRDefault="002051FE" w:rsidP="00743F70">
            <w:r>
              <w:t xml:space="preserve">The grading rubric in the SWOT analysis proved successful in that students were able to focus on the specific analysis points required for </w:t>
            </w:r>
            <w:r w:rsidR="00743F70">
              <w:t>a complete analysis.</w:t>
            </w:r>
            <w:r>
              <w:t xml:space="preserve"> </w:t>
            </w:r>
            <w:r w:rsidR="00101865" w:rsidRPr="00A16696">
              <w:rPr>
                <w:rFonts w:ascii="Arial" w:hAnsi="Arial" w:cs="Arial"/>
                <w:color w:val="000000" w:themeColor="text1"/>
              </w:rPr>
              <w:fldChar w:fldCharType="end"/>
            </w:r>
          </w:p>
        </w:tc>
      </w:tr>
      <w:tr w:rsidR="00B34F9E" w:rsidRPr="004C52FC" w:rsidTr="00A23AB6">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23AB6">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23AB6">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23AB6">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23AB6">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A23AB6">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t>Demonstrate the ability to design, organize and implement changes in the evolution of health information to electronic formats</w:t>
            </w:r>
            <w:r>
              <w:rPr>
                <w:rFonts w:ascii="Verdana" w:hAnsi="Verdana" w:cs="Arial"/>
                <w:sz w:val="20"/>
                <w:szCs w:val="20"/>
              </w:rPr>
              <w:t>.</w:t>
            </w:r>
          </w:p>
        </w:tc>
        <w:tc>
          <w:tcPr>
            <w:tcW w:w="1742" w:type="dxa"/>
            <w:vAlign w:val="center"/>
          </w:tcPr>
          <w:p w:rsidR="00A23AB6" w:rsidRDefault="00A23AB6" w:rsidP="000D5FE3">
            <w:pPr>
              <w:rPr>
                <w:rFonts w:ascii="Verdana" w:hAnsi="Verdana"/>
                <w:sz w:val="20"/>
                <w:szCs w:val="20"/>
              </w:rPr>
            </w:pPr>
            <w:r>
              <w:rPr>
                <w:rFonts w:ascii="Verdana" w:hAnsi="Verdana"/>
                <w:sz w:val="20"/>
                <w:szCs w:val="20"/>
              </w:rPr>
              <w:t xml:space="preserve">HIM 1110, HIM 2214, </w:t>
            </w:r>
          </w:p>
          <w:p w:rsidR="00A23AB6" w:rsidRDefault="00A23AB6" w:rsidP="000D5FE3">
            <w:pPr>
              <w:rPr>
                <w:rFonts w:ascii="Verdana" w:hAnsi="Verdana"/>
                <w:sz w:val="20"/>
                <w:szCs w:val="20"/>
              </w:rPr>
            </w:pPr>
            <w:r>
              <w:rPr>
                <w:rFonts w:ascii="Verdana" w:hAnsi="Verdana"/>
                <w:sz w:val="20"/>
                <w:szCs w:val="20"/>
              </w:rPr>
              <w:t xml:space="preserve">HIM 2106, HIM 2216, </w:t>
            </w:r>
          </w:p>
          <w:p w:rsidR="00A23AB6" w:rsidRDefault="00A23AB6" w:rsidP="000D5FE3">
            <w:pPr>
              <w:rPr>
                <w:rFonts w:ascii="Verdana" w:hAnsi="Verdana"/>
                <w:sz w:val="20"/>
                <w:szCs w:val="20"/>
              </w:rPr>
            </w:pPr>
            <w:r>
              <w:rPr>
                <w:rFonts w:ascii="Verdana" w:hAnsi="Verdana"/>
                <w:sz w:val="20"/>
                <w:szCs w:val="20"/>
              </w:rPr>
              <w:t>HIM 2218, HIM 2120</w:t>
            </w:r>
          </w:p>
          <w:p w:rsidR="00A23AB6" w:rsidRDefault="00A23AB6" w:rsidP="000D5FE3">
            <w:pPr>
              <w:rPr>
                <w:rFonts w:ascii="Verdana" w:hAnsi="Verdana"/>
                <w:sz w:val="20"/>
                <w:szCs w:val="20"/>
              </w:rPr>
            </w:pPr>
            <w:r>
              <w:rPr>
                <w:rFonts w:ascii="Verdana" w:hAnsi="Verdana"/>
                <w:sz w:val="20"/>
                <w:szCs w:val="20"/>
              </w:rPr>
              <w:t xml:space="preserve">BIS 1120, BIS 1121, </w:t>
            </w:r>
          </w:p>
          <w:p w:rsidR="00A23AB6" w:rsidRPr="00AD236A" w:rsidRDefault="00A23AB6" w:rsidP="000D5FE3">
            <w:pPr>
              <w:rPr>
                <w:rFonts w:ascii="Verdana" w:hAnsi="Verdana"/>
                <w:sz w:val="20"/>
                <w:szCs w:val="20"/>
              </w:rPr>
            </w:pPr>
            <w:r>
              <w:rPr>
                <w:rFonts w:ascii="Verdana" w:hAnsi="Verdana"/>
                <w:sz w:val="20"/>
                <w:szCs w:val="20"/>
              </w:rPr>
              <w:t>HIM 1204</w:t>
            </w:r>
          </w:p>
        </w:tc>
        <w:tc>
          <w:tcPr>
            <w:tcW w:w="1430" w:type="dxa"/>
            <w:shd w:val="clear" w:color="auto" w:fill="auto"/>
          </w:tcPr>
          <w:p w:rsidR="00A23AB6" w:rsidRPr="004C52FC" w:rsidRDefault="00101865" w:rsidP="00145E42">
            <w:pPr>
              <w:rPr>
                <w:rFonts w:asciiTheme="minorHAnsi" w:hAnsiTheme="minorHAnsi"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Pr="003E759E">
              <w:rPr>
                <w:rFonts w:ascii="Arial" w:hAnsi="Arial" w:cs="Arial"/>
                <w:color w:val="000000" w:themeColor="text1"/>
              </w:rPr>
              <w:fldChar w:fldCharType="end"/>
            </w:r>
          </w:p>
        </w:tc>
        <w:tc>
          <w:tcPr>
            <w:tcW w:w="2250"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c>
          <w:tcPr>
            <w:tcW w:w="4028"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t xml:space="preserve">Evaluate and appropriately apply principles of confidentiality and privacy congruent with the standards and ethics of the health </w:t>
            </w:r>
            <w:r w:rsidRPr="008C7CCC">
              <w:rPr>
                <w:rFonts w:ascii="Verdana" w:hAnsi="Verdana" w:cs="Arial"/>
                <w:sz w:val="20"/>
                <w:szCs w:val="20"/>
              </w:rPr>
              <w:lastRenderedPageBreak/>
              <w:t>information profession</w:t>
            </w:r>
            <w:r>
              <w:rPr>
                <w:rFonts w:ascii="Verdana" w:hAnsi="Verdana" w:cs="Arial"/>
                <w:sz w:val="20"/>
                <w:szCs w:val="20"/>
              </w:rPr>
              <w:t>.</w:t>
            </w:r>
          </w:p>
        </w:tc>
        <w:tc>
          <w:tcPr>
            <w:tcW w:w="1742" w:type="dxa"/>
            <w:vAlign w:val="center"/>
          </w:tcPr>
          <w:p w:rsidR="00A23AB6" w:rsidRDefault="00A23AB6" w:rsidP="000D5FE3">
            <w:pPr>
              <w:rPr>
                <w:rFonts w:ascii="Verdana" w:hAnsi="Verdana"/>
                <w:sz w:val="20"/>
                <w:szCs w:val="20"/>
              </w:rPr>
            </w:pPr>
            <w:r>
              <w:rPr>
                <w:rFonts w:ascii="Verdana" w:hAnsi="Verdana"/>
                <w:sz w:val="20"/>
                <w:szCs w:val="20"/>
              </w:rPr>
              <w:lastRenderedPageBreak/>
              <w:t>HIM 1110, HIM 1116,</w:t>
            </w:r>
          </w:p>
          <w:p w:rsidR="00A23AB6" w:rsidRDefault="00A23AB6" w:rsidP="000D5FE3">
            <w:pPr>
              <w:rPr>
                <w:rFonts w:ascii="Verdana" w:hAnsi="Verdana"/>
                <w:sz w:val="20"/>
                <w:szCs w:val="20"/>
              </w:rPr>
            </w:pPr>
            <w:r>
              <w:rPr>
                <w:rFonts w:ascii="Verdana" w:hAnsi="Verdana"/>
                <w:sz w:val="20"/>
                <w:szCs w:val="20"/>
              </w:rPr>
              <w:t>HIM 1204, HIM 2214,</w:t>
            </w:r>
          </w:p>
          <w:p w:rsidR="00A23AB6" w:rsidRDefault="00A23AB6" w:rsidP="000D5FE3">
            <w:pPr>
              <w:rPr>
                <w:rFonts w:ascii="Verdana" w:hAnsi="Verdana"/>
                <w:sz w:val="20"/>
                <w:szCs w:val="20"/>
              </w:rPr>
            </w:pPr>
            <w:r>
              <w:rPr>
                <w:rFonts w:ascii="Verdana" w:hAnsi="Verdana"/>
                <w:sz w:val="20"/>
                <w:szCs w:val="20"/>
              </w:rPr>
              <w:lastRenderedPageBreak/>
              <w:t>HIM 2218, BIS 1120,</w:t>
            </w:r>
          </w:p>
          <w:p w:rsidR="00A23AB6" w:rsidRPr="00AD236A" w:rsidRDefault="00A23AB6" w:rsidP="000D5FE3">
            <w:pPr>
              <w:rPr>
                <w:rFonts w:ascii="Verdana" w:hAnsi="Verdana"/>
                <w:sz w:val="20"/>
                <w:szCs w:val="20"/>
              </w:rPr>
            </w:pPr>
            <w:r>
              <w:rPr>
                <w:rFonts w:ascii="Verdana" w:hAnsi="Verdana"/>
                <w:sz w:val="20"/>
                <w:szCs w:val="20"/>
              </w:rPr>
              <w:t>ENG 1101, COM 2206/2111</w:t>
            </w:r>
          </w:p>
        </w:tc>
        <w:tc>
          <w:tcPr>
            <w:tcW w:w="1430" w:type="dxa"/>
            <w:shd w:val="clear" w:color="auto" w:fill="auto"/>
          </w:tcPr>
          <w:p w:rsidR="00A23AB6" w:rsidRPr="004C52FC" w:rsidRDefault="00101865" w:rsidP="00DD17BA">
            <w:pPr>
              <w:rPr>
                <w:rFonts w:asciiTheme="minorHAnsi" w:hAnsiTheme="minorHAnsi" w:cs="Arial"/>
                <w:color w:val="000000" w:themeColor="text1"/>
              </w:rPr>
            </w:pPr>
            <w:r w:rsidRPr="003E759E">
              <w:rPr>
                <w:rFonts w:ascii="Arial" w:hAnsi="Arial" w:cs="Arial"/>
                <w:color w:val="000000" w:themeColor="text1"/>
              </w:rPr>
              <w:lastRenderedPageBreak/>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DD17BA">
              <w:t>2012-13</w:t>
            </w:r>
            <w:r w:rsidRPr="003E759E">
              <w:rPr>
                <w:rFonts w:ascii="Arial" w:hAnsi="Arial" w:cs="Arial"/>
                <w:color w:val="000000" w:themeColor="text1"/>
              </w:rPr>
              <w:fldChar w:fldCharType="end"/>
            </w:r>
          </w:p>
        </w:tc>
        <w:tc>
          <w:tcPr>
            <w:tcW w:w="2250" w:type="dxa"/>
          </w:tcPr>
          <w:p w:rsidR="00A23AB6" w:rsidRDefault="00101865" w:rsidP="00DD17BA">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DD17BA">
              <w:t xml:space="preserve">Plan to use discussion forums, grading rubrics, and quizzes to assess student </w:t>
            </w:r>
            <w:r w:rsidR="00DD17BA">
              <w:lastRenderedPageBreak/>
              <w:t xml:space="preserve">competencies covering privacy, confidentiality and ethics  </w:t>
            </w:r>
            <w:r w:rsidRPr="00A16696">
              <w:rPr>
                <w:rFonts w:ascii="Arial" w:hAnsi="Arial" w:cs="Arial"/>
                <w:color w:val="000000" w:themeColor="text1"/>
              </w:rPr>
              <w:fldChar w:fldCharType="end"/>
            </w:r>
          </w:p>
        </w:tc>
        <w:tc>
          <w:tcPr>
            <w:tcW w:w="4028" w:type="dxa"/>
          </w:tcPr>
          <w:p w:rsidR="00A23AB6" w:rsidRDefault="00101865" w:rsidP="00DD17BA">
            <w:r w:rsidRPr="00A16696">
              <w:rPr>
                <w:rFonts w:ascii="Arial" w:hAnsi="Arial" w:cs="Arial"/>
                <w:color w:val="000000" w:themeColor="text1"/>
              </w:rPr>
              <w:lastRenderedPageBreak/>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DD17BA">
              <w:t>We will be evaluating this in the upcoming year.</w:t>
            </w:r>
            <w:r w:rsidRPr="00A16696">
              <w:rPr>
                <w:rFonts w:ascii="Arial" w:hAnsi="Arial" w:cs="Arial"/>
                <w:color w:val="000000" w:themeColor="text1"/>
              </w:rPr>
              <w:fldChar w:fldCharType="end"/>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lastRenderedPageBreak/>
              <w:t>Apply effective skills in the areas of written and oral communication, critical thinking and problem solving in the practice of health information management</w:t>
            </w:r>
            <w:r>
              <w:rPr>
                <w:rFonts w:ascii="Verdana" w:hAnsi="Verdana" w:cs="Arial"/>
                <w:sz w:val="20"/>
                <w:szCs w:val="20"/>
              </w:rPr>
              <w:t>.</w:t>
            </w:r>
          </w:p>
        </w:tc>
        <w:tc>
          <w:tcPr>
            <w:tcW w:w="1742" w:type="dxa"/>
            <w:vAlign w:val="center"/>
          </w:tcPr>
          <w:p w:rsidR="00A23AB6" w:rsidRDefault="00A23AB6" w:rsidP="000D5FE3">
            <w:pPr>
              <w:rPr>
                <w:rFonts w:ascii="Verdana" w:hAnsi="Verdana"/>
                <w:sz w:val="20"/>
                <w:szCs w:val="20"/>
              </w:rPr>
            </w:pPr>
            <w:r>
              <w:rPr>
                <w:rFonts w:ascii="Verdana" w:hAnsi="Verdana"/>
                <w:sz w:val="20"/>
                <w:szCs w:val="20"/>
              </w:rPr>
              <w:t>COM 2206/2111, ENG 1101,</w:t>
            </w:r>
          </w:p>
          <w:p w:rsidR="00A23AB6" w:rsidRDefault="00A23AB6" w:rsidP="000D5FE3">
            <w:pPr>
              <w:rPr>
                <w:rFonts w:ascii="Verdana" w:hAnsi="Verdana"/>
                <w:sz w:val="20"/>
                <w:szCs w:val="20"/>
              </w:rPr>
            </w:pPr>
            <w:r>
              <w:rPr>
                <w:rFonts w:ascii="Verdana" w:hAnsi="Verdana"/>
                <w:sz w:val="20"/>
                <w:szCs w:val="20"/>
              </w:rPr>
              <w:t>MAT 1130/1110, PSY 1100 or SOC 1101, BIS 1121, HUM</w:t>
            </w:r>
          </w:p>
          <w:p w:rsidR="00A23AB6" w:rsidRDefault="00A23AB6" w:rsidP="000D5FE3">
            <w:pPr>
              <w:rPr>
                <w:rFonts w:ascii="Verdana" w:hAnsi="Verdana"/>
                <w:sz w:val="20"/>
                <w:szCs w:val="20"/>
              </w:rPr>
            </w:pPr>
            <w:r>
              <w:rPr>
                <w:rFonts w:ascii="Verdana" w:hAnsi="Verdana"/>
                <w:sz w:val="20"/>
                <w:szCs w:val="20"/>
              </w:rPr>
              <w:t xml:space="preserve">HIM 1110, HIM 1204, </w:t>
            </w:r>
          </w:p>
          <w:p w:rsidR="00A23AB6" w:rsidRDefault="00A23AB6" w:rsidP="000D5FE3">
            <w:pPr>
              <w:rPr>
                <w:rFonts w:ascii="Verdana" w:hAnsi="Verdana"/>
                <w:sz w:val="20"/>
                <w:szCs w:val="20"/>
              </w:rPr>
            </w:pPr>
            <w:r>
              <w:rPr>
                <w:rFonts w:ascii="Verdana" w:hAnsi="Verdana"/>
                <w:sz w:val="20"/>
                <w:szCs w:val="20"/>
              </w:rPr>
              <w:t>HIM 2110, HIM 2211,</w:t>
            </w:r>
          </w:p>
          <w:p w:rsidR="00A23AB6" w:rsidRDefault="00A23AB6" w:rsidP="000D5FE3">
            <w:pPr>
              <w:rPr>
                <w:rFonts w:ascii="Verdana" w:hAnsi="Verdana"/>
                <w:sz w:val="20"/>
                <w:szCs w:val="20"/>
              </w:rPr>
            </w:pPr>
            <w:r>
              <w:rPr>
                <w:rFonts w:ascii="Verdana" w:hAnsi="Verdana"/>
                <w:sz w:val="20"/>
                <w:szCs w:val="20"/>
              </w:rPr>
              <w:t xml:space="preserve">HIM 2114, HIM 2120, </w:t>
            </w:r>
          </w:p>
          <w:p w:rsidR="00A23AB6" w:rsidRDefault="00A23AB6" w:rsidP="000D5FE3">
            <w:pPr>
              <w:rPr>
                <w:rFonts w:ascii="Verdana" w:hAnsi="Verdana"/>
                <w:sz w:val="20"/>
                <w:szCs w:val="20"/>
              </w:rPr>
            </w:pPr>
            <w:r>
              <w:rPr>
                <w:rFonts w:ascii="Verdana" w:hAnsi="Verdana"/>
                <w:sz w:val="20"/>
                <w:szCs w:val="20"/>
              </w:rPr>
              <w:t xml:space="preserve">HIM 2106, HIM 2214, </w:t>
            </w:r>
          </w:p>
          <w:p w:rsidR="00A23AB6" w:rsidRPr="00AD236A" w:rsidRDefault="00A23AB6" w:rsidP="000D5FE3">
            <w:pPr>
              <w:rPr>
                <w:rFonts w:ascii="Verdana" w:hAnsi="Verdana"/>
                <w:sz w:val="20"/>
                <w:szCs w:val="20"/>
              </w:rPr>
            </w:pPr>
            <w:r>
              <w:rPr>
                <w:rFonts w:ascii="Verdana" w:hAnsi="Verdana"/>
                <w:sz w:val="20"/>
                <w:szCs w:val="20"/>
              </w:rPr>
              <w:t>HIM 2216, HIM 2218</w:t>
            </w:r>
          </w:p>
        </w:tc>
        <w:tc>
          <w:tcPr>
            <w:tcW w:w="1430" w:type="dxa"/>
            <w:shd w:val="clear" w:color="auto" w:fill="auto"/>
          </w:tcPr>
          <w:p w:rsidR="00A23AB6" w:rsidRPr="004C52FC" w:rsidRDefault="00101865" w:rsidP="001139F4">
            <w:pPr>
              <w:rPr>
                <w:rFonts w:asciiTheme="minorHAnsi" w:hAnsiTheme="minorHAnsi"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1139F4">
              <w:t>2012-13</w:t>
            </w:r>
            <w:r w:rsidRPr="003E759E">
              <w:rPr>
                <w:rFonts w:ascii="Arial" w:hAnsi="Arial" w:cs="Arial"/>
                <w:color w:val="000000" w:themeColor="text1"/>
              </w:rPr>
              <w:fldChar w:fldCharType="end"/>
            </w:r>
          </w:p>
        </w:tc>
        <w:tc>
          <w:tcPr>
            <w:tcW w:w="2250" w:type="dxa"/>
          </w:tcPr>
          <w:p w:rsidR="00A23AB6" w:rsidRDefault="00101865" w:rsidP="001139F4">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1139F4">
              <w:t>Critical thinking coding skills will be assessed with quizzes and exams. With semester conversion, our coding courses were drastically transformed to include "real world" scenarios and health records.</w:t>
            </w:r>
            <w:r w:rsidRPr="00A16696">
              <w:rPr>
                <w:rFonts w:ascii="Arial" w:hAnsi="Arial" w:cs="Arial"/>
                <w:color w:val="000000" w:themeColor="text1"/>
              </w:rPr>
              <w:fldChar w:fldCharType="end"/>
            </w:r>
          </w:p>
        </w:tc>
        <w:tc>
          <w:tcPr>
            <w:tcW w:w="4028" w:type="dxa"/>
          </w:tcPr>
          <w:p w:rsidR="00A23AB6" w:rsidRDefault="00101865" w:rsidP="001139F4">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1139F4">
              <w:t>We will be evaluating this in the upcoming year.</w:t>
            </w:r>
            <w:r w:rsidRPr="00A16696">
              <w:rPr>
                <w:rFonts w:ascii="Arial" w:hAnsi="Arial" w:cs="Arial"/>
                <w:color w:val="000000" w:themeColor="text1"/>
              </w:rPr>
              <w:fldChar w:fldCharType="end"/>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t>Demonstrate proficiency in classifications and nomenclatures sufficient to support reimbursement in multiple patient care environments</w:t>
            </w:r>
            <w:r>
              <w:rPr>
                <w:rFonts w:ascii="Verdana" w:hAnsi="Verdana" w:cs="Arial"/>
                <w:sz w:val="20"/>
                <w:szCs w:val="20"/>
              </w:rPr>
              <w:t>.</w:t>
            </w:r>
          </w:p>
        </w:tc>
        <w:tc>
          <w:tcPr>
            <w:tcW w:w="1742" w:type="dxa"/>
            <w:vAlign w:val="center"/>
          </w:tcPr>
          <w:p w:rsidR="00A23AB6" w:rsidRDefault="00A23AB6" w:rsidP="000D5FE3">
            <w:pPr>
              <w:rPr>
                <w:rFonts w:ascii="Verdana" w:hAnsi="Verdana"/>
                <w:sz w:val="20"/>
                <w:szCs w:val="20"/>
              </w:rPr>
            </w:pPr>
            <w:r>
              <w:rPr>
                <w:rFonts w:ascii="Verdana" w:hAnsi="Verdana"/>
                <w:sz w:val="20"/>
                <w:szCs w:val="20"/>
              </w:rPr>
              <w:t xml:space="preserve">BIO 1121, BIO 1222, </w:t>
            </w:r>
          </w:p>
          <w:p w:rsidR="00A23AB6" w:rsidRDefault="00A23AB6" w:rsidP="000D5FE3">
            <w:pPr>
              <w:rPr>
                <w:rFonts w:ascii="Verdana" w:hAnsi="Verdana"/>
                <w:sz w:val="20"/>
                <w:szCs w:val="20"/>
              </w:rPr>
            </w:pPr>
            <w:r>
              <w:rPr>
                <w:rFonts w:ascii="Verdana" w:hAnsi="Verdana"/>
                <w:sz w:val="20"/>
                <w:szCs w:val="20"/>
              </w:rPr>
              <w:t xml:space="preserve">ALH 1140, HIM 1101, </w:t>
            </w:r>
          </w:p>
          <w:p w:rsidR="00A23AB6" w:rsidRDefault="00A23AB6" w:rsidP="000D5FE3">
            <w:pPr>
              <w:rPr>
                <w:rFonts w:ascii="Verdana" w:hAnsi="Verdana"/>
                <w:sz w:val="20"/>
                <w:szCs w:val="20"/>
              </w:rPr>
            </w:pPr>
            <w:r>
              <w:rPr>
                <w:rFonts w:ascii="Verdana" w:hAnsi="Verdana"/>
                <w:sz w:val="20"/>
                <w:szCs w:val="20"/>
              </w:rPr>
              <w:t xml:space="preserve">HIM 1110, HIM 1115, </w:t>
            </w:r>
          </w:p>
          <w:p w:rsidR="00A23AB6" w:rsidRDefault="00A23AB6" w:rsidP="000D5FE3">
            <w:pPr>
              <w:rPr>
                <w:rFonts w:ascii="Verdana" w:hAnsi="Verdana"/>
                <w:sz w:val="20"/>
                <w:szCs w:val="20"/>
              </w:rPr>
            </w:pPr>
            <w:r>
              <w:rPr>
                <w:rFonts w:ascii="Verdana" w:hAnsi="Verdana"/>
                <w:sz w:val="20"/>
                <w:szCs w:val="20"/>
              </w:rPr>
              <w:t xml:space="preserve">HIM 1201, HIM 1217, </w:t>
            </w:r>
          </w:p>
          <w:p w:rsidR="00A23AB6" w:rsidRDefault="00A23AB6" w:rsidP="000D5FE3">
            <w:pPr>
              <w:rPr>
                <w:rFonts w:ascii="Verdana" w:hAnsi="Verdana"/>
                <w:sz w:val="20"/>
                <w:szCs w:val="20"/>
              </w:rPr>
            </w:pPr>
            <w:r>
              <w:rPr>
                <w:rFonts w:ascii="Verdana" w:hAnsi="Verdana"/>
                <w:sz w:val="20"/>
                <w:szCs w:val="20"/>
              </w:rPr>
              <w:t xml:space="preserve">HIM 2110, HIM 2211, </w:t>
            </w:r>
          </w:p>
          <w:p w:rsidR="00A23AB6" w:rsidRDefault="00A23AB6" w:rsidP="000D5FE3">
            <w:pPr>
              <w:rPr>
                <w:rFonts w:ascii="Verdana" w:hAnsi="Verdana"/>
                <w:sz w:val="20"/>
                <w:szCs w:val="20"/>
              </w:rPr>
            </w:pPr>
            <w:r>
              <w:rPr>
                <w:rFonts w:ascii="Verdana" w:hAnsi="Verdana"/>
                <w:sz w:val="20"/>
                <w:szCs w:val="20"/>
              </w:rPr>
              <w:t>HIM 2114, HIM 2120</w:t>
            </w:r>
          </w:p>
          <w:p w:rsidR="00A23AB6" w:rsidRPr="00AD236A" w:rsidRDefault="00A23AB6" w:rsidP="000D5FE3">
            <w:pPr>
              <w:rPr>
                <w:rFonts w:ascii="Verdana" w:hAnsi="Verdana"/>
                <w:sz w:val="20"/>
                <w:szCs w:val="20"/>
              </w:rPr>
            </w:pPr>
            <w:r>
              <w:rPr>
                <w:rFonts w:ascii="Verdana" w:hAnsi="Verdana"/>
                <w:sz w:val="20"/>
                <w:szCs w:val="20"/>
              </w:rPr>
              <w:t>HIM 2216, HIM 2218</w:t>
            </w:r>
          </w:p>
        </w:tc>
        <w:tc>
          <w:tcPr>
            <w:tcW w:w="1430" w:type="dxa"/>
            <w:shd w:val="clear" w:color="auto" w:fill="auto"/>
          </w:tcPr>
          <w:p w:rsidR="00A23AB6" w:rsidRPr="004C52FC" w:rsidRDefault="00101865" w:rsidP="00145E42">
            <w:pPr>
              <w:rPr>
                <w:rFonts w:asciiTheme="minorHAnsi" w:hAnsiTheme="minorHAnsi"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Pr="003E759E">
              <w:rPr>
                <w:rFonts w:ascii="Arial" w:hAnsi="Arial" w:cs="Arial"/>
                <w:color w:val="000000" w:themeColor="text1"/>
              </w:rPr>
              <w:fldChar w:fldCharType="end"/>
            </w:r>
          </w:p>
        </w:tc>
        <w:tc>
          <w:tcPr>
            <w:tcW w:w="2250"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c>
          <w:tcPr>
            <w:tcW w:w="4028"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lastRenderedPageBreak/>
              <w:t>Demonstrate competency and skill in the technology used by the healthcare information environment</w:t>
            </w:r>
            <w:r>
              <w:rPr>
                <w:rFonts w:ascii="Verdana" w:hAnsi="Verdana" w:cs="Arial"/>
                <w:sz w:val="20"/>
                <w:szCs w:val="20"/>
              </w:rPr>
              <w:t>.</w:t>
            </w:r>
          </w:p>
        </w:tc>
        <w:tc>
          <w:tcPr>
            <w:tcW w:w="1742" w:type="dxa"/>
            <w:vAlign w:val="center"/>
          </w:tcPr>
          <w:p w:rsidR="00A23AB6" w:rsidRDefault="00A23AB6" w:rsidP="000D5FE3">
            <w:pPr>
              <w:rPr>
                <w:rFonts w:ascii="Verdana" w:hAnsi="Verdana"/>
                <w:sz w:val="20"/>
                <w:szCs w:val="20"/>
              </w:rPr>
            </w:pPr>
            <w:r>
              <w:rPr>
                <w:rFonts w:ascii="Verdana" w:hAnsi="Verdana"/>
                <w:sz w:val="20"/>
                <w:szCs w:val="20"/>
              </w:rPr>
              <w:t xml:space="preserve">BIS 1120, BIS 1121, </w:t>
            </w:r>
          </w:p>
          <w:p w:rsidR="00A23AB6" w:rsidRDefault="00A23AB6" w:rsidP="000D5FE3">
            <w:pPr>
              <w:rPr>
                <w:rFonts w:ascii="Verdana" w:hAnsi="Verdana"/>
                <w:sz w:val="20"/>
                <w:szCs w:val="20"/>
              </w:rPr>
            </w:pPr>
            <w:r>
              <w:rPr>
                <w:rFonts w:ascii="Verdana" w:hAnsi="Verdana"/>
                <w:sz w:val="20"/>
                <w:szCs w:val="20"/>
              </w:rPr>
              <w:t xml:space="preserve">HIM 1110, HIM 1201, </w:t>
            </w:r>
          </w:p>
          <w:p w:rsidR="00A23AB6" w:rsidRDefault="00A23AB6" w:rsidP="000D5FE3">
            <w:pPr>
              <w:rPr>
                <w:rFonts w:ascii="Verdana" w:hAnsi="Verdana"/>
                <w:sz w:val="20"/>
                <w:szCs w:val="20"/>
              </w:rPr>
            </w:pPr>
            <w:r>
              <w:rPr>
                <w:rFonts w:ascii="Verdana" w:hAnsi="Verdana"/>
                <w:sz w:val="20"/>
                <w:szCs w:val="20"/>
              </w:rPr>
              <w:t xml:space="preserve">HIM 1217, HIM 2120, </w:t>
            </w:r>
          </w:p>
          <w:p w:rsidR="00A23AB6" w:rsidRDefault="00A23AB6" w:rsidP="000D5FE3">
            <w:pPr>
              <w:rPr>
                <w:rFonts w:ascii="Verdana" w:hAnsi="Verdana"/>
                <w:sz w:val="20"/>
                <w:szCs w:val="20"/>
              </w:rPr>
            </w:pPr>
            <w:r>
              <w:rPr>
                <w:rFonts w:ascii="Verdana" w:hAnsi="Verdana"/>
                <w:sz w:val="20"/>
                <w:szCs w:val="20"/>
              </w:rPr>
              <w:t xml:space="preserve">HIM 2106, HIM 2214, </w:t>
            </w:r>
          </w:p>
          <w:p w:rsidR="00A23AB6" w:rsidRDefault="00A23AB6" w:rsidP="000D5FE3">
            <w:pPr>
              <w:rPr>
                <w:rFonts w:ascii="Verdana" w:hAnsi="Verdana"/>
                <w:sz w:val="20"/>
                <w:szCs w:val="20"/>
              </w:rPr>
            </w:pPr>
            <w:r>
              <w:rPr>
                <w:rFonts w:ascii="Verdana" w:hAnsi="Verdana"/>
                <w:sz w:val="20"/>
                <w:szCs w:val="20"/>
              </w:rPr>
              <w:t xml:space="preserve">HIM 2216, HIM 2218, </w:t>
            </w:r>
          </w:p>
          <w:p w:rsidR="00A23AB6" w:rsidRDefault="00A23AB6" w:rsidP="000D5FE3">
            <w:pPr>
              <w:rPr>
                <w:rFonts w:ascii="Verdana" w:hAnsi="Verdana"/>
                <w:sz w:val="20"/>
                <w:szCs w:val="20"/>
              </w:rPr>
            </w:pPr>
            <w:r>
              <w:rPr>
                <w:rFonts w:ascii="Verdana" w:hAnsi="Verdana"/>
                <w:sz w:val="20"/>
                <w:szCs w:val="20"/>
              </w:rPr>
              <w:t>HIM 1204, HIM 2110,</w:t>
            </w:r>
          </w:p>
          <w:p w:rsidR="00A23AB6" w:rsidRPr="00AD236A" w:rsidRDefault="00A23AB6" w:rsidP="000D5FE3">
            <w:pPr>
              <w:rPr>
                <w:rFonts w:ascii="Verdana" w:hAnsi="Verdana"/>
                <w:sz w:val="20"/>
                <w:szCs w:val="20"/>
              </w:rPr>
            </w:pPr>
            <w:r>
              <w:rPr>
                <w:rFonts w:ascii="Verdana" w:hAnsi="Verdana"/>
                <w:sz w:val="20"/>
                <w:szCs w:val="20"/>
              </w:rPr>
              <w:t>HIM 2211</w:t>
            </w:r>
          </w:p>
        </w:tc>
        <w:tc>
          <w:tcPr>
            <w:tcW w:w="1430" w:type="dxa"/>
            <w:shd w:val="clear" w:color="auto" w:fill="auto"/>
          </w:tcPr>
          <w:p w:rsidR="00A23AB6" w:rsidRPr="004C52FC" w:rsidRDefault="00101865" w:rsidP="00145E42">
            <w:pPr>
              <w:rPr>
                <w:rFonts w:asciiTheme="minorHAnsi" w:hAnsiTheme="minorHAnsi"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Pr="003E759E">
              <w:rPr>
                <w:rFonts w:ascii="Arial" w:hAnsi="Arial" w:cs="Arial"/>
                <w:color w:val="000000" w:themeColor="text1"/>
              </w:rPr>
              <w:fldChar w:fldCharType="end"/>
            </w:r>
          </w:p>
        </w:tc>
        <w:tc>
          <w:tcPr>
            <w:tcW w:w="2250"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c>
          <w:tcPr>
            <w:tcW w:w="4028"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t>Demonstrate the ability to perform the health information associate degree entry-level competencies as identified by the American Health Information Management Association</w:t>
            </w:r>
            <w:r>
              <w:rPr>
                <w:rFonts w:ascii="Verdana" w:hAnsi="Verdana" w:cs="Arial"/>
                <w:sz w:val="20"/>
                <w:szCs w:val="20"/>
              </w:rPr>
              <w:t>.</w:t>
            </w:r>
          </w:p>
        </w:tc>
        <w:tc>
          <w:tcPr>
            <w:tcW w:w="1742" w:type="dxa"/>
            <w:vAlign w:val="center"/>
          </w:tcPr>
          <w:p w:rsidR="00A23AB6" w:rsidRPr="00AD236A" w:rsidRDefault="00A23AB6" w:rsidP="000D5FE3">
            <w:pPr>
              <w:rPr>
                <w:rFonts w:ascii="Verdana" w:hAnsi="Verdana"/>
                <w:sz w:val="20"/>
                <w:szCs w:val="20"/>
              </w:rPr>
            </w:pPr>
            <w:r>
              <w:rPr>
                <w:rFonts w:ascii="Verdana" w:hAnsi="Verdana"/>
                <w:sz w:val="20"/>
                <w:szCs w:val="20"/>
              </w:rPr>
              <w:t>All courses in the HIM curriculum</w:t>
            </w:r>
          </w:p>
        </w:tc>
        <w:tc>
          <w:tcPr>
            <w:tcW w:w="1430" w:type="dxa"/>
            <w:shd w:val="clear" w:color="auto" w:fill="auto"/>
          </w:tcPr>
          <w:p w:rsidR="00A23AB6" w:rsidRPr="004C52FC" w:rsidRDefault="00101865" w:rsidP="00145E42">
            <w:pPr>
              <w:rPr>
                <w:rFonts w:asciiTheme="minorHAnsi" w:hAnsiTheme="minorHAnsi"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Pr="003E759E">
              <w:rPr>
                <w:rFonts w:ascii="Arial" w:hAnsi="Arial" w:cs="Arial"/>
                <w:color w:val="000000" w:themeColor="text1"/>
              </w:rPr>
              <w:fldChar w:fldCharType="end"/>
            </w:r>
          </w:p>
        </w:tc>
        <w:tc>
          <w:tcPr>
            <w:tcW w:w="2250"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c>
          <w:tcPr>
            <w:tcW w:w="4028" w:type="dxa"/>
          </w:tcPr>
          <w:p w:rsidR="00A23AB6" w:rsidRDefault="00101865" w:rsidP="00145E42">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r>
      <w:tr w:rsidR="00A23AB6" w:rsidRPr="004C52FC" w:rsidTr="00A23AB6">
        <w:trPr>
          <w:trHeight w:val="274"/>
        </w:trPr>
        <w:tc>
          <w:tcPr>
            <w:tcW w:w="3708" w:type="dxa"/>
            <w:gridSpan w:val="2"/>
            <w:shd w:val="clear" w:color="auto" w:fill="FFFFFF"/>
            <w:vAlign w:val="center"/>
          </w:tcPr>
          <w:p w:rsidR="00A23AB6" w:rsidRPr="008C7CCC" w:rsidRDefault="00A23AB6" w:rsidP="000D5FE3">
            <w:pPr>
              <w:rPr>
                <w:rFonts w:ascii="Verdana" w:hAnsi="Verdana"/>
                <w:sz w:val="20"/>
                <w:szCs w:val="20"/>
              </w:rPr>
            </w:pPr>
            <w:r w:rsidRPr="008C7CCC">
              <w:rPr>
                <w:rFonts w:ascii="Verdana" w:hAnsi="Verdana" w:cs="Arial"/>
                <w:sz w:val="20"/>
                <w:szCs w:val="20"/>
              </w:rPr>
              <w:t>Demonstrate personal behaviors, attitudes and values consistent with and appropriate to the entry-level health information management professional</w:t>
            </w:r>
            <w:r>
              <w:rPr>
                <w:rFonts w:ascii="Verdana" w:hAnsi="Verdana" w:cs="Arial"/>
                <w:sz w:val="20"/>
                <w:szCs w:val="20"/>
              </w:rPr>
              <w:t>.</w:t>
            </w:r>
          </w:p>
        </w:tc>
        <w:tc>
          <w:tcPr>
            <w:tcW w:w="1742" w:type="dxa"/>
            <w:vAlign w:val="center"/>
          </w:tcPr>
          <w:p w:rsidR="00A23AB6" w:rsidRPr="00AD236A" w:rsidRDefault="00A23AB6" w:rsidP="000D5FE3">
            <w:pPr>
              <w:rPr>
                <w:rFonts w:ascii="Verdana" w:hAnsi="Verdana"/>
                <w:sz w:val="20"/>
                <w:szCs w:val="20"/>
              </w:rPr>
            </w:pPr>
            <w:r>
              <w:rPr>
                <w:rFonts w:ascii="Verdana" w:hAnsi="Verdana"/>
                <w:sz w:val="20"/>
                <w:szCs w:val="20"/>
              </w:rPr>
              <w:t>All HIM courses in the HIM curriculum</w:t>
            </w:r>
          </w:p>
        </w:tc>
        <w:tc>
          <w:tcPr>
            <w:tcW w:w="1430" w:type="dxa"/>
            <w:shd w:val="clear" w:color="auto" w:fill="auto"/>
          </w:tcPr>
          <w:p w:rsidR="00A23AB6" w:rsidRPr="004C52FC" w:rsidRDefault="00101865" w:rsidP="00A23AB6">
            <w:pPr>
              <w:rPr>
                <w:rFonts w:asciiTheme="minorHAnsi" w:hAnsiTheme="minorHAnsi"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00A23AB6" w:rsidRPr="003E759E">
              <w:rPr>
                <w:rFonts w:ascii="Arial" w:hAnsi="Arial" w:cs="Arial"/>
                <w:color w:val="000000" w:themeColor="text1"/>
              </w:rPr>
              <w:t> </w:t>
            </w:r>
            <w:r w:rsidRPr="003E759E">
              <w:rPr>
                <w:rFonts w:ascii="Arial" w:hAnsi="Arial" w:cs="Arial"/>
                <w:color w:val="000000" w:themeColor="text1"/>
              </w:rPr>
              <w:fldChar w:fldCharType="end"/>
            </w:r>
          </w:p>
        </w:tc>
        <w:tc>
          <w:tcPr>
            <w:tcW w:w="2250" w:type="dxa"/>
          </w:tcPr>
          <w:p w:rsidR="00A23AB6" w:rsidRDefault="00101865">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c>
          <w:tcPr>
            <w:tcW w:w="4028" w:type="dxa"/>
          </w:tcPr>
          <w:p w:rsidR="00A23AB6" w:rsidRDefault="00101865">
            <w:r w:rsidRPr="00A16696">
              <w:rPr>
                <w:rFonts w:ascii="Arial" w:hAnsi="Arial" w:cs="Arial"/>
                <w:color w:val="000000" w:themeColor="text1"/>
              </w:rPr>
              <w:fldChar w:fldCharType="begin">
                <w:ffData>
                  <w:name w:val="Text1"/>
                  <w:enabled/>
                  <w:calcOnExit w:val="0"/>
                  <w:textInput/>
                </w:ffData>
              </w:fldChar>
            </w:r>
            <w:r w:rsidR="00A23AB6" w:rsidRPr="00A16696">
              <w:rPr>
                <w:rFonts w:ascii="Arial" w:hAnsi="Arial" w:cs="Arial"/>
                <w:color w:val="000000" w:themeColor="text1"/>
              </w:rPr>
              <w:instrText xml:space="preserve"> FORMTEXT </w:instrText>
            </w:r>
            <w:r w:rsidRPr="00A16696">
              <w:rPr>
                <w:rFonts w:ascii="Arial" w:hAnsi="Arial" w:cs="Arial"/>
                <w:color w:val="000000" w:themeColor="text1"/>
              </w:rPr>
            </w:r>
            <w:r w:rsidRPr="00A16696">
              <w:rPr>
                <w:rFonts w:ascii="Arial" w:hAnsi="Arial" w:cs="Arial"/>
                <w:color w:val="000000" w:themeColor="text1"/>
              </w:rPr>
              <w:fldChar w:fldCharType="separate"/>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00A23AB6" w:rsidRPr="00A16696">
              <w:rPr>
                <w:rFonts w:ascii="Arial" w:hAnsi="Arial" w:cs="Arial"/>
                <w:color w:val="000000" w:themeColor="text1"/>
              </w:rPr>
              <w:t> </w:t>
            </w:r>
            <w:r w:rsidRPr="00A16696">
              <w:rPr>
                <w:rFonts w:ascii="Arial" w:hAnsi="Arial" w:cs="Arial"/>
                <w:color w:val="000000" w:themeColor="text1"/>
              </w:rPr>
              <w:fldChar w:fldCharType="end"/>
            </w:r>
          </w:p>
        </w:tc>
      </w:tr>
    </w:tbl>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101865" w:rsidP="003E791C">
      <w:pPr>
        <w:pStyle w:val="ListParagraph"/>
        <w:tabs>
          <w:tab w:val="left" w:pos="5040"/>
        </w:tabs>
        <w:ind w:left="0"/>
        <w:rPr>
          <w:rFonts w:ascii="Arial" w:hAnsi="Arial"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D134F0">
        <w:t xml:space="preserve">Grading rubrics for discussion forums are being continually added in courses as these rubrics provide helpful guidelines for both the students and the instructors.  Also, instructors must provide resources and instruction for students when </w:t>
      </w:r>
      <w:r w:rsidR="001A1DE5">
        <w:t xml:space="preserve">assignments and activities require </w:t>
      </w:r>
      <w:r w:rsidR="00D134F0">
        <w:t>MLA intext citing and</w:t>
      </w:r>
      <w:r w:rsidR="001A1DE5">
        <w:t xml:space="preserve"> works cited.</w:t>
      </w:r>
      <w:r w:rsidR="00D134F0">
        <w:t xml:space="preserve"> </w:t>
      </w:r>
      <w:r w:rsidRPr="003E759E">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A23AB6" w:rsidRDefault="00A23AB6" w:rsidP="00A23AB6">
      <w:pPr>
        <w:tabs>
          <w:tab w:val="left" w:pos="5040"/>
        </w:tabs>
        <w:rPr>
          <w:rFonts w:ascii="Arial" w:hAnsi="Arial" w:cs="Arial"/>
          <w:color w:val="000000" w:themeColor="text1"/>
        </w:rPr>
      </w:pPr>
    </w:p>
    <w:p w:rsidR="00A23AB6" w:rsidRPr="00A23AB6" w:rsidRDefault="00101865" w:rsidP="00A23AB6">
      <w:pPr>
        <w:tabs>
          <w:tab w:val="left" w:pos="5040"/>
        </w:tabs>
        <w:rPr>
          <w:rFonts w:ascii="Arial" w:hAnsi="Arial"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0A6B17">
        <w:t>Student feedback and grade comparison should determine the impact of these changes.</w:t>
      </w:r>
      <w:r w:rsidRPr="003E759E">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F506E3" w:rsidRDefault="00101865">
      <w:pPr>
        <w:pStyle w:val="ListParagraph"/>
        <w:tabs>
          <w:tab w:val="left" w:pos="5040"/>
        </w:tabs>
        <w:ind w:left="0"/>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0A6B17">
        <w:t>We have determined that health record analysis (using Joint Commission standards) must be injected in early curriculum courses.</w:t>
      </w:r>
    </w:p>
    <w:p w:rsidR="00F506E3" w:rsidRDefault="00F506E3">
      <w:pPr>
        <w:pStyle w:val="ListParagraph"/>
        <w:tabs>
          <w:tab w:val="left" w:pos="5040"/>
        </w:tabs>
        <w:ind w:left="0"/>
      </w:pPr>
    </w:p>
    <w:p w:rsidR="00C45053" w:rsidRDefault="00F506E3">
      <w:pPr>
        <w:pStyle w:val="ListParagraph"/>
        <w:tabs>
          <w:tab w:val="left" w:pos="5040"/>
        </w:tabs>
        <w:ind w:left="0"/>
        <w:rPr>
          <w:rFonts w:ascii="Arial" w:hAnsi="Arial" w:cs="Arial"/>
          <w:color w:val="000000" w:themeColor="text1"/>
        </w:rPr>
      </w:pPr>
      <w:r>
        <w:t xml:space="preserve">Faculty continue to investigate methods for including an electronic health record </w:t>
      </w:r>
      <w:r w:rsidR="00B5091C">
        <w:t xml:space="preserve">(EHR) </w:t>
      </w:r>
      <w:r>
        <w:t>in the HIM program</w:t>
      </w:r>
      <w:r w:rsidR="00B5091C">
        <w:t>. This is a very necessary addition for introducing students to the mechanics of an EHR and enhancing their skills for working in an EHR .</w:t>
      </w:r>
      <w:r w:rsidR="00101865" w:rsidRPr="003E759E">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B5091C" w:rsidRDefault="00101865" w:rsidP="00A23AB6">
      <w:pPr>
        <w:tabs>
          <w:tab w:val="left" w:pos="5040"/>
        </w:tabs>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0A6B17">
        <w:t xml:space="preserve">Health record analysis is assessed </w:t>
      </w:r>
      <w:r w:rsidR="00374CCC">
        <w:t>in the "real world" during the last semester of the HIM curriculum when students attend PPE.</w:t>
      </w:r>
    </w:p>
    <w:p w:rsidR="00B5091C" w:rsidRDefault="00B5091C" w:rsidP="00A23AB6">
      <w:pPr>
        <w:tabs>
          <w:tab w:val="left" w:pos="5040"/>
        </w:tabs>
      </w:pPr>
    </w:p>
    <w:p w:rsidR="00EC6B80" w:rsidRPr="00A23AB6" w:rsidRDefault="00B5091C" w:rsidP="00A23AB6">
      <w:pPr>
        <w:tabs>
          <w:tab w:val="left" w:pos="5040"/>
        </w:tabs>
        <w:rPr>
          <w:rFonts w:ascii="Arial" w:hAnsi="Arial" w:cs="Arial"/>
          <w:color w:val="000000" w:themeColor="text1"/>
        </w:rPr>
      </w:pPr>
      <w:r>
        <w:t>Student feedback and subdomain scores from the RHIT exam will determine if the introduction of an EHR enhanced student skills and familiarity with this technology.</w:t>
      </w:r>
      <w:r w:rsidR="000A6B17">
        <w:t xml:space="preserve"> </w:t>
      </w:r>
      <w:r w:rsidR="00101865" w:rsidRPr="003E759E">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A23AB6" w:rsidRDefault="00101865" w:rsidP="00A23AB6">
      <w:pPr>
        <w:tabs>
          <w:tab w:val="left" w:pos="5040"/>
        </w:tabs>
        <w:rPr>
          <w:rFonts w:ascii="Arial" w:hAnsi="Arial" w:cs="Arial"/>
          <w:color w:val="000000" w:themeColor="text1"/>
        </w:rPr>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942315">
        <w:t>Our program planned to begin a health record repository which includes scanned versions of "real" medical records.</w:t>
      </w:r>
      <w:r w:rsidR="00270163">
        <w:t xml:space="preserve">  Currently there are 17 scanned medical records in our repository and these records are being utilized in the HIM 1110, HIM 2110, HIM2252, and HIM2211.  Faculty plan to continue to add records to this repository.</w:t>
      </w:r>
      <w:r w:rsidRPr="003E759E">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2340A4" w:rsidRDefault="00101865">
      <w:pPr>
        <w:spacing w:after="200" w:line="276" w:lineRule="auto"/>
      </w:pPr>
      <w:r w:rsidRPr="003E759E">
        <w:rPr>
          <w:rFonts w:ascii="Arial" w:hAnsi="Arial" w:cs="Arial"/>
          <w:color w:val="000000" w:themeColor="text1"/>
        </w:rPr>
        <w:fldChar w:fldCharType="begin">
          <w:ffData>
            <w:name w:val="Text1"/>
            <w:enabled/>
            <w:calcOnExit w:val="0"/>
            <w:textInput/>
          </w:ffData>
        </w:fldChar>
      </w:r>
      <w:r w:rsidR="00A23AB6" w:rsidRPr="003E759E">
        <w:rPr>
          <w:rFonts w:ascii="Arial" w:hAnsi="Arial" w:cs="Arial"/>
          <w:color w:val="000000" w:themeColor="text1"/>
        </w:rPr>
        <w:instrText xml:space="preserve"> FORMTEXT </w:instrText>
      </w:r>
      <w:r w:rsidRPr="003E759E">
        <w:rPr>
          <w:rFonts w:ascii="Arial" w:hAnsi="Arial" w:cs="Arial"/>
          <w:color w:val="000000" w:themeColor="text1"/>
        </w:rPr>
      </w:r>
      <w:r w:rsidRPr="003E759E">
        <w:rPr>
          <w:rFonts w:ascii="Arial" w:hAnsi="Arial" w:cs="Arial"/>
          <w:color w:val="000000" w:themeColor="text1"/>
        </w:rPr>
        <w:fldChar w:fldCharType="separate"/>
      </w:r>
      <w:r w:rsidR="002340A4">
        <w:t>Our faculty are committed to continued quality improvement with our newly-developed semester courses.</w:t>
      </w:r>
    </w:p>
    <w:p w:rsidR="00BE300B" w:rsidRDefault="002340A4">
      <w:pPr>
        <w:spacing w:after="200" w:line="276" w:lineRule="auto"/>
      </w:pPr>
      <w:r>
        <w:t xml:space="preserve">As an online program, faculty have realized the value of student engagement with audio feedback to students and the use of audio/video lessons and course material review via Adobe Connect.  Faculty are beginning to embrace </w:t>
      </w:r>
      <w:r w:rsidR="007044C2">
        <w:t>this technology and are</w:t>
      </w:r>
      <w:r>
        <w:t xml:space="preserve"> implement </w:t>
      </w:r>
      <w:r w:rsidR="007044C2">
        <w:t xml:space="preserve">ing </w:t>
      </w:r>
      <w:r>
        <w:t>this valuable "face-to-face" connection with online students</w:t>
      </w:r>
      <w:r w:rsidR="00BE300B">
        <w:t xml:space="preserve">.  </w:t>
      </w:r>
    </w:p>
    <w:p w:rsidR="00A201E2" w:rsidRDefault="00101865">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3E759E">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0D5FE3" w:rsidRPr="008F41A6" w:rsidTr="00225B53">
        <w:trPr>
          <w:trHeight w:val="300"/>
        </w:trPr>
        <w:tc>
          <w:tcPr>
            <w:tcW w:w="1307" w:type="dxa"/>
            <w:tcBorders>
              <w:top w:val="single" w:sz="4" w:space="0" w:color="auto"/>
              <w:left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0679</w:t>
            </w:r>
          </w:p>
        </w:tc>
        <w:tc>
          <w:tcPr>
            <w:tcW w:w="3220" w:type="dxa"/>
            <w:tcBorders>
              <w:top w:val="single" w:sz="4" w:space="0" w:color="auto"/>
              <w:left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2320" w:type="dxa"/>
            <w:tcBorders>
              <w:top w:val="single" w:sz="4" w:space="0" w:color="auto"/>
              <w:left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HCC.CRT</w:t>
            </w:r>
          </w:p>
        </w:tc>
        <w:tc>
          <w:tcPr>
            <w:tcW w:w="860" w:type="dxa"/>
            <w:tcBorders>
              <w:top w:val="single" w:sz="4" w:space="0" w:color="auto"/>
              <w:left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8F41A6" w:rsidTr="000D5FE3">
        <w:trPr>
          <w:trHeight w:val="300"/>
        </w:trPr>
        <w:tc>
          <w:tcPr>
            <w:tcW w:w="1307" w:type="dxa"/>
            <w:tcBorders>
              <w:top w:val="nil"/>
              <w:left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0679</w:t>
            </w:r>
          </w:p>
        </w:tc>
        <w:tc>
          <w:tcPr>
            <w:tcW w:w="3220" w:type="dxa"/>
            <w:tcBorders>
              <w:top w:val="nil"/>
              <w:left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2320" w:type="dxa"/>
            <w:tcBorders>
              <w:top w:val="nil"/>
              <w:left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HIM.AAS</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19</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15</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33</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24</w:t>
            </w:r>
          </w:p>
        </w:tc>
      </w:tr>
      <w:tr w:rsidR="000D5FE3" w:rsidRPr="008F41A6" w:rsidTr="000D5FE3">
        <w:trPr>
          <w:trHeight w:val="300"/>
        </w:trPr>
        <w:tc>
          <w:tcPr>
            <w:tcW w:w="1307"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0679</w:t>
            </w:r>
          </w:p>
        </w:tc>
        <w:tc>
          <w:tcPr>
            <w:tcW w:w="32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23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MCBS.STC</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115</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126</w:t>
            </w:r>
          </w:p>
        </w:tc>
      </w:tr>
      <w:tr w:rsidR="000D5FE3" w:rsidRPr="008F41A6" w:rsidTr="000D5FE3">
        <w:trPr>
          <w:trHeight w:val="300"/>
        </w:trPr>
        <w:tc>
          <w:tcPr>
            <w:tcW w:w="1307" w:type="dxa"/>
            <w:tcBorders>
              <w:top w:val="nil"/>
              <w:left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0679</w:t>
            </w:r>
          </w:p>
        </w:tc>
        <w:tc>
          <w:tcPr>
            <w:tcW w:w="3220" w:type="dxa"/>
            <w:tcBorders>
              <w:top w:val="nil"/>
              <w:left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2320" w:type="dxa"/>
            <w:tcBorders>
              <w:top w:val="nil"/>
              <w:left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MOCS.STC</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81</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62</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17</w:t>
            </w:r>
          </w:p>
        </w:tc>
        <w:tc>
          <w:tcPr>
            <w:tcW w:w="860" w:type="dxa"/>
            <w:tcBorders>
              <w:top w:val="nil"/>
              <w:left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3</w:t>
            </w:r>
          </w:p>
        </w:tc>
      </w:tr>
      <w:tr w:rsidR="000D5FE3" w:rsidRPr="008F41A6" w:rsidTr="000D5FE3">
        <w:trPr>
          <w:trHeight w:val="300"/>
        </w:trPr>
        <w:tc>
          <w:tcPr>
            <w:tcW w:w="1307"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0679</w:t>
            </w:r>
          </w:p>
        </w:tc>
        <w:tc>
          <w:tcPr>
            <w:tcW w:w="32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23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MOR.STC</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21</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45</w:t>
            </w:r>
          </w:p>
        </w:tc>
        <w:tc>
          <w:tcPr>
            <w:tcW w:w="860"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58</w:t>
            </w:r>
          </w:p>
        </w:tc>
      </w:tr>
      <w:tr w:rsidR="000D5FE3" w:rsidRPr="008F41A6" w:rsidTr="000D5FE3">
        <w:trPr>
          <w:trHeight w:val="300"/>
        </w:trPr>
        <w:tc>
          <w:tcPr>
            <w:tcW w:w="1307" w:type="dxa"/>
            <w:tcBorders>
              <w:top w:val="nil"/>
              <w:left w:val="nil"/>
              <w:bottom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0679</w:t>
            </w:r>
          </w:p>
        </w:tc>
        <w:tc>
          <w:tcPr>
            <w:tcW w:w="3220" w:type="dxa"/>
            <w:tcBorders>
              <w:top w:val="nil"/>
              <w:left w:val="nil"/>
              <w:bottom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2320" w:type="dxa"/>
            <w:tcBorders>
              <w:top w:val="nil"/>
              <w:left w:val="nil"/>
              <w:bottom w:val="nil"/>
              <w:right w:val="nil"/>
            </w:tcBorders>
            <w:shd w:val="clear" w:color="auto" w:fill="D9D9D9" w:themeFill="background1" w:themeFillShade="D9"/>
            <w:noWrap/>
            <w:vAlign w:val="bottom"/>
            <w:hideMark/>
          </w:tcPr>
          <w:p w:rsidR="000D5FE3" w:rsidRDefault="000D5FE3">
            <w:pPr>
              <w:rPr>
                <w:rFonts w:ascii="Calibri" w:hAnsi="Calibri"/>
                <w:color w:val="000000"/>
              </w:rPr>
            </w:pPr>
            <w:r>
              <w:rPr>
                <w:rFonts w:ascii="Calibri" w:hAnsi="Calibri"/>
                <w:color w:val="000000"/>
                <w:sz w:val="22"/>
                <w:szCs w:val="22"/>
              </w:rPr>
              <w:t>MT.CRT</w:t>
            </w:r>
          </w:p>
        </w:tc>
        <w:tc>
          <w:tcPr>
            <w:tcW w:w="860" w:type="dxa"/>
            <w:tcBorders>
              <w:top w:val="nil"/>
              <w:left w:val="nil"/>
              <w:bottom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0D5FE3"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single" w:sz="4" w:space="0" w:color="auto"/>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single" w:sz="4" w:space="0" w:color="auto"/>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HIM-110</w:t>
            </w:r>
          </w:p>
        </w:tc>
        <w:tc>
          <w:tcPr>
            <w:tcW w:w="875" w:type="dxa"/>
            <w:tcBorders>
              <w:top w:val="single" w:sz="4" w:space="0" w:color="auto"/>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95.5%</w:t>
            </w:r>
          </w:p>
        </w:tc>
        <w:tc>
          <w:tcPr>
            <w:tcW w:w="875" w:type="dxa"/>
            <w:tcBorders>
              <w:top w:val="single" w:sz="4" w:space="0" w:color="auto"/>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89.2%</w:t>
            </w:r>
          </w:p>
        </w:tc>
        <w:tc>
          <w:tcPr>
            <w:tcW w:w="875" w:type="dxa"/>
            <w:tcBorders>
              <w:top w:val="single" w:sz="4" w:space="0" w:color="auto"/>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90.0%</w:t>
            </w:r>
          </w:p>
        </w:tc>
        <w:tc>
          <w:tcPr>
            <w:tcW w:w="875" w:type="dxa"/>
            <w:tcBorders>
              <w:top w:val="single" w:sz="4" w:space="0" w:color="auto"/>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93.8%</w:t>
            </w:r>
          </w:p>
        </w:tc>
        <w:tc>
          <w:tcPr>
            <w:tcW w:w="1058" w:type="dxa"/>
            <w:tcBorders>
              <w:top w:val="single" w:sz="4" w:space="0" w:color="auto"/>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93.8%</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HIM-111</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96.8%</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97.6%</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93.6%</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HIM-116</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HIM-118</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HIM-121</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69.4%</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77.5%</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79.1%</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75.9%</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78.5%</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HIM-122</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81.7%</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87.4%</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89.2%</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85.4%</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84.9%</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HIM-135</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66.0%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71.8%</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75.7%</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69.6%</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HIM-165</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97.4%</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94.6%</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91.0%</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90.7%</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HIM-178</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97.1%</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97.5%</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HIM-202</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50.0%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HIM-218</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93.1%</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HIM-220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HIM-228</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HIM-240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97.0%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83.9%</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88.6%</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 xml:space="preserve">Health Information </w:t>
            </w:r>
            <w:r>
              <w:rPr>
                <w:rFonts w:ascii="Calibri" w:hAnsi="Calibri"/>
                <w:color w:val="000000"/>
                <w:sz w:val="22"/>
                <w:szCs w:val="22"/>
              </w:rPr>
              <w:lastRenderedPageBreak/>
              <w:t>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lastRenderedPageBreak/>
              <w:t>HIM-241</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94.6%</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lastRenderedPageBreak/>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HIM-244</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91.4%</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HIM-245</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96.3%</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93.6%</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91.7%</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HIM-246</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96.2%</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HIM-249</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83.1%</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88.1%</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HIM-250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96.9%</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94.6%</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HIM-251</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96.2%</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HIM-252</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auto" w:fill="auto"/>
            <w:noWrap/>
            <w:vAlign w:val="bottom"/>
            <w:hideMark/>
          </w:tcPr>
          <w:p w:rsidR="000D5FE3" w:rsidRDefault="000D5FE3">
            <w:pPr>
              <w:rPr>
                <w:rFonts w:ascii="Calibri" w:hAnsi="Calibri"/>
                <w:color w:val="000000"/>
              </w:rPr>
            </w:pPr>
            <w:r>
              <w:rPr>
                <w:rFonts w:ascii="Calibri" w:hAnsi="Calibri"/>
                <w:color w:val="000000"/>
                <w:sz w:val="22"/>
                <w:szCs w:val="22"/>
              </w:rPr>
              <w:t>HIM-258</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B61D81">
        <w:trPr>
          <w:trHeight w:val="300"/>
        </w:trPr>
        <w:tc>
          <w:tcPr>
            <w:tcW w:w="1420"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HIM-260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71.2%</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69.0%</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74.9%</w:t>
            </w:r>
          </w:p>
        </w:tc>
        <w:tc>
          <w:tcPr>
            <w:tcW w:w="875"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63.9%</w:t>
            </w:r>
          </w:p>
        </w:tc>
        <w:tc>
          <w:tcPr>
            <w:tcW w:w="1058" w:type="dxa"/>
            <w:tcBorders>
              <w:top w:val="nil"/>
              <w:left w:val="nil"/>
              <w:bottom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59.6%</w:t>
            </w:r>
          </w:p>
        </w:tc>
      </w:tr>
      <w:tr w:rsidR="000D5FE3" w:rsidRPr="00B61D81" w:rsidTr="00D73E22">
        <w:trPr>
          <w:trHeight w:val="300"/>
        </w:trPr>
        <w:tc>
          <w:tcPr>
            <w:tcW w:w="1420" w:type="dxa"/>
            <w:tcBorders>
              <w:top w:val="nil"/>
              <w:left w:val="nil"/>
              <w:bottom w:val="nil"/>
              <w:right w:val="nil"/>
            </w:tcBorders>
            <w:shd w:val="clear" w:color="000000"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bottom w:val="nil"/>
              <w:right w:val="nil"/>
            </w:tcBorders>
            <w:shd w:val="clear" w:color="000000"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bottom w:val="nil"/>
              <w:right w:val="nil"/>
            </w:tcBorders>
            <w:shd w:val="clear" w:color="000000" w:fill="auto"/>
            <w:noWrap/>
            <w:vAlign w:val="bottom"/>
            <w:hideMark/>
          </w:tcPr>
          <w:p w:rsidR="000D5FE3" w:rsidRDefault="000D5FE3">
            <w:pPr>
              <w:rPr>
                <w:rFonts w:ascii="Calibri" w:hAnsi="Calibri"/>
                <w:color w:val="000000"/>
              </w:rPr>
            </w:pPr>
            <w:r>
              <w:rPr>
                <w:rFonts w:ascii="Calibri" w:hAnsi="Calibri"/>
                <w:color w:val="000000"/>
                <w:sz w:val="22"/>
                <w:szCs w:val="22"/>
              </w:rPr>
              <w:t>HIM-261</w:t>
            </w:r>
          </w:p>
        </w:tc>
        <w:tc>
          <w:tcPr>
            <w:tcW w:w="875" w:type="dxa"/>
            <w:tcBorders>
              <w:top w:val="nil"/>
              <w:left w:val="nil"/>
              <w:bottom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64.9%</w:t>
            </w:r>
          </w:p>
        </w:tc>
        <w:tc>
          <w:tcPr>
            <w:tcW w:w="875" w:type="dxa"/>
            <w:tcBorders>
              <w:top w:val="nil"/>
              <w:left w:val="nil"/>
              <w:bottom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64.2%</w:t>
            </w:r>
          </w:p>
        </w:tc>
        <w:tc>
          <w:tcPr>
            <w:tcW w:w="875" w:type="dxa"/>
            <w:tcBorders>
              <w:top w:val="nil"/>
              <w:left w:val="nil"/>
              <w:bottom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68.2%</w:t>
            </w:r>
          </w:p>
        </w:tc>
        <w:tc>
          <w:tcPr>
            <w:tcW w:w="875" w:type="dxa"/>
            <w:tcBorders>
              <w:top w:val="nil"/>
              <w:left w:val="nil"/>
              <w:bottom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60.8%</w:t>
            </w:r>
          </w:p>
        </w:tc>
        <w:tc>
          <w:tcPr>
            <w:tcW w:w="1058" w:type="dxa"/>
            <w:tcBorders>
              <w:top w:val="nil"/>
              <w:left w:val="nil"/>
              <w:bottom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62.2%</w:t>
            </w:r>
          </w:p>
        </w:tc>
      </w:tr>
      <w:tr w:rsidR="000D5FE3" w:rsidRPr="00B61D81" w:rsidTr="009D7495">
        <w:trPr>
          <w:trHeight w:val="300"/>
        </w:trPr>
        <w:tc>
          <w:tcPr>
            <w:tcW w:w="1420" w:type="dxa"/>
            <w:tcBorders>
              <w:top w:val="nil"/>
              <w:left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HIM-262</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65.3%</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64.5%</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74.1%</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56.9%</w:t>
            </w:r>
          </w:p>
        </w:tc>
        <w:tc>
          <w:tcPr>
            <w:tcW w:w="1058"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58.7%</w:t>
            </w:r>
          </w:p>
        </w:tc>
      </w:tr>
      <w:tr w:rsidR="000D5FE3" w:rsidRPr="00B61D81" w:rsidTr="009D7495">
        <w:trPr>
          <w:trHeight w:val="300"/>
        </w:trPr>
        <w:tc>
          <w:tcPr>
            <w:tcW w:w="1420" w:type="dxa"/>
            <w:tcBorders>
              <w:top w:val="nil"/>
              <w:left w:val="nil"/>
              <w:right w:val="nil"/>
            </w:tcBorders>
            <w:shd w:val="clear" w:color="000000" w:fill="auto"/>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right w:val="nil"/>
            </w:tcBorders>
            <w:shd w:val="clear" w:color="000000" w:fill="auto"/>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right w:val="nil"/>
            </w:tcBorders>
            <w:shd w:val="clear" w:color="000000" w:fill="auto"/>
            <w:noWrap/>
            <w:vAlign w:val="bottom"/>
            <w:hideMark/>
          </w:tcPr>
          <w:p w:rsidR="000D5FE3" w:rsidRDefault="000D5FE3">
            <w:pPr>
              <w:rPr>
                <w:rFonts w:ascii="Calibri" w:hAnsi="Calibri"/>
                <w:color w:val="000000"/>
              </w:rPr>
            </w:pPr>
            <w:r>
              <w:rPr>
                <w:rFonts w:ascii="Calibri" w:hAnsi="Calibri"/>
                <w:color w:val="000000"/>
                <w:sz w:val="22"/>
                <w:szCs w:val="22"/>
              </w:rPr>
              <w:t>HIM-265</w:t>
            </w:r>
          </w:p>
        </w:tc>
        <w:tc>
          <w:tcPr>
            <w:tcW w:w="875" w:type="dxa"/>
            <w:tcBorders>
              <w:top w:val="nil"/>
              <w:left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96.6%</w:t>
            </w:r>
          </w:p>
        </w:tc>
        <w:tc>
          <w:tcPr>
            <w:tcW w:w="875" w:type="dxa"/>
            <w:tcBorders>
              <w:top w:val="nil"/>
              <w:left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90.6%</w:t>
            </w:r>
          </w:p>
        </w:tc>
        <w:tc>
          <w:tcPr>
            <w:tcW w:w="875" w:type="dxa"/>
            <w:tcBorders>
              <w:top w:val="nil"/>
              <w:left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92.5%</w:t>
            </w:r>
          </w:p>
        </w:tc>
        <w:tc>
          <w:tcPr>
            <w:tcW w:w="1058" w:type="dxa"/>
            <w:tcBorders>
              <w:top w:val="nil"/>
              <w:left w:val="nil"/>
              <w:right w:val="nil"/>
            </w:tcBorders>
            <w:shd w:val="clear" w:color="000000" w:fill="auto"/>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r w:rsidR="000D5FE3" w:rsidRPr="00B61D81" w:rsidTr="009D7495">
        <w:trPr>
          <w:trHeight w:val="300"/>
        </w:trPr>
        <w:tc>
          <w:tcPr>
            <w:tcW w:w="1420" w:type="dxa"/>
            <w:tcBorders>
              <w:top w:val="nil"/>
              <w:left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679</w:t>
            </w:r>
          </w:p>
        </w:tc>
        <w:tc>
          <w:tcPr>
            <w:tcW w:w="2915" w:type="dxa"/>
            <w:tcBorders>
              <w:top w:val="nil"/>
              <w:left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Health Information Management</w:t>
            </w:r>
          </w:p>
        </w:tc>
        <w:tc>
          <w:tcPr>
            <w:tcW w:w="1265" w:type="dxa"/>
            <w:tcBorders>
              <w:top w:val="nil"/>
              <w:left w:val="nil"/>
              <w:right w:val="nil"/>
            </w:tcBorders>
            <w:shd w:val="clear" w:color="000000" w:fill="D8D8D8"/>
            <w:noWrap/>
            <w:vAlign w:val="bottom"/>
            <w:hideMark/>
          </w:tcPr>
          <w:p w:rsidR="000D5FE3" w:rsidRDefault="000D5FE3">
            <w:pPr>
              <w:rPr>
                <w:rFonts w:ascii="Calibri" w:hAnsi="Calibri"/>
                <w:color w:val="000000"/>
              </w:rPr>
            </w:pPr>
            <w:r>
              <w:rPr>
                <w:rFonts w:ascii="Calibri" w:hAnsi="Calibri"/>
                <w:color w:val="000000"/>
                <w:sz w:val="22"/>
                <w:szCs w:val="22"/>
              </w:rPr>
              <w:t>HIM-278</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97.0%</w:t>
            </w:r>
          </w:p>
        </w:tc>
        <w:tc>
          <w:tcPr>
            <w:tcW w:w="875"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0D5FE3" w:rsidRDefault="000D5FE3">
            <w:pPr>
              <w:jc w:val="right"/>
              <w:rPr>
                <w:rFonts w:ascii="Calibri" w:hAnsi="Calibri"/>
                <w:color w:val="000000"/>
              </w:rPr>
            </w:pPr>
            <w:r>
              <w:rPr>
                <w:rFonts w:ascii="Calibri" w:hAnsi="Calibri"/>
                <w:color w:val="000000"/>
                <w:sz w:val="22"/>
                <w:szCs w:val="22"/>
              </w:rPr>
              <w:t>.</w:t>
            </w:r>
          </w:p>
        </w:tc>
      </w:tr>
    </w:tbl>
    <w:p w:rsidR="00A201E2" w:rsidRDefault="00A201E2">
      <w:pPr>
        <w:spacing w:after="200" w:line="276" w:lineRule="auto"/>
        <w:rPr>
          <w:rFonts w:ascii="Arial" w:hAnsi="Arial" w:cs="Arial"/>
          <w:b/>
          <w:color w:val="000000" w:themeColor="text1"/>
        </w:rPr>
      </w:pPr>
    </w:p>
    <w:p w:rsidR="00007C68" w:rsidRDefault="00007C68">
      <w:pPr>
        <w:spacing w:after="200" w:line="276" w:lineRule="auto"/>
        <w:rPr>
          <w:rFonts w:ascii="Arial" w:hAnsi="Arial" w:cs="Arial"/>
          <w:b/>
          <w:color w:val="000000" w:themeColor="text1"/>
        </w:rPr>
      </w:pPr>
    </w:p>
    <w:p w:rsidR="00007C68" w:rsidRDefault="00007C68">
      <w:pPr>
        <w:spacing w:after="200" w:line="276" w:lineRule="auto"/>
        <w:rPr>
          <w:rFonts w:ascii="Arial" w:hAnsi="Arial" w:cs="Arial"/>
          <w:b/>
          <w:color w:val="000000" w:themeColor="text1"/>
        </w:rPr>
      </w:pPr>
    </w:p>
    <w:p w:rsidR="00007C68" w:rsidRDefault="00007C68">
      <w:pPr>
        <w:spacing w:after="200" w:line="276" w:lineRule="auto"/>
        <w:rPr>
          <w:rFonts w:ascii="Arial" w:hAnsi="Arial" w:cs="Arial"/>
          <w:b/>
          <w:color w:val="000000" w:themeColor="text1"/>
        </w:rPr>
      </w:pPr>
    </w:p>
    <w:p w:rsidR="00007C68" w:rsidRDefault="00007C68">
      <w:pPr>
        <w:spacing w:after="200" w:line="276" w:lineRule="auto"/>
        <w:rPr>
          <w:rFonts w:ascii="Arial" w:hAnsi="Arial" w:cs="Arial"/>
          <w:b/>
          <w:color w:val="000000" w:themeColor="text1"/>
        </w:rPr>
        <w:sectPr w:rsidR="00007C68" w:rsidSect="00A201E2">
          <w:pgSz w:w="12240" w:h="15840"/>
          <w:pgMar w:top="1152" w:right="1440" w:bottom="1152" w:left="1440" w:header="720" w:footer="288" w:gutter="0"/>
          <w:cols w:space="720"/>
          <w:docGrid w:linePitch="360"/>
        </w:sectPr>
      </w:pPr>
    </w:p>
    <w:p w:rsidR="00007C68" w:rsidRDefault="00007C68">
      <w:pPr>
        <w:spacing w:after="200" w:line="276" w:lineRule="auto"/>
        <w:rPr>
          <w:rFonts w:ascii="Arial" w:hAnsi="Arial" w:cs="Arial"/>
          <w:b/>
          <w:color w:val="000000" w:themeColor="text1"/>
        </w:rPr>
      </w:pPr>
    </w:p>
    <w:p w:rsidR="00007C68" w:rsidRDefault="00007C68" w:rsidP="00007C68">
      <w:pPr>
        <w:pStyle w:val="Header"/>
        <w:jc w:val="center"/>
      </w:pPr>
      <w:r>
        <w:t>FY 2010-2011</w:t>
      </w:r>
    </w:p>
    <w:p w:rsidR="00007C68" w:rsidRDefault="00007C68" w:rsidP="00007C68">
      <w:pPr>
        <w:pStyle w:val="Header"/>
        <w:jc w:val="center"/>
      </w:pPr>
      <w:r w:rsidRPr="00052FC5">
        <w:rPr>
          <w:highlight w:val="green"/>
        </w:rPr>
        <w:t>FY 2011-2012</w:t>
      </w:r>
    </w:p>
    <w:p w:rsidR="00007C68" w:rsidRDefault="00007C68">
      <w:pPr>
        <w:spacing w:after="200" w:line="276" w:lineRule="auto"/>
        <w:rPr>
          <w:rFonts w:ascii="Arial" w:hAnsi="Arial" w:cs="Arial"/>
          <w:b/>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1515"/>
        <w:gridCol w:w="1694"/>
        <w:gridCol w:w="1675"/>
      </w:tblGrid>
      <w:tr w:rsidR="00007C68" w:rsidRPr="00646ACC" w:rsidTr="00460EE0">
        <w:tc>
          <w:tcPr>
            <w:tcW w:w="1661" w:type="dxa"/>
          </w:tcPr>
          <w:p w:rsidR="00007C68" w:rsidRPr="00646ACC" w:rsidRDefault="00007C68" w:rsidP="00460EE0">
            <w:r w:rsidRPr="00646ACC">
              <w:t>Course</w:t>
            </w:r>
          </w:p>
        </w:tc>
        <w:tc>
          <w:tcPr>
            <w:tcW w:w="1515" w:type="dxa"/>
          </w:tcPr>
          <w:p w:rsidR="00007C68" w:rsidRPr="00646ACC" w:rsidRDefault="00007C68" w:rsidP="00460EE0">
            <w:r w:rsidRPr="00646ACC">
              <w:t>Term</w:t>
            </w:r>
          </w:p>
        </w:tc>
        <w:tc>
          <w:tcPr>
            <w:tcW w:w="1694" w:type="dxa"/>
          </w:tcPr>
          <w:p w:rsidR="00007C68" w:rsidRPr="00646ACC" w:rsidRDefault="00007C68" w:rsidP="00460EE0">
            <w:r w:rsidRPr="00646ACC">
              <w:t>Location</w:t>
            </w:r>
          </w:p>
        </w:tc>
        <w:tc>
          <w:tcPr>
            <w:tcW w:w="1675" w:type="dxa"/>
          </w:tcPr>
          <w:p w:rsidR="00007C68" w:rsidRPr="00646ACC" w:rsidRDefault="00007C68" w:rsidP="00460EE0">
            <w:r w:rsidRPr="00646ACC">
              <w:t>Success Rate</w:t>
            </w:r>
          </w:p>
        </w:tc>
      </w:tr>
      <w:tr w:rsidR="00007C68" w:rsidRPr="00646ACC" w:rsidTr="00460EE0">
        <w:tc>
          <w:tcPr>
            <w:tcW w:w="1661" w:type="dxa"/>
          </w:tcPr>
          <w:p w:rsidR="00007C68" w:rsidRPr="00646ACC" w:rsidRDefault="00007C68" w:rsidP="00460EE0">
            <w:r w:rsidRPr="00646ACC">
              <w:t>HIM 260</w:t>
            </w:r>
          </w:p>
        </w:tc>
        <w:tc>
          <w:tcPr>
            <w:tcW w:w="1515" w:type="dxa"/>
          </w:tcPr>
          <w:p w:rsidR="00007C68" w:rsidRPr="00646ACC" w:rsidRDefault="00007C68" w:rsidP="00460EE0">
            <w:r w:rsidRPr="00646ACC">
              <w:t>11/WI</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74.07%</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66.09%</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r w:rsidRPr="00646ACC">
              <w:t>11/SP</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71.83%</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53.15%</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r w:rsidRPr="00646ACC">
              <w:t>11/SU</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86.96%</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58.70%</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11/FA</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72.55%</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50.00%</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12/WI</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66.67%</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48.57%</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12/SP</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58.33%</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r w:rsidRPr="00646ACC">
              <w:rPr>
                <w:highlight w:val="green"/>
              </w:rPr>
              <w:t>54.72%</w:t>
            </w:r>
          </w:p>
        </w:tc>
      </w:tr>
      <w:tr w:rsidR="00007C68" w:rsidRPr="00646ACC" w:rsidTr="00460EE0">
        <w:tc>
          <w:tcPr>
            <w:tcW w:w="1661" w:type="dxa"/>
          </w:tcPr>
          <w:p w:rsidR="00007C68" w:rsidRPr="00646ACC" w:rsidRDefault="00007C68" w:rsidP="00460EE0">
            <w:r w:rsidRPr="00646ACC">
              <w:t>HIM 261</w:t>
            </w:r>
          </w:p>
        </w:tc>
        <w:tc>
          <w:tcPr>
            <w:tcW w:w="1515" w:type="dxa"/>
          </w:tcPr>
          <w:p w:rsidR="00007C68" w:rsidRPr="00646ACC" w:rsidRDefault="00007C68" w:rsidP="00460EE0">
            <w:r w:rsidRPr="00646ACC">
              <w:t>11/WI</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83.33%</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53.33%</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r w:rsidRPr="00646ACC">
              <w:t>11/SP</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74.55%</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47.92%</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r w:rsidRPr="00646ACC">
              <w:t>11/SU</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80.00%</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50.00%</w:t>
            </w:r>
          </w:p>
        </w:tc>
      </w:tr>
      <w:tr w:rsidR="00007C68" w:rsidRPr="00646ACC" w:rsidTr="00460EE0">
        <w:trPr>
          <w:trHeight w:val="287"/>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11/FA</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62.22%</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55.56%</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12/WI</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73.58%</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63.89%</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12/SP</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65.71%</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45.00%</w:t>
            </w:r>
          </w:p>
        </w:tc>
      </w:tr>
      <w:tr w:rsidR="00007C68" w:rsidRPr="00646ACC" w:rsidTr="00460EE0">
        <w:tc>
          <w:tcPr>
            <w:tcW w:w="1661" w:type="dxa"/>
          </w:tcPr>
          <w:p w:rsidR="00007C68" w:rsidRPr="00646ACC" w:rsidRDefault="00007C68" w:rsidP="00460EE0">
            <w:r w:rsidRPr="00646ACC">
              <w:t>HIM 262</w:t>
            </w:r>
          </w:p>
        </w:tc>
        <w:tc>
          <w:tcPr>
            <w:tcW w:w="1515" w:type="dxa"/>
          </w:tcPr>
          <w:p w:rsidR="00007C68" w:rsidRPr="00646ACC" w:rsidRDefault="00007C68" w:rsidP="00460EE0">
            <w:r w:rsidRPr="00646ACC">
              <w:t>11/WI</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86.96%</w:t>
            </w:r>
          </w:p>
        </w:tc>
      </w:tr>
      <w:tr w:rsidR="00007C68" w:rsidRPr="00646ACC" w:rsidTr="00460EE0">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54.84%</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r w:rsidRPr="00646ACC">
              <w:t>11/SP</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92.86%</w:t>
            </w:r>
          </w:p>
        </w:tc>
      </w:tr>
      <w:tr w:rsidR="00007C68" w:rsidRPr="00646ACC" w:rsidTr="00460EE0">
        <w:tc>
          <w:tcPr>
            <w:tcW w:w="1661" w:type="dxa"/>
          </w:tcPr>
          <w:p w:rsidR="00007C68" w:rsidRPr="00646ACC" w:rsidRDefault="00007C68" w:rsidP="00460EE0">
            <w:pPr>
              <w:rPr>
                <w:highlight w:val="green"/>
              </w:rPr>
            </w:pPr>
          </w:p>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47.92%</w:t>
            </w:r>
          </w:p>
        </w:tc>
      </w:tr>
      <w:tr w:rsidR="00007C68" w:rsidRPr="00646ACC" w:rsidTr="00460EE0">
        <w:trPr>
          <w:trHeight w:val="215"/>
        </w:trPr>
        <w:tc>
          <w:tcPr>
            <w:tcW w:w="1661" w:type="dxa"/>
          </w:tcPr>
          <w:p w:rsidR="00007C68" w:rsidRPr="00646ACC" w:rsidRDefault="00007C68" w:rsidP="00460EE0"/>
        </w:tc>
        <w:tc>
          <w:tcPr>
            <w:tcW w:w="1515" w:type="dxa"/>
          </w:tcPr>
          <w:p w:rsidR="00007C68" w:rsidRPr="00646ACC" w:rsidRDefault="00007C68" w:rsidP="00460EE0">
            <w:r w:rsidRPr="00646ACC">
              <w:t>11/SU</w:t>
            </w:r>
          </w:p>
        </w:tc>
        <w:tc>
          <w:tcPr>
            <w:tcW w:w="1694" w:type="dxa"/>
          </w:tcPr>
          <w:p w:rsidR="00007C68" w:rsidRPr="00646ACC" w:rsidRDefault="00007C68" w:rsidP="00460EE0">
            <w:r w:rsidRPr="00646ACC">
              <w:t>Face-to-face</w:t>
            </w:r>
          </w:p>
        </w:tc>
        <w:tc>
          <w:tcPr>
            <w:tcW w:w="1675" w:type="dxa"/>
          </w:tcPr>
          <w:p w:rsidR="00007C68" w:rsidRPr="00646ACC" w:rsidRDefault="00007C68" w:rsidP="00460EE0">
            <w:r w:rsidRPr="00646ACC">
              <w:t>---</w:t>
            </w:r>
          </w:p>
        </w:tc>
      </w:tr>
      <w:tr w:rsidR="00007C68" w:rsidRPr="00646ACC" w:rsidTr="00460EE0">
        <w:trPr>
          <w:trHeight w:val="215"/>
        </w:trPr>
        <w:tc>
          <w:tcPr>
            <w:tcW w:w="1661" w:type="dxa"/>
          </w:tcPr>
          <w:p w:rsidR="00007C68" w:rsidRPr="00646ACC" w:rsidRDefault="00007C68" w:rsidP="00460EE0"/>
        </w:tc>
        <w:tc>
          <w:tcPr>
            <w:tcW w:w="1515" w:type="dxa"/>
          </w:tcPr>
          <w:p w:rsidR="00007C68" w:rsidRPr="00646ACC" w:rsidRDefault="00007C68" w:rsidP="00460EE0"/>
        </w:tc>
        <w:tc>
          <w:tcPr>
            <w:tcW w:w="1694" w:type="dxa"/>
          </w:tcPr>
          <w:p w:rsidR="00007C68" w:rsidRPr="00646ACC" w:rsidRDefault="00007C68" w:rsidP="00460EE0">
            <w:r w:rsidRPr="00646ACC">
              <w:t>Online</w:t>
            </w:r>
          </w:p>
        </w:tc>
        <w:tc>
          <w:tcPr>
            <w:tcW w:w="1675" w:type="dxa"/>
          </w:tcPr>
          <w:p w:rsidR="00007C68" w:rsidRPr="00646ACC" w:rsidRDefault="00007C68" w:rsidP="00460EE0">
            <w:r w:rsidRPr="00646ACC">
              <w:t>40.63%</w:t>
            </w:r>
          </w:p>
        </w:tc>
      </w:tr>
      <w:tr w:rsidR="00007C68" w:rsidRPr="00646ACC" w:rsidTr="00460EE0">
        <w:trPr>
          <w:trHeight w:val="215"/>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11/FA</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81.25%</w:t>
            </w:r>
          </w:p>
        </w:tc>
      </w:tr>
      <w:tr w:rsidR="00007C68" w:rsidRPr="00646ACC" w:rsidTr="00460EE0">
        <w:trPr>
          <w:trHeight w:val="215"/>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50.00%</w:t>
            </w:r>
          </w:p>
        </w:tc>
      </w:tr>
      <w:tr w:rsidR="00007C68" w:rsidRPr="00646ACC" w:rsidTr="00460EE0">
        <w:trPr>
          <w:trHeight w:val="215"/>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12/WI</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88.24%</w:t>
            </w:r>
          </w:p>
        </w:tc>
      </w:tr>
      <w:tr w:rsidR="00007C68" w:rsidRPr="00646ACC" w:rsidTr="00460EE0">
        <w:trPr>
          <w:trHeight w:val="215"/>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48.48%</w:t>
            </w:r>
          </w:p>
        </w:tc>
      </w:tr>
      <w:tr w:rsidR="00007C68" w:rsidRPr="00646ACC" w:rsidTr="00460EE0">
        <w:trPr>
          <w:trHeight w:val="215"/>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r w:rsidRPr="00646ACC">
              <w:rPr>
                <w:highlight w:val="green"/>
              </w:rPr>
              <w:t>12/SP</w:t>
            </w:r>
          </w:p>
        </w:tc>
        <w:tc>
          <w:tcPr>
            <w:tcW w:w="1694" w:type="dxa"/>
          </w:tcPr>
          <w:p w:rsidR="00007C68" w:rsidRPr="00646ACC" w:rsidRDefault="00007C68" w:rsidP="00460EE0">
            <w:pPr>
              <w:rPr>
                <w:highlight w:val="green"/>
              </w:rPr>
            </w:pPr>
            <w:r w:rsidRPr="00646ACC">
              <w:rPr>
                <w:highlight w:val="green"/>
              </w:rPr>
              <w:t>Face-to-face</w:t>
            </w:r>
          </w:p>
        </w:tc>
        <w:tc>
          <w:tcPr>
            <w:tcW w:w="1675" w:type="dxa"/>
          </w:tcPr>
          <w:p w:rsidR="00007C68" w:rsidRPr="00646ACC" w:rsidRDefault="00007C68" w:rsidP="00460EE0">
            <w:pPr>
              <w:rPr>
                <w:highlight w:val="green"/>
              </w:rPr>
            </w:pPr>
            <w:r w:rsidRPr="00646ACC">
              <w:rPr>
                <w:highlight w:val="green"/>
              </w:rPr>
              <w:t>69.23%</w:t>
            </w:r>
          </w:p>
        </w:tc>
      </w:tr>
      <w:tr w:rsidR="00007C68" w:rsidRPr="00646ACC" w:rsidTr="00460EE0">
        <w:trPr>
          <w:trHeight w:val="215"/>
        </w:trPr>
        <w:tc>
          <w:tcPr>
            <w:tcW w:w="1661" w:type="dxa"/>
          </w:tcPr>
          <w:p w:rsidR="00007C68" w:rsidRPr="00646ACC" w:rsidRDefault="00007C68" w:rsidP="00460EE0">
            <w:pPr>
              <w:rPr>
                <w:highlight w:val="green"/>
              </w:rPr>
            </w:pPr>
          </w:p>
        </w:tc>
        <w:tc>
          <w:tcPr>
            <w:tcW w:w="1515" w:type="dxa"/>
          </w:tcPr>
          <w:p w:rsidR="00007C68" w:rsidRPr="00646ACC" w:rsidRDefault="00007C68" w:rsidP="00460EE0">
            <w:pPr>
              <w:rPr>
                <w:highlight w:val="green"/>
              </w:rPr>
            </w:pPr>
          </w:p>
        </w:tc>
        <w:tc>
          <w:tcPr>
            <w:tcW w:w="1694" w:type="dxa"/>
          </w:tcPr>
          <w:p w:rsidR="00007C68" w:rsidRPr="00646ACC" w:rsidRDefault="00007C68" w:rsidP="00460EE0">
            <w:pPr>
              <w:rPr>
                <w:highlight w:val="green"/>
              </w:rPr>
            </w:pPr>
            <w:r w:rsidRPr="00646ACC">
              <w:rPr>
                <w:highlight w:val="green"/>
              </w:rPr>
              <w:t>Online</w:t>
            </w:r>
          </w:p>
        </w:tc>
        <w:tc>
          <w:tcPr>
            <w:tcW w:w="1675" w:type="dxa"/>
          </w:tcPr>
          <w:p w:rsidR="00007C68" w:rsidRPr="00646ACC" w:rsidRDefault="00007C68" w:rsidP="00460EE0">
            <w:pPr>
              <w:rPr>
                <w:highlight w:val="green"/>
              </w:rPr>
            </w:pPr>
            <w:r w:rsidRPr="00646ACC">
              <w:rPr>
                <w:highlight w:val="green"/>
              </w:rPr>
              <w:t>58.62%</w:t>
            </w:r>
          </w:p>
        </w:tc>
      </w:tr>
    </w:tbl>
    <w:p w:rsidR="00007C68" w:rsidRDefault="00007C68" w:rsidP="00007C68">
      <w:r w:rsidRPr="00D546F1">
        <w:rPr>
          <w:highlight w:val="green"/>
        </w:rPr>
        <w:br w:type="textWrapping" w:clear="all"/>
      </w:r>
    </w:p>
    <w:p w:rsidR="00007C68" w:rsidRDefault="00007C68" w:rsidP="00007C68"/>
    <w:p w:rsidR="00007C68" w:rsidRDefault="00007C68" w:rsidP="00007C68"/>
    <w:p w:rsidR="00007C68" w:rsidRDefault="00007C68" w:rsidP="00007C68">
      <w:pPr>
        <w:jc w:val="center"/>
        <w:rPr>
          <w:rFonts w:ascii="Arial" w:hAnsi="Arial" w:cs="Arial"/>
          <w:b/>
          <w:color w:val="000000" w:themeColor="text1"/>
        </w:rPr>
      </w:pPr>
      <w:r w:rsidRPr="001C7640">
        <w:rPr>
          <w:b/>
        </w:rPr>
        <w:t>Attachment A – Comparison Grid</w:t>
      </w:r>
    </w:p>
    <w:sectPr w:rsidR="00007C68"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03E" w:rsidRDefault="0003003E" w:rsidP="0094204C">
      <w:r>
        <w:separator/>
      </w:r>
    </w:p>
  </w:endnote>
  <w:endnote w:type="continuationSeparator" w:id="0">
    <w:p w:rsidR="0003003E" w:rsidRDefault="0003003E"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03003E" w:rsidRDefault="00101865">
        <w:pPr>
          <w:pStyle w:val="Footer"/>
          <w:jc w:val="right"/>
        </w:pPr>
        <w:fldSimple w:instr=" PAGE   \* MERGEFORMAT ">
          <w:r w:rsidR="006839E7">
            <w:rPr>
              <w:noProof/>
            </w:rPr>
            <w:t>18</w:t>
          </w:r>
        </w:fldSimple>
      </w:p>
    </w:sdtContent>
  </w:sdt>
  <w:p w:rsidR="0003003E" w:rsidRDefault="00030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03E" w:rsidRDefault="0003003E" w:rsidP="0094204C">
      <w:r>
        <w:separator/>
      </w:r>
    </w:p>
  </w:footnote>
  <w:footnote w:type="continuationSeparator" w:id="0">
    <w:p w:rsidR="0003003E" w:rsidRDefault="0003003E"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9B64C1"/>
    <w:multiLevelType w:val="hybridMultilevel"/>
    <w:tmpl w:val="4810E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965C1"/>
    <w:multiLevelType w:val="hybridMultilevel"/>
    <w:tmpl w:val="B4A8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961CC"/>
    <w:multiLevelType w:val="hybridMultilevel"/>
    <w:tmpl w:val="0D748D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C85E00"/>
    <w:multiLevelType w:val="hybridMultilevel"/>
    <w:tmpl w:val="FB3AA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F2BD8"/>
    <w:multiLevelType w:val="hybridMultilevel"/>
    <w:tmpl w:val="79CA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76273"/>
    <w:multiLevelType w:val="hybridMultilevel"/>
    <w:tmpl w:val="5164D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706554"/>
    <w:multiLevelType w:val="hybridMultilevel"/>
    <w:tmpl w:val="42D6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15"/>
  </w:num>
  <w:num w:numId="5">
    <w:abstractNumId w:val="5"/>
  </w:num>
  <w:num w:numId="6">
    <w:abstractNumId w:val="11"/>
  </w:num>
  <w:num w:numId="7">
    <w:abstractNumId w:val="19"/>
  </w:num>
  <w:num w:numId="8">
    <w:abstractNumId w:val="17"/>
  </w:num>
  <w:num w:numId="9">
    <w:abstractNumId w:val="2"/>
  </w:num>
  <w:num w:numId="10">
    <w:abstractNumId w:val="20"/>
  </w:num>
  <w:num w:numId="11">
    <w:abstractNumId w:val="0"/>
  </w:num>
  <w:num w:numId="12">
    <w:abstractNumId w:val="18"/>
  </w:num>
  <w:num w:numId="13">
    <w:abstractNumId w:val="14"/>
  </w:num>
  <w:num w:numId="14">
    <w:abstractNumId w:val="6"/>
  </w:num>
  <w:num w:numId="15">
    <w:abstractNumId w:val="21"/>
  </w:num>
  <w:num w:numId="16">
    <w:abstractNumId w:val="3"/>
  </w:num>
  <w:num w:numId="17">
    <w:abstractNumId w:val="12"/>
  </w:num>
  <w:num w:numId="18">
    <w:abstractNumId w:val="9"/>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7C68"/>
    <w:rsid w:val="0001062E"/>
    <w:rsid w:val="000160CC"/>
    <w:rsid w:val="00017790"/>
    <w:rsid w:val="000279EB"/>
    <w:rsid w:val="0003003E"/>
    <w:rsid w:val="000337E6"/>
    <w:rsid w:val="00034CE6"/>
    <w:rsid w:val="00036DF9"/>
    <w:rsid w:val="00043D44"/>
    <w:rsid w:val="000449ED"/>
    <w:rsid w:val="00054BFD"/>
    <w:rsid w:val="00056964"/>
    <w:rsid w:val="000616F3"/>
    <w:rsid w:val="00063778"/>
    <w:rsid w:val="00065129"/>
    <w:rsid w:val="000738FE"/>
    <w:rsid w:val="00074BD5"/>
    <w:rsid w:val="00080933"/>
    <w:rsid w:val="00097843"/>
    <w:rsid w:val="000A089D"/>
    <w:rsid w:val="000A1240"/>
    <w:rsid w:val="000A2A44"/>
    <w:rsid w:val="000A4EE0"/>
    <w:rsid w:val="000A6B17"/>
    <w:rsid w:val="000B0D23"/>
    <w:rsid w:val="000B261C"/>
    <w:rsid w:val="000B64BB"/>
    <w:rsid w:val="000C62B2"/>
    <w:rsid w:val="000D035A"/>
    <w:rsid w:val="000D1111"/>
    <w:rsid w:val="000D3A39"/>
    <w:rsid w:val="000D5FE3"/>
    <w:rsid w:val="000E4EFE"/>
    <w:rsid w:val="000F0AF3"/>
    <w:rsid w:val="000F154F"/>
    <w:rsid w:val="000F1823"/>
    <w:rsid w:val="000F21F2"/>
    <w:rsid w:val="000F2F76"/>
    <w:rsid w:val="000F4249"/>
    <w:rsid w:val="00101865"/>
    <w:rsid w:val="0010227C"/>
    <w:rsid w:val="001026AA"/>
    <w:rsid w:val="001139F4"/>
    <w:rsid w:val="00115E77"/>
    <w:rsid w:val="001201D5"/>
    <w:rsid w:val="00120277"/>
    <w:rsid w:val="00120E81"/>
    <w:rsid w:val="001240D0"/>
    <w:rsid w:val="001324D2"/>
    <w:rsid w:val="00137161"/>
    <w:rsid w:val="00142776"/>
    <w:rsid w:val="00145E42"/>
    <w:rsid w:val="001532B7"/>
    <w:rsid w:val="001628B1"/>
    <w:rsid w:val="00164F58"/>
    <w:rsid w:val="001733AE"/>
    <w:rsid w:val="00174C4B"/>
    <w:rsid w:val="001803A0"/>
    <w:rsid w:val="00181457"/>
    <w:rsid w:val="00183806"/>
    <w:rsid w:val="00183A7F"/>
    <w:rsid w:val="00184AE5"/>
    <w:rsid w:val="00185095"/>
    <w:rsid w:val="0018798A"/>
    <w:rsid w:val="00190F5C"/>
    <w:rsid w:val="0019135D"/>
    <w:rsid w:val="00195B7B"/>
    <w:rsid w:val="001A1B67"/>
    <w:rsid w:val="001A1DE5"/>
    <w:rsid w:val="001A24F0"/>
    <w:rsid w:val="001A7AF7"/>
    <w:rsid w:val="001B2914"/>
    <w:rsid w:val="001B6007"/>
    <w:rsid w:val="001C202C"/>
    <w:rsid w:val="001C42D0"/>
    <w:rsid w:val="001C5DC3"/>
    <w:rsid w:val="001D3E1D"/>
    <w:rsid w:val="001D5757"/>
    <w:rsid w:val="001D7080"/>
    <w:rsid w:val="001D736E"/>
    <w:rsid w:val="001E0764"/>
    <w:rsid w:val="001E7137"/>
    <w:rsid w:val="001F4B9E"/>
    <w:rsid w:val="00202E6F"/>
    <w:rsid w:val="002051FE"/>
    <w:rsid w:val="002105E7"/>
    <w:rsid w:val="00210FF3"/>
    <w:rsid w:val="002245AB"/>
    <w:rsid w:val="00225B53"/>
    <w:rsid w:val="0022692B"/>
    <w:rsid w:val="002315EE"/>
    <w:rsid w:val="002340A4"/>
    <w:rsid w:val="00242E5C"/>
    <w:rsid w:val="00245FB9"/>
    <w:rsid w:val="0025548D"/>
    <w:rsid w:val="00255C18"/>
    <w:rsid w:val="00255F7D"/>
    <w:rsid w:val="00256114"/>
    <w:rsid w:val="0025618C"/>
    <w:rsid w:val="00260C36"/>
    <w:rsid w:val="00262914"/>
    <w:rsid w:val="00262EFB"/>
    <w:rsid w:val="00265A99"/>
    <w:rsid w:val="00266F2F"/>
    <w:rsid w:val="0026791C"/>
    <w:rsid w:val="00270163"/>
    <w:rsid w:val="00276B75"/>
    <w:rsid w:val="00280C60"/>
    <w:rsid w:val="00281C63"/>
    <w:rsid w:val="0028603C"/>
    <w:rsid w:val="002922CE"/>
    <w:rsid w:val="00293D8D"/>
    <w:rsid w:val="002A099B"/>
    <w:rsid w:val="002A1D8C"/>
    <w:rsid w:val="002B2D75"/>
    <w:rsid w:val="002B7649"/>
    <w:rsid w:val="002C1797"/>
    <w:rsid w:val="002C56AC"/>
    <w:rsid w:val="002D1DFE"/>
    <w:rsid w:val="002D2748"/>
    <w:rsid w:val="002D3CAD"/>
    <w:rsid w:val="002D428E"/>
    <w:rsid w:val="002E175B"/>
    <w:rsid w:val="002E2353"/>
    <w:rsid w:val="002E28B0"/>
    <w:rsid w:val="002E548B"/>
    <w:rsid w:val="002E6B01"/>
    <w:rsid w:val="002F4A6B"/>
    <w:rsid w:val="002F63A2"/>
    <w:rsid w:val="00303041"/>
    <w:rsid w:val="003041DD"/>
    <w:rsid w:val="00305AE1"/>
    <w:rsid w:val="0030733F"/>
    <w:rsid w:val="00307A43"/>
    <w:rsid w:val="00314606"/>
    <w:rsid w:val="00315CE8"/>
    <w:rsid w:val="00320CDE"/>
    <w:rsid w:val="00320DF3"/>
    <w:rsid w:val="00321F84"/>
    <w:rsid w:val="003233E7"/>
    <w:rsid w:val="003254BC"/>
    <w:rsid w:val="00330692"/>
    <w:rsid w:val="00337A3A"/>
    <w:rsid w:val="003454F6"/>
    <w:rsid w:val="00350D53"/>
    <w:rsid w:val="003641BA"/>
    <w:rsid w:val="00372B02"/>
    <w:rsid w:val="00374CCC"/>
    <w:rsid w:val="0037786D"/>
    <w:rsid w:val="00377D40"/>
    <w:rsid w:val="00381F5C"/>
    <w:rsid w:val="00395156"/>
    <w:rsid w:val="003A298D"/>
    <w:rsid w:val="003B2034"/>
    <w:rsid w:val="003B268A"/>
    <w:rsid w:val="003B46F5"/>
    <w:rsid w:val="003B5176"/>
    <w:rsid w:val="003B5F45"/>
    <w:rsid w:val="003B6EA6"/>
    <w:rsid w:val="003C1C8E"/>
    <w:rsid w:val="003D2587"/>
    <w:rsid w:val="003D6946"/>
    <w:rsid w:val="003D6D6E"/>
    <w:rsid w:val="003E3255"/>
    <w:rsid w:val="003E791C"/>
    <w:rsid w:val="003F6457"/>
    <w:rsid w:val="003F6DFC"/>
    <w:rsid w:val="00404810"/>
    <w:rsid w:val="00414645"/>
    <w:rsid w:val="00420EBF"/>
    <w:rsid w:val="00424E5D"/>
    <w:rsid w:val="00425F46"/>
    <w:rsid w:val="00434DA9"/>
    <w:rsid w:val="00434F56"/>
    <w:rsid w:val="004359FC"/>
    <w:rsid w:val="004467C4"/>
    <w:rsid w:val="00455833"/>
    <w:rsid w:val="004604FB"/>
    <w:rsid w:val="00461386"/>
    <w:rsid w:val="00462D00"/>
    <w:rsid w:val="00470F03"/>
    <w:rsid w:val="004712EB"/>
    <w:rsid w:val="00476425"/>
    <w:rsid w:val="0048088F"/>
    <w:rsid w:val="00480BB2"/>
    <w:rsid w:val="004818E1"/>
    <w:rsid w:val="00481A7E"/>
    <w:rsid w:val="0048427F"/>
    <w:rsid w:val="00495C9D"/>
    <w:rsid w:val="004A2AEC"/>
    <w:rsid w:val="004B7492"/>
    <w:rsid w:val="004C2B30"/>
    <w:rsid w:val="004C52FC"/>
    <w:rsid w:val="004C7DB2"/>
    <w:rsid w:val="004D3BE1"/>
    <w:rsid w:val="004D3C8C"/>
    <w:rsid w:val="004E47AA"/>
    <w:rsid w:val="004E4BD6"/>
    <w:rsid w:val="004F41D5"/>
    <w:rsid w:val="0051294F"/>
    <w:rsid w:val="00516463"/>
    <w:rsid w:val="00520FBE"/>
    <w:rsid w:val="0052152C"/>
    <w:rsid w:val="00525FE3"/>
    <w:rsid w:val="0054350A"/>
    <w:rsid w:val="005531E8"/>
    <w:rsid w:val="005674F9"/>
    <w:rsid w:val="00571919"/>
    <w:rsid w:val="00573ECD"/>
    <w:rsid w:val="00574765"/>
    <w:rsid w:val="00585766"/>
    <w:rsid w:val="005863ED"/>
    <w:rsid w:val="005864A4"/>
    <w:rsid w:val="005918B2"/>
    <w:rsid w:val="00597F85"/>
    <w:rsid w:val="005D19D9"/>
    <w:rsid w:val="005F5F7E"/>
    <w:rsid w:val="005F6B5B"/>
    <w:rsid w:val="005F7377"/>
    <w:rsid w:val="00603533"/>
    <w:rsid w:val="0060376D"/>
    <w:rsid w:val="0061454F"/>
    <w:rsid w:val="0061712A"/>
    <w:rsid w:val="00624150"/>
    <w:rsid w:val="00624906"/>
    <w:rsid w:val="006368CC"/>
    <w:rsid w:val="00637591"/>
    <w:rsid w:val="00640611"/>
    <w:rsid w:val="00643904"/>
    <w:rsid w:val="00647181"/>
    <w:rsid w:val="00651CF2"/>
    <w:rsid w:val="006532D6"/>
    <w:rsid w:val="0065453B"/>
    <w:rsid w:val="00654C15"/>
    <w:rsid w:val="006551C4"/>
    <w:rsid w:val="00660080"/>
    <w:rsid w:val="0066285F"/>
    <w:rsid w:val="0066607A"/>
    <w:rsid w:val="00677703"/>
    <w:rsid w:val="006835C1"/>
    <w:rsid w:val="006839E7"/>
    <w:rsid w:val="00690A3D"/>
    <w:rsid w:val="006935E8"/>
    <w:rsid w:val="006A1B0E"/>
    <w:rsid w:val="006A2AA3"/>
    <w:rsid w:val="006B5D02"/>
    <w:rsid w:val="006B6194"/>
    <w:rsid w:val="006C142B"/>
    <w:rsid w:val="006C28B1"/>
    <w:rsid w:val="006C4C0B"/>
    <w:rsid w:val="006C4F5E"/>
    <w:rsid w:val="006C5456"/>
    <w:rsid w:val="006D67EB"/>
    <w:rsid w:val="006D6F66"/>
    <w:rsid w:val="006E3686"/>
    <w:rsid w:val="006F0183"/>
    <w:rsid w:val="007044C2"/>
    <w:rsid w:val="00716A26"/>
    <w:rsid w:val="00740D35"/>
    <w:rsid w:val="00743F70"/>
    <w:rsid w:val="00746675"/>
    <w:rsid w:val="00751FC5"/>
    <w:rsid w:val="00781DA4"/>
    <w:rsid w:val="007825CC"/>
    <w:rsid w:val="007856A2"/>
    <w:rsid w:val="0078669D"/>
    <w:rsid w:val="00786F00"/>
    <w:rsid w:val="00791FF2"/>
    <w:rsid w:val="0079281D"/>
    <w:rsid w:val="00794EA2"/>
    <w:rsid w:val="007A43CE"/>
    <w:rsid w:val="007C1FEF"/>
    <w:rsid w:val="007C46D3"/>
    <w:rsid w:val="007C6888"/>
    <w:rsid w:val="007C74F5"/>
    <w:rsid w:val="007E36F4"/>
    <w:rsid w:val="007F45E6"/>
    <w:rsid w:val="007F66F9"/>
    <w:rsid w:val="0080292B"/>
    <w:rsid w:val="008034BE"/>
    <w:rsid w:val="008056C5"/>
    <w:rsid w:val="00805C23"/>
    <w:rsid w:val="00807113"/>
    <w:rsid w:val="00810A15"/>
    <w:rsid w:val="00817DDA"/>
    <w:rsid w:val="00821011"/>
    <w:rsid w:val="008258DA"/>
    <w:rsid w:val="00827AE5"/>
    <w:rsid w:val="008308BA"/>
    <w:rsid w:val="00831D38"/>
    <w:rsid w:val="00847243"/>
    <w:rsid w:val="00856CD0"/>
    <w:rsid w:val="008642E1"/>
    <w:rsid w:val="00875A7C"/>
    <w:rsid w:val="00877383"/>
    <w:rsid w:val="00880686"/>
    <w:rsid w:val="008836F4"/>
    <w:rsid w:val="008860C1"/>
    <w:rsid w:val="008909D4"/>
    <w:rsid w:val="008942FA"/>
    <w:rsid w:val="00897A68"/>
    <w:rsid w:val="008B52A0"/>
    <w:rsid w:val="008C7243"/>
    <w:rsid w:val="008D47F0"/>
    <w:rsid w:val="008D4D55"/>
    <w:rsid w:val="008E063A"/>
    <w:rsid w:val="008F09FE"/>
    <w:rsid w:val="008F3D47"/>
    <w:rsid w:val="008F41A6"/>
    <w:rsid w:val="009108ED"/>
    <w:rsid w:val="00915CDA"/>
    <w:rsid w:val="009165CF"/>
    <w:rsid w:val="00925394"/>
    <w:rsid w:val="0092540D"/>
    <w:rsid w:val="009268A3"/>
    <w:rsid w:val="0094204C"/>
    <w:rsid w:val="00942315"/>
    <w:rsid w:val="00943CFB"/>
    <w:rsid w:val="009524F7"/>
    <w:rsid w:val="00952FA6"/>
    <w:rsid w:val="00960B34"/>
    <w:rsid w:val="00963DD8"/>
    <w:rsid w:val="00981D62"/>
    <w:rsid w:val="009879EF"/>
    <w:rsid w:val="009A2F4E"/>
    <w:rsid w:val="009A616E"/>
    <w:rsid w:val="009A69F0"/>
    <w:rsid w:val="009B102E"/>
    <w:rsid w:val="009C1092"/>
    <w:rsid w:val="009D4970"/>
    <w:rsid w:val="009D7495"/>
    <w:rsid w:val="009E2519"/>
    <w:rsid w:val="009F2769"/>
    <w:rsid w:val="009F71F8"/>
    <w:rsid w:val="009F7B4E"/>
    <w:rsid w:val="00A03C1A"/>
    <w:rsid w:val="00A07054"/>
    <w:rsid w:val="00A11155"/>
    <w:rsid w:val="00A12E02"/>
    <w:rsid w:val="00A14B89"/>
    <w:rsid w:val="00A201E2"/>
    <w:rsid w:val="00A21E6E"/>
    <w:rsid w:val="00A23AB6"/>
    <w:rsid w:val="00A279B7"/>
    <w:rsid w:val="00A27C05"/>
    <w:rsid w:val="00A316A8"/>
    <w:rsid w:val="00A341DF"/>
    <w:rsid w:val="00A36DEE"/>
    <w:rsid w:val="00A37771"/>
    <w:rsid w:val="00A51345"/>
    <w:rsid w:val="00A54831"/>
    <w:rsid w:val="00A5543C"/>
    <w:rsid w:val="00A6078F"/>
    <w:rsid w:val="00A62968"/>
    <w:rsid w:val="00A63ACE"/>
    <w:rsid w:val="00A8476F"/>
    <w:rsid w:val="00A94565"/>
    <w:rsid w:val="00A95AB8"/>
    <w:rsid w:val="00AA6DED"/>
    <w:rsid w:val="00AC0386"/>
    <w:rsid w:val="00AC62F8"/>
    <w:rsid w:val="00AD4FA7"/>
    <w:rsid w:val="00AD6388"/>
    <w:rsid w:val="00AE4AD2"/>
    <w:rsid w:val="00AE5F43"/>
    <w:rsid w:val="00AF1271"/>
    <w:rsid w:val="00AF6A23"/>
    <w:rsid w:val="00B03808"/>
    <w:rsid w:val="00B11F28"/>
    <w:rsid w:val="00B21846"/>
    <w:rsid w:val="00B27095"/>
    <w:rsid w:val="00B31728"/>
    <w:rsid w:val="00B34F9E"/>
    <w:rsid w:val="00B37484"/>
    <w:rsid w:val="00B42C55"/>
    <w:rsid w:val="00B44B23"/>
    <w:rsid w:val="00B4625A"/>
    <w:rsid w:val="00B5091C"/>
    <w:rsid w:val="00B608D5"/>
    <w:rsid w:val="00B61D81"/>
    <w:rsid w:val="00B700A5"/>
    <w:rsid w:val="00B71307"/>
    <w:rsid w:val="00B75DD0"/>
    <w:rsid w:val="00B764F8"/>
    <w:rsid w:val="00B8000E"/>
    <w:rsid w:val="00B81607"/>
    <w:rsid w:val="00B8227E"/>
    <w:rsid w:val="00B86731"/>
    <w:rsid w:val="00B90F20"/>
    <w:rsid w:val="00B91F1E"/>
    <w:rsid w:val="00BA1A19"/>
    <w:rsid w:val="00BA3246"/>
    <w:rsid w:val="00BA411F"/>
    <w:rsid w:val="00BA527A"/>
    <w:rsid w:val="00BB272C"/>
    <w:rsid w:val="00BB28CF"/>
    <w:rsid w:val="00BB4ABC"/>
    <w:rsid w:val="00BB4C9F"/>
    <w:rsid w:val="00BB5574"/>
    <w:rsid w:val="00BC12BF"/>
    <w:rsid w:val="00BC5FF1"/>
    <w:rsid w:val="00BC6C11"/>
    <w:rsid w:val="00BD2C4F"/>
    <w:rsid w:val="00BD3EF3"/>
    <w:rsid w:val="00BE300B"/>
    <w:rsid w:val="00BE51FF"/>
    <w:rsid w:val="00BE5F50"/>
    <w:rsid w:val="00BF3561"/>
    <w:rsid w:val="00BF556C"/>
    <w:rsid w:val="00C05015"/>
    <w:rsid w:val="00C05EFD"/>
    <w:rsid w:val="00C22083"/>
    <w:rsid w:val="00C32DEA"/>
    <w:rsid w:val="00C419F8"/>
    <w:rsid w:val="00C45053"/>
    <w:rsid w:val="00C50A91"/>
    <w:rsid w:val="00C52D74"/>
    <w:rsid w:val="00C5365F"/>
    <w:rsid w:val="00C55DA6"/>
    <w:rsid w:val="00C56C48"/>
    <w:rsid w:val="00C616FD"/>
    <w:rsid w:val="00C63B58"/>
    <w:rsid w:val="00C7001F"/>
    <w:rsid w:val="00C71F16"/>
    <w:rsid w:val="00C77723"/>
    <w:rsid w:val="00C800A9"/>
    <w:rsid w:val="00C80222"/>
    <w:rsid w:val="00C838BC"/>
    <w:rsid w:val="00C86826"/>
    <w:rsid w:val="00C86D2C"/>
    <w:rsid w:val="00C90C76"/>
    <w:rsid w:val="00CA10D7"/>
    <w:rsid w:val="00CA653F"/>
    <w:rsid w:val="00CB09E0"/>
    <w:rsid w:val="00CC0679"/>
    <w:rsid w:val="00CC66AD"/>
    <w:rsid w:val="00CC69E8"/>
    <w:rsid w:val="00CC6AF3"/>
    <w:rsid w:val="00CD2613"/>
    <w:rsid w:val="00CE06A2"/>
    <w:rsid w:val="00CE118B"/>
    <w:rsid w:val="00CE72BD"/>
    <w:rsid w:val="00CF0112"/>
    <w:rsid w:val="00CF34BC"/>
    <w:rsid w:val="00D07030"/>
    <w:rsid w:val="00D134F0"/>
    <w:rsid w:val="00D23E74"/>
    <w:rsid w:val="00D31DDA"/>
    <w:rsid w:val="00D44D7D"/>
    <w:rsid w:val="00D52978"/>
    <w:rsid w:val="00D57E53"/>
    <w:rsid w:val="00D60F74"/>
    <w:rsid w:val="00D632DC"/>
    <w:rsid w:val="00D708C3"/>
    <w:rsid w:val="00D72CCC"/>
    <w:rsid w:val="00D73E22"/>
    <w:rsid w:val="00D75B31"/>
    <w:rsid w:val="00D9642E"/>
    <w:rsid w:val="00DA3F09"/>
    <w:rsid w:val="00DA5E37"/>
    <w:rsid w:val="00DA7FA2"/>
    <w:rsid w:val="00DB041B"/>
    <w:rsid w:val="00DB17B2"/>
    <w:rsid w:val="00DC0672"/>
    <w:rsid w:val="00DC5CEE"/>
    <w:rsid w:val="00DD17BA"/>
    <w:rsid w:val="00DD42DB"/>
    <w:rsid w:val="00DF5973"/>
    <w:rsid w:val="00DF738A"/>
    <w:rsid w:val="00DF7501"/>
    <w:rsid w:val="00E02C5A"/>
    <w:rsid w:val="00E12A67"/>
    <w:rsid w:val="00E12E4F"/>
    <w:rsid w:val="00E13C55"/>
    <w:rsid w:val="00E14C90"/>
    <w:rsid w:val="00E16205"/>
    <w:rsid w:val="00E254D9"/>
    <w:rsid w:val="00E25ACC"/>
    <w:rsid w:val="00E41D6E"/>
    <w:rsid w:val="00E47A53"/>
    <w:rsid w:val="00E501C6"/>
    <w:rsid w:val="00E525AD"/>
    <w:rsid w:val="00E55AD1"/>
    <w:rsid w:val="00E642B3"/>
    <w:rsid w:val="00E66EBA"/>
    <w:rsid w:val="00E7049B"/>
    <w:rsid w:val="00E727F2"/>
    <w:rsid w:val="00E73A43"/>
    <w:rsid w:val="00E749F1"/>
    <w:rsid w:val="00E87116"/>
    <w:rsid w:val="00E90F22"/>
    <w:rsid w:val="00E91481"/>
    <w:rsid w:val="00E96021"/>
    <w:rsid w:val="00E97968"/>
    <w:rsid w:val="00EA7AFE"/>
    <w:rsid w:val="00EB3C20"/>
    <w:rsid w:val="00EC0B9E"/>
    <w:rsid w:val="00EC1EB5"/>
    <w:rsid w:val="00EC6B80"/>
    <w:rsid w:val="00ED0C45"/>
    <w:rsid w:val="00ED2279"/>
    <w:rsid w:val="00ED4142"/>
    <w:rsid w:val="00EF15CD"/>
    <w:rsid w:val="00EF6E21"/>
    <w:rsid w:val="00F0239E"/>
    <w:rsid w:val="00F07EFD"/>
    <w:rsid w:val="00F1164D"/>
    <w:rsid w:val="00F1200D"/>
    <w:rsid w:val="00F154DF"/>
    <w:rsid w:val="00F17C08"/>
    <w:rsid w:val="00F27D5C"/>
    <w:rsid w:val="00F323B2"/>
    <w:rsid w:val="00F340B8"/>
    <w:rsid w:val="00F37373"/>
    <w:rsid w:val="00F37C2B"/>
    <w:rsid w:val="00F43F29"/>
    <w:rsid w:val="00F506E3"/>
    <w:rsid w:val="00F509AE"/>
    <w:rsid w:val="00F52320"/>
    <w:rsid w:val="00F60941"/>
    <w:rsid w:val="00F60C52"/>
    <w:rsid w:val="00F60FAC"/>
    <w:rsid w:val="00F7110B"/>
    <w:rsid w:val="00F71A68"/>
    <w:rsid w:val="00F81080"/>
    <w:rsid w:val="00F8191D"/>
    <w:rsid w:val="00F86156"/>
    <w:rsid w:val="00F920EB"/>
    <w:rsid w:val="00F938A3"/>
    <w:rsid w:val="00F94D4D"/>
    <w:rsid w:val="00F95896"/>
    <w:rsid w:val="00FA24D1"/>
    <w:rsid w:val="00FA58AC"/>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9D7495"/>
    <w:pPr>
      <w:ind w:left="720"/>
    </w:pPr>
    <w:rPr>
      <w:rFonts w:ascii="Arial" w:hAnsi="Arial" w:cs="Arial"/>
    </w:rPr>
  </w:style>
  <w:style w:type="character" w:customStyle="1" w:styleId="BodyTextIndent3Char">
    <w:name w:val="Body Text Indent 3 Char"/>
    <w:basedOn w:val="DefaultParagraphFont"/>
    <w:link w:val="BodyTextIndent3"/>
    <w:rsid w:val="009D7495"/>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81E-2"/>
        </c:manualLayout>
      </c:layout>
    </c:title>
    <c:plotArea>
      <c:layout/>
      <c:barChart>
        <c:barDir val="col"/>
        <c:grouping val="clustered"/>
        <c:ser>
          <c:idx val="0"/>
          <c:order val="0"/>
          <c:tx>
            <c:strRef>
              <c:f>'CHART FOR COMPLETIONS'!$J$6</c:f>
              <c:strCache>
                <c:ptCount val="1"/>
                <c:pt idx="0">
                  <c:v>0679 - Health Information Management</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106</c:v>
                </c:pt>
                <c:pt idx="1">
                  <c:v>108</c:v>
                </c:pt>
                <c:pt idx="2">
                  <c:v>210</c:v>
                </c:pt>
                <c:pt idx="3">
                  <c:v>211</c:v>
                </c:pt>
              </c:numCache>
            </c:numRef>
          </c:val>
        </c:ser>
        <c:axId val="81058816"/>
        <c:axId val="46207744"/>
      </c:barChart>
      <c:catAx>
        <c:axId val="81058816"/>
        <c:scaling>
          <c:orientation val="minMax"/>
        </c:scaling>
        <c:axPos val="b"/>
        <c:tickLblPos val="nextTo"/>
        <c:crossAx val="46207744"/>
        <c:crosses val="autoZero"/>
        <c:auto val="1"/>
        <c:lblAlgn val="ctr"/>
        <c:lblOffset val="100"/>
      </c:catAx>
      <c:valAx>
        <c:axId val="46207744"/>
        <c:scaling>
          <c:orientation val="minMax"/>
        </c:scaling>
        <c:axPos val="l"/>
        <c:majorGridlines>
          <c:spPr>
            <a:ln>
              <a:solidFill>
                <a:sysClr val="windowText" lastClr="000000">
                  <a:alpha val="31000"/>
                </a:sysClr>
              </a:solidFill>
            </a:ln>
          </c:spPr>
        </c:majorGridlines>
        <c:numFmt formatCode="#,##0" sourceLinked="1"/>
        <c:tickLblPos val="nextTo"/>
        <c:crossAx val="81058816"/>
        <c:crosses val="autoZero"/>
        <c:crossBetween val="between"/>
      </c:valAx>
    </c:plotArea>
    <c:legend>
      <c:legendPos val="r"/>
      <c:layout/>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0679 - Health Information Management</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0.73700000000000065</c:v>
                </c:pt>
                <c:pt idx="1">
                  <c:v>0.78</c:v>
                </c:pt>
                <c:pt idx="2">
                  <c:v>0.75800000000000101</c:v>
                </c:pt>
                <c:pt idx="3">
                  <c:v>0.80800000000000005</c:v>
                </c:pt>
                <c:pt idx="4">
                  <c:v>0.77300000000000102</c:v>
                </c:pt>
              </c:numCache>
            </c:numRef>
          </c:val>
        </c:ser>
        <c:ser>
          <c:idx val="1"/>
          <c:order val="1"/>
          <c:tx>
            <c:strRef>
              <c:f>'CHART FOR SUCCESS RATES'!$C$7</c:f>
              <c:strCache>
                <c:ptCount val="1"/>
                <c:pt idx="0">
                  <c:v>LHS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0.77500000000000113</c:v>
                </c:pt>
                <c:pt idx="4">
                  <c:v>0.79400000000000004</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46222720"/>
        <c:axId val="46265472"/>
      </c:barChart>
      <c:catAx>
        <c:axId val="46222720"/>
        <c:scaling>
          <c:orientation val="minMax"/>
        </c:scaling>
        <c:axPos val="b"/>
        <c:numFmt formatCode="0.0%" sourceLinked="1"/>
        <c:majorTickMark val="none"/>
        <c:tickLblPos val="nextTo"/>
        <c:crossAx val="46265472"/>
        <c:crosses val="autoZero"/>
        <c:auto val="1"/>
        <c:lblAlgn val="ctr"/>
        <c:lblOffset val="100"/>
      </c:catAx>
      <c:valAx>
        <c:axId val="4626547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46222720"/>
        <c:crosses val="autoZero"/>
        <c:crossBetween val="between"/>
      </c:valAx>
    </c:plotArea>
    <c:legend>
      <c:legendPos val="r"/>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C211-B453-4BFC-AA7F-0FC9FAA5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Sinclair Community College</cp:lastModifiedBy>
  <cp:revision>2</cp:revision>
  <cp:lastPrinted>2012-05-11T12:59:00Z</cp:lastPrinted>
  <dcterms:created xsi:type="dcterms:W3CDTF">2012-09-18T17:09:00Z</dcterms:created>
  <dcterms:modified xsi:type="dcterms:W3CDTF">2012-09-18T17:09:00Z</dcterms:modified>
</cp:coreProperties>
</file>