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D25759">
        <w:rPr>
          <w:rFonts w:ascii="Arial" w:hAnsi="Arial" w:cs="Arial"/>
          <w:u w:val="single"/>
        </w:rPr>
        <w:t>Health Information Management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59315B" w:rsidRDefault="0059315B" w:rsidP="003A298D">
      <w:pPr>
        <w:ind w:firstLine="720"/>
        <w:rPr>
          <w:rFonts w:ascii="Arial" w:hAnsi="Arial" w:cs="Arial"/>
        </w:rPr>
      </w:pPr>
    </w:p>
    <w:p w:rsidR="00CC69E8" w:rsidRDefault="00B83B67" w:rsidP="003A298D">
      <w:pPr>
        <w:ind w:firstLine="720"/>
        <w:rPr>
          <w:rFonts w:ascii="Arial" w:hAnsi="Arial" w:cs="Arial"/>
        </w:rPr>
      </w:pPr>
      <w:r>
        <w:rPr>
          <w:rFonts w:ascii="Arial" w:hAnsi="Arial" w:cs="Arial"/>
        </w:rPr>
        <w:t xml:space="preserve">Enrollment in the Health Information Management </w:t>
      </w:r>
      <w:r w:rsidR="0059315B">
        <w:rPr>
          <w:rFonts w:ascii="Arial" w:hAnsi="Arial" w:cs="Arial"/>
        </w:rPr>
        <w:t xml:space="preserve">(HIM) </w:t>
      </w:r>
      <w:r>
        <w:rPr>
          <w:rFonts w:ascii="Arial" w:hAnsi="Arial" w:cs="Arial"/>
        </w:rPr>
        <w:t>program has remained fairly consistent throughout the years due to a limiting maximum enrollment (local cohort) per year of 35 students. However, beginning with the 2009 enrollment, the program added a remote cohort which allows enrollment growth beyond the 35. Students in the remote cohort must secure their own professional practice experience sites (clinical sites) outside of the surrounding Dayton (a defined 11-county) area.</w:t>
      </w:r>
      <w:r w:rsidR="00081142">
        <w:rPr>
          <w:rFonts w:ascii="Arial" w:hAnsi="Arial" w:cs="Arial"/>
        </w:rPr>
        <w:t xml:space="preserve"> The coordination of a remote cohort is a very complicated process (and a true learning experience) which has started with a small number </w:t>
      </w:r>
      <w:r w:rsidR="00294B80">
        <w:rPr>
          <w:rFonts w:ascii="Arial" w:hAnsi="Arial" w:cs="Arial"/>
        </w:rPr>
        <w:t xml:space="preserve">of 4 </w:t>
      </w:r>
      <w:r w:rsidR="00D77641">
        <w:rPr>
          <w:rFonts w:ascii="Arial" w:hAnsi="Arial" w:cs="Arial"/>
        </w:rPr>
        <w:t xml:space="preserve">starting </w:t>
      </w:r>
      <w:r w:rsidR="00081142">
        <w:rPr>
          <w:rFonts w:ascii="Arial" w:hAnsi="Arial" w:cs="Arial"/>
        </w:rPr>
        <w:t>in 2009</w:t>
      </w:r>
      <w:r w:rsidR="00294B80">
        <w:rPr>
          <w:rFonts w:ascii="Arial" w:hAnsi="Arial" w:cs="Arial"/>
        </w:rPr>
        <w:t xml:space="preserve"> and has increased to 14 starting in 2010.</w:t>
      </w:r>
    </w:p>
    <w:p w:rsidR="00294B80" w:rsidRDefault="00294B80" w:rsidP="003A298D">
      <w:pPr>
        <w:ind w:firstLine="720"/>
        <w:rPr>
          <w:rFonts w:ascii="Arial" w:hAnsi="Arial" w:cs="Arial"/>
        </w:rPr>
      </w:pPr>
    </w:p>
    <w:p w:rsidR="0059315B" w:rsidRPr="0059315B" w:rsidRDefault="00294B80" w:rsidP="0059315B">
      <w:pPr>
        <w:ind w:firstLine="720"/>
        <w:rPr>
          <w:rFonts w:ascii="Arial" w:hAnsi="Arial" w:cs="Arial"/>
        </w:rPr>
      </w:pPr>
      <w:r>
        <w:rPr>
          <w:rFonts w:ascii="Arial" w:hAnsi="Arial" w:cs="Arial"/>
        </w:rPr>
        <w:t xml:space="preserve">Interest in the program remains high with approximately </w:t>
      </w:r>
      <w:r w:rsidR="003F442B">
        <w:rPr>
          <w:rFonts w:ascii="Arial" w:hAnsi="Arial" w:cs="Arial"/>
        </w:rPr>
        <w:t xml:space="preserve">142 students with pre-requisites completed and on the local cohort waiting list. There are also 18 remote cohort students with pre-requisites completed and waiting for the fall cohort start. In addition, there are 419 students stating intent/interest in entering the program. Of these 419, 361 students are in the local cohort and are on a waiting list of approximately 2-3 years. </w:t>
      </w: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59315B" w:rsidRDefault="0059315B" w:rsidP="003A298D">
      <w:pPr>
        <w:ind w:left="360" w:firstLine="360"/>
        <w:rPr>
          <w:rFonts w:ascii="Arial" w:hAnsi="Arial" w:cs="Arial"/>
        </w:rPr>
      </w:pPr>
    </w:p>
    <w:p w:rsidR="003A298D" w:rsidRDefault="0059315B" w:rsidP="003A298D">
      <w:pPr>
        <w:ind w:left="360" w:firstLine="360"/>
        <w:rPr>
          <w:rFonts w:ascii="Arial" w:hAnsi="Arial" w:cs="Arial"/>
        </w:rPr>
      </w:pPr>
      <w:r>
        <w:rPr>
          <w:rFonts w:ascii="Arial" w:hAnsi="Arial" w:cs="Arial"/>
        </w:rPr>
        <w:t>The expectation</w:t>
      </w:r>
      <w:r w:rsidR="00493DD0">
        <w:rPr>
          <w:rFonts w:ascii="Arial" w:hAnsi="Arial" w:cs="Arial"/>
        </w:rPr>
        <w:t xml:space="preserve"> is that</w:t>
      </w:r>
      <w:r>
        <w:rPr>
          <w:rFonts w:ascii="Arial" w:hAnsi="Arial" w:cs="Arial"/>
        </w:rPr>
        <w:t xml:space="preserve"> the interest in HIM at Sinclair will remain high. According to the US Department of Labor’s Occupational Outlook for 2010 and 201</w:t>
      </w:r>
      <w:r w:rsidR="000F21D3">
        <w:rPr>
          <w:rFonts w:ascii="Arial" w:hAnsi="Arial" w:cs="Arial"/>
        </w:rPr>
        <w:t xml:space="preserve">1, the expected growth for the profession is 20% between 2008 and 2018. </w:t>
      </w:r>
    </w:p>
    <w:p w:rsidR="00FF7D7C" w:rsidRDefault="00FF7D7C" w:rsidP="003A298D">
      <w:pPr>
        <w:ind w:left="360" w:firstLine="360"/>
        <w:rPr>
          <w:rFonts w:ascii="Arial" w:hAnsi="Arial" w:cs="Arial"/>
        </w:rPr>
      </w:pPr>
    </w:p>
    <w:p w:rsidR="00FD179A" w:rsidRDefault="00FF7D7C" w:rsidP="003A298D">
      <w:pPr>
        <w:ind w:left="360" w:firstLine="360"/>
        <w:rPr>
          <w:rFonts w:ascii="Arial" w:hAnsi="Arial" w:cs="Arial"/>
        </w:rPr>
      </w:pPr>
      <w:r>
        <w:rPr>
          <w:rFonts w:ascii="Arial" w:hAnsi="Arial" w:cs="Arial"/>
        </w:rPr>
        <w:t xml:space="preserve">Sinclair is known throughout the community as providing quality HIM education and our </w:t>
      </w:r>
      <w:r w:rsidR="00D77641">
        <w:rPr>
          <w:rFonts w:ascii="Arial" w:hAnsi="Arial" w:cs="Arial"/>
        </w:rPr>
        <w:t xml:space="preserve">2009/2010 </w:t>
      </w:r>
      <w:r>
        <w:rPr>
          <w:rFonts w:ascii="Arial" w:hAnsi="Arial" w:cs="Arial"/>
        </w:rPr>
        <w:t>pass rate of 95% for the national RHIT exam exceeds the national pass rate average of 79%.</w:t>
      </w:r>
    </w:p>
    <w:p w:rsidR="00FD179A" w:rsidRDefault="00FD179A" w:rsidP="003A298D">
      <w:pPr>
        <w:ind w:left="360" w:firstLine="360"/>
        <w:rPr>
          <w:rFonts w:ascii="Arial" w:hAnsi="Arial" w:cs="Arial"/>
        </w:rPr>
      </w:pPr>
    </w:p>
    <w:p w:rsidR="00FF7D7C" w:rsidRPr="003A298D" w:rsidRDefault="00FD179A" w:rsidP="003A298D">
      <w:pPr>
        <w:ind w:left="360" w:firstLine="360"/>
        <w:rPr>
          <w:b/>
        </w:rPr>
      </w:pPr>
      <w:r>
        <w:rPr>
          <w:rFonts w:ascii="Arial" w:hAnsi="Arial" w:cs="Arial"/>
        </w:rPr>
        <w:t xml:space="preserve">In the HIM profession, the role of the HIM professional is transitioning </w:t>
      </w:r>
      <w:proofErr w:type="gramStart"/>
      <w:r>
        <w:rPr>
          <w:rFonts w:ascii="Arial" w:hAnsi="Arial" w:cs="Arial"/>
        </w:rPr>
        <w:t>to</w:t>
      </w:r>
      <w:proofErr w:type="gramEnd"/>
      <w:r>
        <w:rPr>
          <w:rFonts w:ascii="Arial" w:hAnsi="Arial" w:cs="Arial"/>
        </w:rPr>
        <w:t xml:space="preserve"> many “at-home” coders and other nontraditional electronic</w:t>
      </w:r>
      <w:r w:rsidR="00FF7D7C">
        <w:rPr>
          <w:rFonts w:ascii="Arial" w:hAnsi="Arial" w:cs="Arial"/>
        </w:rPr>
        <w:t xml:space="preserve"> </w:t>
      </w:r>
      <w:r>
        <w:rPr>
          <w:rFonts w:ascii="Arial" w:hAnsi="Arial" w:cs="Arial"/>
        </w:rPr>
        <w:t xml:space="preserve">health record support </w:t>
      </w:r>
      <w:r w:rsidR="00687741">
        <w:rPr>
          <w:rFonts w:ascii="Arial" w:hAnsi="Arial" w:cs="Arial"/>
        </w:rPr>
        <w:t xml:space="preserve">workers. In the Dayton-area, most of our graduates are employed by acute care facilities and these facilities have </w:t>
      </w:r>
      <w:r w:rsidR="00D77641">
        <w:rPr>
          <w:rFonts w:ascii="Arial" w:hAnsi="Arial" w:cs="Arial"/>
        </w:rPr>
        <w:t xml:space="preserve">essentially </w:t>
      </w:r>
      <w:r w:rsidR="00687741">
        <w:rPr>
          <w:rFonts w:ascii="Arial" w:hAnsi="Arial" w:cs="Arial"/>
        </w:rPr>
        <w:t xml:space="preserve">emerged as two major healthcare systems. The HIM professionals find the job placement “tighter” as each of these systems combine HIM </w:t>
      </w:r>
      <w:r w:rsidR="00687741">
        <w:rPr>
          <w:rFonts w:ascii="Arial" w:hAnsi="Arial" w:cs="Arial"/>
        </w:rPr>
        <w:lastRenderedPageBreak/>
        <w:t xml:space="preserve">efforts </w:t>
      </w:r>
      <w:r w:rsidR="00D77641">
        <w:rPr>
          <w:rFonts w:ascii="Arial" w:hAnsi="Arial" w:cs="Arial"/>
        </w:rPr>
        <w:t>within</w:t>
      </w:r>
      <w:r w:rsidR="00687741">
        <w:rPr>
          <w:rFonts w:ascii="Arial" w:hAnsi="Arial" w:cs="Arial"/>
        </w:rPr>
        <w:t xml:space="preserve"> their networks</w:t>
      </w:r>
      <w:proofErr w:type="gramStart"/>
      <w:r w:rsidR="00687741">
        <w:rPr>
          <w:rFonts w:ascii="Arial" w:hAnsi="Arial" w:cs="Arial"/>
        </w:rPr>
        <w:t xml:space="preserve">.  </w:t>
      </w:r>
      <w:proofErr w:type="gramEnd"/>
      <w:r w:rsidR="00687741">
        <w:rPr>
          <w:rFonts w:ascii="Arial" w:hAnsi="Arial" w:cs="Arial"/>
        </w:rPr>
        <w:t>Job placement in for 2009 graduates was at 86.6% and has dropped to 81.25% for 2010 graduates.</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070662">
        <w:rPr>
          <w:rFonts w:ascii="Arial" w:hAnsi="Arial" w:cs="Arial"/>
        </w:rPr>
        <w:t>2007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070662" w:rsidP="00D77641">
      <w:pPr>
        <w:pStyle w:val="ListParagraph"/>
        <w:numPr>
          <w:ilvl w:val="0"/>
          <w:numId w:val="22"/>
        </w:numPr>
        <w:rPr>
          <w:rFonts w:ascii="Arial" w:hAnsi="Arial" w:cs="Arial"/>
        </w:rPr>
      </w:pPr>
      <w:r>
        <w:rPr>
          <w:rFonts w:ascii="Arial" w:hAnsi="Arial" w:cs="Arial"/>
        </w:rPr>
        <w:t>We have proposed an entirely web-based cohort of the HIM associate degree program.</w:t>
      </w:r>
    </w:p>
    <w:p w:rsidR="00F615AB" w:rsidRDefault="00F615AB" w:rsidP="0094204C">
      <w:pPr>
        <w:pStyle w:val="ListParagraph"/>
        <w:rPr>
          <w:rFonts w:ascii="Arial" w:hAnsi="Arial" w:cs="Arial"/>
        </w:rPr>
      </w:pPr>
    </w:p>
    <w:p w:rsidR="00F615AB" w:rsidRDefault="00F615AB" w:rsidP="00D77641">
      <w:pPr>
        <w:pStyle w:val="ListParagraph"/>
        <w:numPr>
          <w:ilvl w:val="0"/>
          <w:numId w:val="22"/>
        </w:numPr>
        <w:rPr>
          <w:rFonts w:ascii="Arial" w:hAnsi="Arial" w:cs="Arial"/>
        </w:rPr>
      </w:pPr>
      <w:r>
        <w:rPr>
          <w:rFonts w:ascii="Arial" w:hAnsi="Arial" w:cs="Arial"/>
        </w:rPr>
        <w:t>There are presently nine courses in the Medical Office Coding Certificate and all but BIO 107 is available online.</w:t>
      </w:r>
      <w:r w:rsidR="00FC3070">
        <w:rPr>
          <w:rFonts w:ascii="Arial" w:hAnsi="Arial" w:cs="Arial"/>
        </w:rPr>
        <w:t xml:space="preserve"> If this obstacle is overcome, there might be significant opportunity for an increase in enrollment.</w:t>
      </w:r>
    </w:p>
    <w:p w:rsidR="00070662" w:rsidRDefault="00070662" w:rsidP="0094204C">
      <w:pPr>
        <w:pStyle w:val="ListParagraph"/>
        <w:rPr>
          <w:rFonts w:ascii="Arial" w:hAnsi="Arial" w:cs="Arial"/>
        </w:rPr>
      </w:pPr>
    </w:p>
    <w:p w:rsidR="00070662" w:rsidRDefault="00070662" w:rsidP="00D77641">
      <w:pPr>
        <w:pStyle w:val="ListParagraph"/>
        <w:numPr>
          <w:ilvl w:val="0"/>
          <w:numId w:val="22"/>
        </w:numPr>
        <w:rPr>
          <w:rFonts w:ascii="Arial" w:hAnsi="Arial" w:cs="Arial"/>
        </w:rPr>
      </w:pPr>
      <w:r>
        <w:rPr>
          <w:rFonts w:ascii="Arial" w:hAnsi="Arial" w:cs="Arial"/>
        </w:rPr>
        <w:t>The success rate in HIM121 (63% for the last 3 years) is undesirable. One of our goals for this top-45-enrollment course is to look at this course and examine our learning activities to determine if any changes could be made to improve student success.</w:t>
      </w:r>
    </w:p>
    <w:p w:rsidR="0056424F" w:rsidRDefault="0056424F" w:rsidP="0094204C">
      <w:pPr>
        <w:pStyle w:val="ListParagraph"/>
        <w:rPr>
          <w:rFonts w:ascii="Arial" w:hAnsi="Arial" w:cs="Arial"/>
        </w:rPr>
      </w:pPr>
    </w:p>
    <w:p w:rsidR="0056424F" w:rsidRDefault="0056424F" w:rsidP="00D77641">
      <w:pPr>
        <w:pStyle w:val="ListParagraph"/>
        <w:numPr>
          <w:ilvl w:val="0"/>
          <w:numId w:val="22"/>
        </w:numPr>
      </w:pPr>
      <w:r>
        <w:rPr>
          <w:rFonts w:ascii="Arial" w:hAnsi="Arial" w:cs="Arial"/>
        </w:rPr>
        <w:t>We implemented a mid-curriculum capstone course (HIM178) in the summer between the first-year and second-year course work. We will assess its success</w:t>
      </w:r>
      <w:r w:rsidR="00445215">
        <w:rPr>
          <w:rFonts w:ascii="Arial" w:hAnsi="Arial" w:cs="Arial"/>
        </w:rPr>
        <w:t>.</w:t>
      </w:r>
      <w:r>
        <w:rPr>
          <w:rFonts w:ascii="Arial" w:hAnsi="Arial" w:cs="Arial"/>
        </w:rPr>
        <w:t xml:space="preserve">  </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D77641" w:rsidRDefault="00D77641" w:rsidP="00320CDE">
      <w:pPr>
        <w:pStyle w:val="ListParagraph"/>
        <w:rPr>
          <w:rFonts w:ascii="Arial" w:hAnsi="Arial" w:cs="Arial"/>
        </w:rPr>
      </w:pPr>
    </w:p>
    <w:p w:rsidR="00320CDE" w:rsidRDefault="008D7806" w:rsidP="00320CDE">
      <w:pPr>
        <w:pStyle w:val="ListParagraph"/>
      </w:pPr>
      <w:r>
        <w:rPr>
          <w:rFonts w:ascii="Arial" w:hAnsi="Arial" w:cs="Arial"/>
        </w:rPr>
        <w:t xml:space="preserve">While the other goals have been important and </w:t>
      </w:r>
      <w:r w:rsidR="00D77641">
        <w:rPr>
          <w:rFonts w:ascii="Arial" w:hAnsi="Arial" w:cs="Arial"/>
        </w:rPr>
        <w:t xml:space="preserve">essentially </w:t>
      </w:r>
      <w:r>
        <w:rPr>
          <w:rFonts w:ascii="Arial" w:hAnsi="Arial" w:cs="Arial"/>
        </w:rPr>
        <w:t>completed, o</w:t>
      </w:r>
      <w:r w:rsidR="0056424F">
        <w:rPr>
          <w:rFonts w:ascii="Arial" w:hAnsi="Arial" w:cs="Arial"/>
        </w:rPr>
        <w:t xml:space="preserve">ur </w:t>
      </w:r>
      <w:r w:rsidR="00D77641">
        <w:rPr>
          <w:rFonts w:ascii="Arial" w:hAnsi="Arial" w:cs="Arial"/>
        </w:rPr>
        <w:t>focus</w:t>
      </w:r>
      <w:r w:rsidR="0056424F">
        <w:rPr>
          <w:rFonts w:ascii="Arial" w:hAnsi="Arial" w:cs="Arial"/>
        </w:rPr>
        <w:t xml:space="preserve"> over the last several years has been concentrated on creating the entirely web-based course curriculum</w:t>
      </w:r>
      <w:r>
        <w:rPr>
          <w:rFonts w:ascii="Arial" w:hAnsi="Arial" w:cs="Arial"/>
        </w:rPr>
        <w:t>.</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D77641" w:rsidRDefault="00D77641" w:rsidP="000337E6">
      <w:pPr>
        <w:pStyle w:val="ListParagraph"/>
        <w:rPr>
          <w:rFonts w:ascii="Arial" w:hAnsi="Arial" w:cs="Arial"/>
        </w:rPr>
      </w:pPr>
    </w:p>
    <w:p w:rsidR="000337E6" w:rsidRDefault="006D0FE2" w:rsidP="00D77641">
      <w:pPr>
        <w:pStyle w:val="ListParagraph"/>
        <w:numPr>
          <w:ilvl w:val="0"/>
          <w:numId w:val="23"/>
        </w:numPr>
        <w:rPr>
          <w:rFonts w:ascii="Arial" w:hAnsi="Arial" w:cs="Arial"/>
        </w:rPr>
      </w:pPr>
      <w:r>
        <w:rPr>
          <w:rFonts w:ascii="Arial" w:hAnsi="Arial" w:cs="Arial"/>
        </w:rPr>
        <w:t>Entirely web-based cohort: Completed August, 2010</w:t>
      </w:r>
    </w:p>
    <w:p w:rsidR="006D0FE2" w:rsidRDefault="006D0FE2" w:rsidP="000337E6">
      <w:pPr>
        <w:pStyle w:val="ListParagraph"/>
        <w:rPr>
          <w:rFonts w:ascii="Arial" w:hAnsi="Arial" w:cs="Arial"/>
        </w:rPr>
      </w:pPr>
    </w:p>
    <w:p w:rsidR="006D0FE2" w:rsidRDefault="006D0FE2" w:rsidP="00D77641">
      <w:pPr>
        <w:pStyle w:val="ListParagraph"/>
        <w:numPr>
          <w:ilvl w:val="0"/>
          <w:numId w:val="23"/>
        </w:numPr>
        <w:rPr>
          <w:rFonts w:ascii="Arial" w:hAnsi="Arial" w:cs="Arial"/>
        </w:rPr>
      </w:pPr>
      <w:r>
        <w:rPr>
          <w:rFonts w:ascii="Arial" w:hAnsi="Arial" w:cs="Arial"/>
        </w:rPr>
        <w:t>BIO 107 available online: Completed 2008</w:t>
      </w:r>
    </w:p>
    <w:p w:rsidR="006D0FE2" w:rsidRDefault="006D0FE2" w:rsidP="000337E6">
      <w:pPr>
        <w:pStyle w:val="ListParagraph"/>
        <w:rPr>
          <w:rFonts w:ascii="Arial" w:hAnsi="Arial" w:cs="Arial"/>
        </w:rPr>
      </w:pPr>
    </w:p>
    <w:p w:rsidR="003B743D" w:rsidRDefault="006D0FE2" w:rsidP="00D77641">
      <w:pPr>
        <w:pStyle w:val="ListParagraph"/>
        <w:numPr>
          <w:ilvl w:val="0"/>
          <w:numId w:val="23"/>
        </w:numPr>
        <w:rPr>
          <w:rFonts w:ascii="Arial" w:hAnsi="Arial" w:cs="Arial"/>
        </w:rPr>
      </w:pPr>
      <w:r>
        <w:rPr>
          <w:rFonts w:ascii="Arial" w:hAnsi="Arial" w:cs="Arial"/>
        </w:rPr>
        <w:lastRenderedPageBreak/>
        <w:t xml:space="preserve">Enrollment growth in Medical Office Coding Certificate (now known as Coding and Billing Specialist Certificate): </w:t>
      </w:r>
      <w:r w:rsidR="0084699A">
        <w:rPr>
          <w:rFonts w:ascii="Arial" w:hAnsi="Arial" w:cs="Arial"/>
        </w:rPr>
        <w:t>4</w:t>
      </w:r>
      <w:r w:rsidR="005A6FB0">
        <w:rPr>
          <w:rFonts w:ascii="Arial" w:hAnsi="Arial" w:cs="Arial"/>
        </w:rPr>
        <w:t>-</w:t>
      </w:r>
      <w:r w:rsidR="0084699A">
        <w:rPr>
          <w:rFonts w:ascii="Arial" w:hAnsi="Arial" w:cs="Arial"/>
        </w:rPr>
        <w:t xml:space="preserve">year trend data shows number of degrees issued:  06/07 = 40, 07/08 = 76, 08/09 = 79, 09/10 </w:t>
      </w:r>
      <w:r w:rsidR="00445215">
        <w:rPr>
          <w:rFonts w:ascii="Arial" w:hAnsi="Arial" w:cs="Arial"/>
        </w:rPr>
        <w:t>= 136</w:t>
      </w:r>
    </w:p>
    <w:p w:rsidR="003B743D" w:rsidRDefault="003B743D" w:rsidP="000337E6">
      <w:pPr>
        <w:pStyle w:val="ListParagraph"/>
        <w:rPr>
          <w:rFonts w:ascii="Arial" w:hAnsi="Arial" w:cs="Arial"/>
        </w:rPr>
      </w:pPr>
    </w:p>
    <w:p w:rsidR="006D0FE2" w:rsidRDefault="003B743D" w:rsidP="00D77641">
      <w:pPr>
        <w:pStyle w:val="ListParagraph"/>
        <w:numPr>
          <w:ilvl w:val="0"/>
          <w:numId w:val="23"/>
        </w:numPr>
        <w:rPr>
          <w:rFonts w:ascii="Arial" w:hAnsi="Arial"/>
        </w:rPr>
      </w:pPr>
      <w:r>
        <w:rPr>
          <w:rFonts w:ascii="Arial" w:hAnsi="Arial" w:cs="Arial"/>
        </w:rPr>
        <w:t xml:space="preserve">Success rate for HIM 121: </w:t>
      </w:r>
      <w:r w:rsidRPr="00FE4EA2">
        <w:rPr>
          <w:rFonts w:ascii="Arial" w:hAnsi="Arial"/>
        </w:rPr>
        <w:t>6</w:t>
      </w:r>
      <w:r>
        <w:rPr>
          <w:rFonts w:ascii="Arial" w:hAnsi="Arial"/>
        </w:rPr>
        <w:t>3</w:t>
      </w:r>
      <w:r w:rsidRPr="00FE4EA2">
        <w:rPr>
          <w:rFonts w:ascii="Arial" w:hAnsi="Arial"/>
        </w:rPr>
        <w:t xml:space="preserve">% in 2006 to 79% in 2009 </w:t>
      </w:r>
    </w:p>
    <w:p w:rsidR="00445215" w:rsidRDefault="00445215" w:rsidP="000337E6">
      <w:pPr>
        <w:pStyle w:val="ListParagraph"/>
        <w:rPr>
          <w:rFonts w:ascii="Arial" w:hAnsi="Arial"/>
        </w:rPr>
      </w:pPr>
    </w:p>
    <w:p w:rsidR="00445215" w:rsidRDefault="00445215" w:rsidP="00D77641">
      <w:pPr>
        <w:pStyle w:val="ListParagraph"/>
        <w:numPr>
          <w:ilvl w:val="0"/>
          <w:numId w:val="23"/>
        </w:numPr>
        <w:rPr>
          <w:rFonts w:ascii="Arial" w:hAnsi="Arial"/>
        </w:rPr>
      </w:pPr>
      <w:r>
        <w:rPr>
          <w:rFonts w:ascii="Arial" w:hAnsi="Arial"/>
        </w:rPr>
        <w:t>Success rate of mid-curriculum capstone course: Pass rates on national RHIT exam</w:t>
      </w:r>
      <w:r w:rsidR="00C80221">
        <w:rPr>
          <w:rFonts w:ascii="Arial" w:hAnsi="Arial"/>
        </w:rPr>
        <w:t>:</w:t>
      </w:r>
      <w:r>
        <w:rPr>
          <w:rFonts w:ascii="Arial" w:hAnsi="Arial"/>
        </w:rPr>
        <w:t xml:space="preserve"> </w:t>
      </w:r>
    </w:p>
    <w:p w:rsidR="00445215" w:rsidRDefault="00445215" w:rsidP="000337E6">
      <w:pPr>
        <w:pStyle w:val="ListParagraph"/>
        <w:rPr>
          <w:rFonts w:ascii="Arial" w:hAnsi="Arial"/>
        </w:rPr>
      </w:pPr>
    </w:p>
    <w:tbl>
      <w:tblPr>
        <w:tblStyle w:val="TableGrid"/>
        <w:tblW w:w="0" w:type="auto"/>
        <w:tblInd w:w="1098" w:type="dxa"/>
        <w:tblLook w:val="04A0"/>
      </w:tblPr>
      <w:tblGrid>
        <w:gridCol w:w="2250"/>
        <w:gridCol w:w="2700"/>
        <w:gridCol w:w="3240"/>
      </w:tblGrid>
      <w:tr w:rsidR="00445215" w:rsidTr="00D77641">
        <w:tc>
          <w:tcPr>
            <w:tcW w:w="2250" w:type="dxa"/>
          </w:tcPr>
          <w:p w:rsidR="00445215" w:rsidRDefault="00445215" w:rsidP="00445215">
            <w:pPr>
              <w:pStyle w:val="ListParagraph"/>
              <w:ind w:left="0"/>
              <w:jc w:val="center"/>
            </w:pPr>
          </w:p>
        </w:tc>
        <w:tc>
          <w:tcPr>
            <w:tcW w:w="2700" w:type="dxa"/>
          </w:tcPr>
          <w:p w:rsidR="00445215" w:rsidRDefault="00445215" w:rsidP="00445215">
            <w:pPr>
              <w:pStyle w:val="ListParagraph"/>
              <w:ind w:left="0"/>
              <w:jc w:val="center"/>
            </w:pPr>
            <w:r>
              <w:t>National Annual Pass Rate</w:t>
            </w:r>
          </w:p>
        </w:tc>
        <w:tc>
          <w:tcPr>
            <w:tcW w:w="3240" w:type="dxa"/>
          </w:tcPr>
          <w:p w:rsidR="00445215" w:rsidRDefault="00445215" w:rsidP="00445215">
            <w:pPr>
              <w:pStyle w:val="ListParagraph"/>
              <w:ind w:left="0"/>
              <w:jc w:val="center"/>
            </w:pPr>
            <w:r>
              <w:t>SCC Program Annual Pass Rate</w:t>
            </w:r>
          </w:p>
        </w:tc>
      </w:tr>
      <w:tr w:rsidR="00445215" w:rsidTr="00D77641">
        <w:tc>
          <w:tcPr>
            <w:tcW w:w="2250" w:type="dxa"/>
          </w:tcPr>
          <w:p w:rsidR="00445215" w:rsidRDefault="00445215" w:rsidP="00445215">
            <w:pPr>
              <w:pStyle w:val="ListParagraph"/>
              <w:ind w:left="0"/>
              <w:jc w:val="center"/>
            </w:pPr>
            <w:r>
              <w:t>10/1/09-9/30/10</w:t>
            </w:r>
          </w:p>
        </w:tc>
        <w:tc>
          <w:tcPr>
            <w:tcW w:w="2700" w:type="dxa"/>
          </w:tcPr>
          <w:p w:rsidR="00445215" w:rsidRDefault="00445215" w:rsidP="00445215">
            <w:pPr>
              <w:pStyle w:val="ListParagraph"/>
              <w:ind w:left="0"/>
              <w:jc w:val="center"/>
            </w:pPr>
            <w:r>
              <w:t>79</w:t>
            </w:r>
            <w:r w:rsidR="005A6FB0">
              <w:t>%</w:t>
            </w:r>
          </w:p>
        </w:tc>
        <w:tc>
          <w:tcPr>
            <w:tcW w:w="3240" w:type="dxa"/>
          </w:tcPr>
          <w:p w:rsidR="00445215" w:rsidRDefault="00445215" w:rsidP="00445215">
            <w:pPr>
              <w:pStyle w:val="ListParagraph"/>
              <w:ind w:left="0"/>
              <w:jc w:val="center"/>
            </w:pPr>
            <w:r>
              <w:t>95</w:t>
            </w:r>
            <w:r w:rsidR="005A6FB0">
              <w:t>%</w:t>
            </w:r>
          </w:p>
        </w:tc>
      </w:tr>
      <w:tr w:rsidR="00445215" w:rsidTr="00D77641">
        <w:tc>
          <w:tcPr>
            <w:tcW w:w="2250" w:type="dxa"/>
          </w:tcPr>
          <w:p w:rsidR="00445215" w:rsidRDefault="00445215" w:rsidP="00445215">
            <w:pPr>
              <w:pStyle w:val="ListParagraph"/>
              <w:ind w:left="0"/>
              <w:jc w:val="center"/>
            </w:pPr>
            <w:r>
              <w:t>10/1/08-9/30/09</w:t>
            </w:r>
          </w:p>
        </w:tc>
        <w:tc>
          <w:tcPr>
            <w:tcW w:w="2700" w:type="dxa"/>
          </w:tcPr>
          <w:p w:rsidR="00445215" w:rsidRDefault="00445215" w:rsidP="00445215">
            <w:pPr>
              <w:pStyle w:val="ListParagraph"/>
              <w:ind w:left="0"/>
              <w:jc w:val="center"/>
            </w:pPr>
            <w:r>
              <w:t>86</w:t>
            </w:r>
            <w:r w:rsidR="005A6FB0">
              <w:t>%</w:t>
            </w:r>
          </w:p>
        </w:tc>
        <w:tc>
          <w:tcPr>
            <w:tcW w:w="3240" w:type="dxa"/>
          </w:tcPr>
          <w:p w:rsidR="00445215" w:rsidRDefault="00445215" w:rsidP="00445215">
            <w:pPr>
              <w:pStyle w:val="ListParagraph"/>
              <w:ind w:left="0"/>
              <w:jc w:val="center"/>
            </w:pPr>
            <w:r>
              <w:t>95.7</w:t>
            </w:r>
            <w:r w:rsidR="005A6FB0">
              <w:t>%</w:t>
            </w:r>
          </w:p>
        </w:tc>
      </w:tr>
      <w:tr w:rsidR="00445215" w:rsidTr="00D77641">
        <w:tc>
          <w:tcPr>
            <w:tcW w:w="2250" w:type="dxa"/>
          </w:tcPr>
          <w:p w:rsidR="00445215" w:rsidRDefault="00445215" w:rsidP="005A6FB0">
            <w:pPr>
              <w:pStyle w:val="ListParagraph"/>
              <w:ind w:left="0"/>
              <w:jc w:val="center"/>
            </w:pPr>
            <w:r>
              <w:t>10/1/0</w:t>
            </w:r>
            <w:r w:rsidR="005A6FB0">
              <w:t>7</w:t>
            </w:r>
            <w:r>
              <w:t>-9/30/08</w:t>
            </w:r>
          </w:p>
        </w:tc>
        <w:tc>
          <w:tcPr>
            <w:tcW w:w="2700" w:type="dxa"/>
          </w:tcPr>
          <w:p w:rsidR="00445215" w:rsidRDefault="00445215" w:rsidP="00445215">
            <w:pPr>
              <w:pStyle w:val="ListParagraph"/>
              <w:ind w:left="0"/>
              <w:jc w:val="center"/>
            </w:pPr>
            <w:r>
              <w:t>78</w:t>
            </w:r>
            <w:r w:rsidR="005A6FB0">
              <w:t>%</w:t>
            </w:r>
          </w:p>
        </w:tc>
        <w:tc>
          <w:tcPr>
            <w:tcW w:w="3240" w:type="dxa"/>
          </w:tcPr>
          <w:p w:rsidR="00445215" w:rsidRDefault="00445215" w:rsidP="00445215">
            <w:pPr>
              <w:pStyle w:val="ListParagraph"/>
              <w:ind w:left="0"/>
              <w:jc w:val="center"/>
            </w:pPr>
            <w:r>
              <w:t>83</w:t>
            </w:r>
            <w:r w:rsidR="005A6FB0">
              <w:t>%</w:t>
            </w:r>
          </w:p>
        </w:tc>
      </w:tr>
    </w:tbl>
    <w:p w:rsidR="00445215" w:rsidRDefault="00445215" w:rsidP="000337E6">
      <w:pPr>
        <w:pStyle w:val="ListParagraph"/>
      </w:pP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5A6FB0" w:rsidRDefault="005A6FB0" w:rsidP="0094204C">
      <w:pPr>
        <w:pStyle w:val="ListParagraph"/>
        <w:rPr>
          <w:rFonts w:ascii="Arial" w:hAnsi="Arial" w:cs="Arial"/>
          <w:b/>
        </w:rPr>
      </w:pPr>
    </w:p>
    <w:p w:rsidR="000337E6" w:rsidRDefault="00DF7AA4" w:rsidP="0094204C">
      <w:pPr>
        <w:pStyle w:val="ListParagraph"/>
        <w:rPr>
          <w:rFonts w:ascii="Arial" w:hAnsi="Arial" w:cs="Arial"/>
        </w:rPr>
      </w:pPr>
      <w:r w:rsidRPr="00974ED8">
        <w:rPr>
          <w:rFonts w:ascii="Arial" w:hAnsi="Arial" w:cs="Arial"/>
          <w:b/>
        </w:rPr>
        <w:t>Recommendation</w:t>
      </w:r>
      <w:r>
        <w:rPr>
          <w:rFonts w:ascii="Arial" w:hAnsi="Arial" w:cs="Arial"/>
        </w:rPr>
        <w:t xml:space="preserve"> for the department to continue </w:t>
      </w:r>
      <w:proofErr w:type="gramStart"/>
      <w:r>
        <w:rPr>
          <w:rFonts w:ascii="Arial" w:hAnsi="Arial" w:cs="Arial"/>
        </w:rPr>
        <w:t>to closely monitor</w:t>
      </w:r>
      <w:proofErr w:type="gramEnd"/>
      <w:r>
        <w:rPr>
          <w:rFonts w:ascii="Arial" w:hAnsi="Arial" w:cs="Arial"/>
        </w:rPr>
        <w:t xml:space="preserve"> the balance of graduates and job opportunities. The department is encouraged to gather and assess data </w:t>
      </w:r>
      <w:proofErr w:type="spellStart"/>
      <w:r>
        <w:rPr>
          <w:rFonts w:ascii="Arial" w:hAnsi="Arial" w:cs="Arial"/>
        </w:rPr>
        <w:t>where</w:t>
      </w:r>
      <w:proofErr w:type="spellEnd"/>
      <w:r>
        <w:rPr>
          <w:rFonts w:ascii="Arial" w:hAnsi="Arial" w:cs="Arial"/>
        </w:rPr>
        <w:t xml:space="preserve"> available regarding anticipated demand for the program. </w:t>
      </w:r>
      <w:r w:rsidRPr="00974ED8">
        <w:rPr>
          <w:rFonts w:ascii="Arial" w:hAnsi="Arial" w:cs="Arial"/>
          <w:b/>
        </w:rPr>
        <w:t>Progress:</w:t>
      </w:r>
      <w:r>
        <w:rPr>
          <w:rFonts w:ascii="Arial" w:hAnsi="Arial" w:cs="Arial"/>
        </w:rPr>
        <w:t xml:space="preserve">  Graduate employment is measured annually. Community, employer and professional demands are obtained via bi-annual HIM Advisory Committee </w:t>
      </w:r>
      <w:r w:rsidR="00493DD0">
        <w:rPr>
          <w:rFonts w:ascii="Arial" w:hAnsi="Arial" w:cs="Arial"/>
        </w:rPr>
        <w:t xml:space="preserve">communication </w:t>
      </w:r>
      <w:r>
        <w:rPr>
          <w:rFonts w:ascii="Arial" w:hAnsi="Arial" w:cs="Arial"/>
        </w:rPr>
        <w:t>which is comprised of community HIM members and other members of vested interest.</w:t>
      </w:r>
    </w:p>
    <w:p w:rsidR="00DF7AA4" w:rsidRDefault="00DF7AA4" w:rsidP="0094204C">
      <w:pPr>
        <w:pStyle w:val="ListParagraph"/>
        <w:rPr>
          <w:rFonts w:ascii="Arial" w:hAnsi="Arial" w:cs="Arial"/>
        </w:rPr>
      </w:pPr>
    </w:p>
    <w:p w:rsidR="00974ED8" w:rsidRDefault="00974ED8" w:rsidP="0094204C">
      <w:pPr>
        <w:pStyle w:val="ListParagraph"/>
        <w:rPr>
          <w:rFonts w:ascii="Arial" w:hAnsi="Arial" w:cs="Arial"/>
        </w:rPr>
      </w:pPr>
      <w:r w:rsidRPr="00974ED8">
        <w:rPr>
          <w:rFonts w:ascii="Arial" w:hAnsi="Arial" w:cs="Arial"/>
          <w:b/>
        </w:rPr>
        <w:t>Recommendation</w:t>
      </w:r>
      <w:r>
        <w:rPr>
          <w:rFonts w:ascii="Arial" w:hAnsi="Arial" w:cs="Arial"/>
        </w:rPr>
        <w:t xml:space="preserve"> to articulate the SCC program with the baccalaureate degree completion program at the University of Cincinnati</w:t>
      </w:r>
      <w:proofErr w:type="gramStart"/>
      <w:r>
        <w:rPr>
          <w:rFonts w:ascii="Arial" w:hAnsi="Arial" w:cs="Arial"/>
        </w:rPr>
        <w:t xml:space="preserve">.  </w:t>
      </w:r>
      <w:proofErr w:type="gramEnd"/>
      <w:r w:rsidRPr="00974ED8">
        <w:rPr>
          <w:rFonts w:ascii="Arial" w:hAnsi="Arial" w:cs="Arial"/>
          <w:b/>
        </w:rPr>
        <w:t>Progress:</w:t>
      </w:r>
      <w:r>
        <w:rPr>
          <w:rFonts w:ascii="Arial" w:hAnsi="Arial" w:cs="Arial"/>
          <w:b/>
        </w:rPr>
        <w:t xml:space="preserve"> </w:t>
      </w:r>
      <w:r w:rsidRPr="00974ED8">
        <w:rPr>
          <w:rFonts w:ascii="Arial" w:hAnsi="Arial" w:cs="Arial"/>
        </w:rPr>
        <w:t>Completed 9/1/1</w:t>
      </w:r>
      <w:r>
        <w:rPr>
          <w:rFonts w:ascii="Arial" w:hAnsi="Arial" w:cs="Arial"/>
        </w:rPr>
        <w:t>0.</w:t>
      </w:r>
    </w:p>
    <w:p w:rsidR="00974ED8" w:rsidRDefault="00974ED8" w:rsidP="0094204C">
      <w:pPr>
        <w:pStyle w:val="ListParagraph"/>
        <w:rPr>
          <w:rFonts w:ascii="Arial" w:hAnsi="Arial" w:cs="Arial"/>
        </w:rPr>
      </w:pPr>
    </w:p>
    <w:p w:rsidR="00974ED8" w:rsidRDefault="00116BB4" w:rsidP="0094204C">
      <w:pPr>
        <w:pStyle w:val="ListParagraph"/>
        <w:rPr>
          <w:rFonts w:ascii="Arial" w:hAnsi="Arial" w:cs="Arial"/>
        </w:rPr>
      </w:pPr>
      <w:proofErr w:type="gramStart"/>
      <w:r w:rsidRPr="00974ED8">
        <w:rPr>
          <w:rFonts w:ascii="Arial" w:hAnsi="Arial" w:cs="Arial"/>
          <w:b/>
        </w:rPr>
        <w:t>Recommendation</w:t>
      </w:r>
      <w:r>
        <w:rPr>
          <w:rFonts w:ascii="Arial" w:hAnsi="Arial" w:cs="Arial"/>
          <w:b/>
        </w:rPr>
        <w:t xml:space="preserve"> </w:t>
      </w:r>
      <w:r w:rsidR="002C66FD" w:rsidRPr="002C66FD">
        <w:rPr>
          <w:rFonts w:ascii="Arial" w:hAnsi="Arial" w:cs="Arial"/>
        </w:rPr>
        <w:t>to</w:t>
      </w:r>
      <w:r w:rsidR="002C66FD">
        <w:rPr>
          <w:rFonts w:ascii="Arial" w:hAnsi="Arial" w:cs="Arial"/>
          <w:b/>
        </w:rPr>
        <w:t xml:space="preserve"> </w:t>
      </w:r>
      <w:r>
        <w:rPr>
          <w:rFonts w:ascii="Arial" w:hAnsi="Arial" w:cs="Arial"/>
        </w:rPr>
        <w:t>a</w:t>
      </w:r>
      <w:r w:rsidR="002C66FD">
        <w:rPr>
          <w:rFonts w:ascii="Arial" w:hAnsi="Arial" w:cs="Arial"/>
        </w:rPr>
        <w:t>ss</w:t>
      </w:r>
      <w:r>
        <w:rPr>
          <w:rFonts w:ascii="Arial" w:hAnsi="Arial" w:cs="Arial"/>
        </w:rPr>
        <w:t>ess the feasibility of offering Sinclair’s program fully online.</w:t>
      </w:r>
      <w:proofErr w:type="gramEnd"/>
      <w:r>
        <w:rPr>
          <w:rFonts w:ascii="Arial" w:hAnsi="Arial" w:cs="Arial"/>
        </w:rPr>
        <w:t xml:space="preserve"> </w:t>
      </w:r>
      <w:r w:rsidRPr="0052257E">
        <w:rPr>
          <w:rFonts w:ascii="Arial" w:hAnsi="Arial" w:cs="Arial"/>
          <w:b/>
        </w:rPr>
        <w:t>Progress:</w:t>
      </w:r>
      <w:r>
        <w:rPr>
          <w:rFonts w:ascii="Arial" w:hAnsi="Arial" w:cs="Arial"/>
        </w:rPr>
        <w:t xml:space="preserve">  Completed development of fully-online courses 8/2010.</w:t>
      </w:r>
    </w:p>
    <w:p w:rsidR="00116BB4" w:rsidRDefault="00116BB4" w:rsidP="0094204C">
      <w:pPr>
        <w:pStyle w:val="ListParagraph"/>
      </w:pPr>
    </w:p>
    <w:p w:rsidR="00974ED8" w:rsidRDefault="00116BB4" w:rsidP="0094204C">
      <w:pPr>
        <w:pStyle w:val="ListParagraph"/>
        <w:rPr>
          <w:rFonts w:ascii="Arial" w:hAnsi="Arial" w:cs="Arial"/>
        </w:rPr>
      </w:pPr>
      <w:proofErr w:type="gramStart"/>
      <w:r w:rsidRPr="00974ED8">
        <w:rPr>
          <w:rFonts w:ascii="Arial" w:hAnsi="Arial" w:cs="Arial"/>
          <w:b/>
        </w:rPr>
        <w:t>Recommendation</w:t>
      </w:r>
      <w:r>
        <w:rPr>
          <w:rFonts w:ascii="Arial" w:hAnsi="Arial" w:cs="Arial"/>
          <w:b/>
        </w:rPr>
        <w:t xml:space="preserve"> </w:t>
      </w:r>
      <w:r w:rsidRPr="00116BB4">
        <w:rPr>
          <w:rFonts w:ascii="Arial" w:hAnsi="Arial" w:cs="Arial"/>
        </w:rPr>
        <w:t>to develop a succession plan to ensure continuing strong leadership for the department.</w:t>
      </w:r>
      <w:proofErr w:type="gramEnd"/>
      <w:r>
        <w:rPr>
          <w:rFonts w:ascii="Arial" w:hAnsi="Arial" w:cs="Arial"/>
        </w:rPr>
        <w:t xml:space="preserve"> </w:t>
      </w:r>
      <w:r w:rsidRPr="00116BB4">
        <w:rPr>
          <w:rFonts w:ascii="Arial" w:hAnsi="Arial" w:cs="Arial"/>
          <w:b/>
        </w:rPr>
        <w:t>Progress:</w:t>
      </w:r>
      <w:r>
        <w:rPr>
          <w:rFonts w:ascii="Arial" w:hAnsi="Arial" w:cs="Arial"/>
        </w:rPr>
        <w:t xml:space="preserve"> Karen Motley became chairperson in June 2008 with Barb Wallace serving as chairperson mentor for one year. </w:t>
      </w:r>
      <w:r w:rsidR="002C66FD">
        <w:rPr>
          <w:rFonts w:ascii="Arial" w:hAnsi="Arial" w:cs="Arial"/>
        </w:rPr>
        <w:t>Karen continues to serve as the chairperson.</w:t>
      </w:r>
      <w:r w:rsidR="00150B02">
        <w:rPr>
          <w:rFonts w:ascii="Arial" w:hAnsi="Arial" w:cs="Arial"/>
        </w:rPr>
        <w:t xml:space="preserve"> </w:t>
      </w:r>
      <w:r w:rsidR="006133EB">
        <w:rPr>
          <w:rFonts w:ascii="Arial" w:hAnsi="Arial" w:cs="Arial"/>
        </w:rPr>
        <w:t>Applicant q</w:t>
      </w:r>
      <w:r>
        <w:rPr>
          <w:rFonts w:ascii="Arial" w:hAnsi="Arial" w:cs="Arial"/>
        </w:rPr>
        <w:t xml:space="preserve">ualifications of succession hiring of tenure-track faculty have been developed and utilized with the ensuing hiring of </w:t>
      </w:r>
      <w:r w:rsidR="006133EB">
        <w:rPr>
          <w:rFonts w:ascii="Arial" w:hAnsi="Arial" w:cs="Arial"/>
        </w:rPr>
        <w:t xml:space="preserve">new </w:t>
      </w:r>
      <w:r>
        <w:rPr>
          <w:rFonts w:ascii="Arial" w:hAnsi="Arial" w:cs="Arial"/>
        </w:rPr>
        <w:t>faculty (as a result the retiring of experienced faculty).</w:t>
      </w:r>
    </w:p>
    <w:p w:rsidR="00A64CE1" w:rsidRDefault="00A64CE1" w:rsidP="0094204C">
      <w:pPr>
        <w:pStyle w:val="ListParagraph"/>
        <w:rPr>
          <w:rFonts w:ascii="Arial" w:hAnsi="Arial" w:cs="Arial"/>
        </w:rPr>
      </w:pPr>
    </w:p>
    <w:p w:rsidR="00A64CE1" w:rsidRDefault="00A64CE1" w:rsidP="0094204C">
      <w:pPr>
        <w:pStyle w:val="ListParagraph"/>
        <w:rPr>
          <w:rFonts w:ascii="Arial" w:hAnsi="Arial" w:cs="Arial"/>
        </w:rPr>
      </w:pPr>
      <w:r w:rsidRPr="00974ED8">
        <w:rPr>
          <w:rFonts w:ascii="Arial" w:hAnsi="Arial" w:cs="Arial"/>
          <w:b/>
        </w:rPr>
        <w:t>Recommendation</w:t>
      </w:r>
      <w:r>
        <w:rPr>
          <w:rFonts w:ascii="Arial" w:hAnsi="Arial" w:cs="Arial"/>
          <w:b/>
        </w:rPr>
        <w:t xml:space="preserve"> </w:t>
      </w:r>
      <w:r>
        <w:rPr>
          <w:rFonts w:ascii="Arial" w:hAnsi="Arial" w:cs="Arial"/>
        </w:rPr>
        <w:t>to position the department to respond to education and needs for the migration to I-10</w:t>
      </w:r>
      <w:r w:rsidR="00493DD0">
        <w:rPr>
          <w:rFonts w:ascii="Arial" w:hAnsi="Arial" w:cs="Arial"/>
        </w:rPr>
        <w:t>-CM PCS</w:t>
      </w:r>
      <w:r>
        <w:rPr>
          <w:rFonts w:ascii="Arial" w:hAnsi="Arial" w:cs="Arial"/>
        </w:rPr>
        <w:t xml:space="preserve"> (new coding system). </w:t>
      </w:r>
      <w:r>
        <w:rPr>
          <w:rFonts w:ascii="Arial" w:hAnsi="Arial" w:cs="Arial"/>
          <w:b/>
        </w:rPr>
        <w:t>Progress:</w:t>
      </w:r>
      <w:r>
        <w:rPr>
          <w:rFonts w:ascii="Arial" w:hAnsi="Arial" w:cs="Arial"/>
        </w:rPr>
        <w:t xml:space="preserve">  With the advent of the 10/1/13 implementation date of I-10</w:t>
      </w:r>
      <w:r w:rsidR="00493DD0">
        <w:rPr>
          <w:rFonts w:ascii="Arial" w:hAnsi="Arial" w:cs="Arial"/>
        </w:rPr>
        <w:t>-CM PCS</w:t>
      </w:r>
      <w:r>
        <w:rPr>
          <w:rFonts w:ascii="Arial" w:hAnsi="Arial" w:cs="Arial"/>
        </w:rPr>
        <w:t>, one faculty member has acquired the I-10 Certification</w:t>
      </w:r>
      <w:r w:rsidR="00493DD0">
        <w:rPr>
          <w:rFonts w:ascii="Arial" w:hAnsi="Arial" w:cs="Arial"/>
        </w:rPr>
        <w:t>.  The</w:t>
      </w:r>
      <w:r>
        <w:rPr>
          <w:rFonts w:ascii="Arial" w:hAnsi="Arial" w:cs="Arial"/>
        </w:rPr>
        <w:t xml:space="preserve"> development of the curriculum’s changes </w:t>
      </w:r>
      <w:r w:rsidR="00BE55E9">
        <w:rPr>
          <w:rFonts w:ascii="Arial" w:hAnsi="Arial" w:cs="Arial"/>
        </w:rPr>
        <w:t xml:space="preserve">to include I-10 </w:t>
      </w:r>
      <w:r>
        <w:rPr>
          <w:rFonts w:ascii="Arial" w:hAnsi="Arial" w:cs="Arial"/>
        </w:rPr>
        <w:t xml:space="preserve">have been scheduled, a transition course </w:t>
      </w:r>
      <w:r w:rsidR="00BE55E9">
        <w:rPr>
          <w:rFonts w:ascii="Arial" w:hAnsi="Arial" w:cs="Arial"/>
        </w:rPr>
        <w:t xml:space="preserve">to I-10 </w:t>
      </w:r>
      <w:r>
        <w:rPr>
          <w:rFonts w:ascii="Arial" w:hAnsi="Arial" w:cs="Arial"/>
        </w:rPr>
        <w:t xml:space="preserve">for the students has been scheduled, </w:t>
      </w:r>
      <w:r w:rsidR="00BE55E9">
        <w:rPr>
          <w:rFonts w:ascii="Arial" w:hAnsi="Arial" w:cs="Arial"/>
        </w:rPr>
        <w:t xml:space="preserve">faculty education has begun </w:t>
      </w:r>
      <w:r>
        <w:rPr>
          <w:rFonts w:ascii="Arial" w:hAnsi="Arial" w:cs="Arial"/>
        </w:rPr>
        <w:t xml:space="preserve">and plans for the community </w:t>
      </w:r>
      <w:r>
        <w:rPr>
          <w:rFonts w:ascii="Arial" w:hAnsi="Arial" w:cs="Arial"/>
        </w:rPr>
        <w:lastRenderedPageBreak/>
        <w:t>educational piece are underway</w:t>
      </w:r>
      <w:r w:rsidR="00701A30">
        <w:rPr>
          <w:rFonts w:ascii="Arial" w:hAnsi="Arial" w:cs="Arial"/>
        </w:rPr>
        <w:t xml:space="preserve"> with an organizational meeting which occurred in February 2011</w:t>
      </w:r>
      <w:r w:rsidR="00493DD0">
        <w:rPr>
          <w:rFonts w:ascii="Arial" w:hAnsi="Arial" w:cs="Arial"/>
        </w:rPr>
        <w:t xml:space="preserve">.  This </w:t>
      </w:r>
      <w:r w:rsidR="00701A30">
        <w:rPr>
          <w:rFonts w:ascii="Arial" w:hAnsi="Arial" w:cs="Arial"/>
        </w:rPr>
        <w:t xml:space="preserve">was comprised of HIM (coding) community </w:t>
      </w:r>
      <w:proofErr w:type="gramStart"/>
      <w:r w:rsidR="00701A30">
        <w:rPr>
          <w:rFonts w:ascii="Arial" w:hAnsi="Arial" w:cs="Arial"/>
        </w:rPr>
        <w:t xml:space="preserve">members </w:t>
      </w:r>
      <w:r>
        <w:rPr>
          <w:rFonts w:ascii="Arial" w:hAnsi="Arial" w:cs="Arial"/>
        </w:rPr>
        <w:t>.</w:t>
      </w:r>
      <w:proofErr w:type="gramEnd"/>
    </w:p>
    <w:p w:rsidR="00A64CE1" w:rsidRDefault="00A64CE1" w:rsidP="0094204C">
      <w:pPr>
        <w:pStyle w:val="ListParagraph"/>
        <w:rPr>
          <w:rFonts w:ascii="Arial" w:hAnsi="Arial" w:cs="Arial"/>
        </w:rPr>
      </w:pPr>
    </w:p>
    <w:p w:rsidR="00A64CE1" w:rsidRDefault="00A64CE1" w:rsidP="0094204C">
      <w:pPr>
        <w:pStyle w:val="ListParagraph"/>
        <w:rPr>
          <w:rFonts w:ascii="Arial" w:hAnsi="Arial" w:cs="Arial"/>
        </w:rPr>
      </w:pPr>
      <w:r w:rsidRPr="00974ED8">
        <w:rPr>
          <w:rFonts w:ascii="Arial" w:hAnsi="Arial" w:cs="Arial"/>
          <w:b/>
        </w:rPr>
        <w:t>Recommendation</w:t>
      </w:r>
      <w:r>
        <w:rPr>
          <w:rFonts w:ascii="Arial" w:hAnsi="Arial" w:cs="Arial"/>
          <w:b/>
        </w:rPr>
        <w:t xml:space="preserve"> </w:t>
      </w:r>
      <w:r w:rsidR="002C66FD" w:rsidRPr="002C66FD">
        <w:rPr>
          <w:rFonts w:ascii="Arial" w:hAnsi="Arial" w:cs="Arial"/>
        </w:rPr>
        <w:t>to</w:t>
      </w:r>
      <w:r w:rsidR="002C66FD">
        <w:rPr>
          <w:rFonts w:ascii="Arial" w:hAnsi="Arial" w:cs="Arial"/>
          <w:b/>
        </w:rPr>
        <w:t xml:space="preserve"> </w:t>
      </w:r>
      <w:r w:rsidRPr="00A64CE1">
        <w:rPr>
          <w:rFonts w:ascii="Arial" w:hAnsi="Arial" w:cs="Arial"/>
        </w:rPr>
        <w:t>investigate how students who have studied at proprietary institutions and now wish to enter Sinclair’s program might best be served. Consider alternatives such as prior learning assessment and proficiency exams as avenues for these students to demonstrate mastery of select</w:t>
      </w:r>
      <w:r>
        <w:rPr>
          <w:rFonts w:ascii="Arial" w:hAnsi="Arial" w:cs="Arial"/>
        </w:rPr>
        <w:t>e</w:t>
      </w:r>
      <w:r w:rsidRPr="00A64CE1">
        <w:rPr>
          <w:rFonts w:ascii="Arial" w:hAnsi="Arial" w:cs="Arial"/>
        </w:rPr>
        <w:t>d competencies.</w:t>
      </w:r>
      <w:r>
        <w:rPr>
          <w:rFonts w:ascii="Arial" w:hAnsi="Arial" w:cs="Arial"/>
        </w:rPr>
        <w:t xml:space="preserve"> </w:t>
      </w:r>
      <w:r w:rsidRPr="00A64CE1">
        <w:rPr>
          <w:rFonts w:ascii="Arial" w:hAnsi="Arial" w:cs="Arial"/>
          <w:b/>
        </w:rPr>
        <w:t>Progress:</w:t>
      </w:r>
      <w:r>
        <w:rPr>
          <w:rFonts w:ascii="Arial" w:hAnsi="Arial" w:cs="Arial"/>
        </w:rPr>
        <w:t xml:space="preserve">  Prior learning assessments have been developed for students who have extensive “work in the field” and proficiency exams </w:t>
      </w:r>
      <w:r w:rsidR="00FC5C0C">
        <w:rPr>
          <w:rFonts w:ascii="Arial" w:hAnsi="Arial" w:cs="Arial"/>
        </w:rPr>
        <w:t xml:space="preserve">have been utilized </w:t>
      </w:r>
      <w:r>
        <w:rPr>
          <w:rFonts w:ascii="Arial" w:hAnsi="Arial" w:cs="Arial"/>
        </w:rPr>
        <w:t xml:space="preserve">for HIM121, HIM122, HIM260, </w:t>
      </w:r>
      <w:proofErr w:type="gramStart"/>
      <w:r>
        <w:rPr>
          <w:rFonts w:ascii="Arial" w:hAnsi="Arial" w:cs="Arial"/>
        </w:rPr>
        <w:t>HIM261</w:t>
      </w:r>
      <w:proofErr w:type="gramEnd"/>
      <w:r w:rsidR="00FC5C0C">
        <w:rPr>
          <w:rFonts w:ascii="Arial" w:hAnsi="Arial" w:cs="Arial"/>
        </w:rPr>
        <w:t>.</w:t>
      </w:r>
      <w:r>
        <w:rPr>
          <w:rFonts w:ascii="Arial" w:hAnsi="Arial" w:cs="Arial"/>
        </w:rPr>
        <w:t xml:space="preserve"> Other equivalencies for professional credentials have been developed and are utilized for demonstrating mastery of selected competencies.</w:t>
      </w:r>
    </w:p>
    <w:p w:rsidR="009059A5" w:rsidRDefault="009059A5" w:rsidP="0094204C">
      <w:pPr>
        <w:pStyle w:val="ListParagraph"/>
        <w:rPr>
          <w:rFonts w:ascii="Arial" w:hAnsi="Arial" w:cs="Arial"/>
        </w:rPr>
      </w:pPr>
      <w:r>
        <w:rPr>
          <w:rFonts w:ascii="Arial" w:hAnsi="Arial" w:cs="Arial"/>
          <w:b/>
        </w:rPr>
        <w:t xml:space="preserve"> </w:t>
      </w:r>
    </w:p>
    <w:p w:rsidR="009059A5" w:rsidRDefault="009059A5" w:rsidP="0094204C">
      <w:pPr>
        <w:pStyle w:val="ListParagraph"/>
        <w:rPr>
          <w:rFonts w:ascii="Arial" w:hAnsi="Arial" w:cs="Arial"/>
        </w:rPr>
      </w:pPr>
      <w:proofErr w:type="gramStart"/>
      <w:r w:rsidRPr="00974ED8">
        <w:rPr>
          <w:rFonts w:ascii="Arial" w:hAnsi="Arial" w:cs="Arial"/>
          <w:b/>
        </w:rPr>
        <w:t>Recommendation</w:t>
      </w:r>
      <w:r>
        <w:rPr>
          <w:rFonts w:ascii="Arial" w:hAnsi="Arial" w:cs="Arial"/>
          <w:b/>
        </w:rPr>
        <w:t xml:space="preserve"> </w:t>
      </w:r>
      <w:r w:rsidR="00172A68" w:rsidRPr="00172A68">
        <w:rPr>
          <w:rFonts w:ascii="Arial" w:hAnsi="Arial" w:cs="Arial"/>
        </w:rPr>
        <w:t>to</w:t>
      </w:r>
      <w:r w:rsidR="00172A68">
        <w:rPr>
          <w:rFonts w:ascii="Arial" w:hAnsi="Arial" w:cs="Arial"/>
          <w:b/>
        </w:rPr>
        <w:t xml:space="preserve"> </w:t>
      </w:r>
      <w:r w:rsidRPr="009059A5">
        <w:rPr>
          <w:rFonts w:ascii="Arial" w:hAnsi="Arial" w:cs="Arial"/>
        </w:rPr>
        <w:t>encourage all graduates of the program to take the national certification exam promptly upon graduation in order to increase the likelihood of success on the exam.</w:t>
      </w:r>
      <w:proofErr w:type="gramEnd"/>
      <w:r>
        <w:rPr>
          <w:rFonts w:ascii="Arial" w:hAnsi="Arial" w:cs="Arial"/>
        </w:rPr>
        <w:t xml:space="preserve"> </w:t>
      </w:r>
      <w:r w:rsidRPr="00BF5B3F">
        <w:rPr>
          <w:rFonts w:ascii="Arial" w:hAnsi="Arial" w:cs="Arial"/>
          <w:b/>
        </w:rPr>
        <w:t>Progress:</w:t>
      </w:r>
      <w:r>
        <w:rPr>
          <w:rFonts w:ascii="Arial" w:hAnsi="Arial" w:cs="Arial"/>
        </w:rPr>
        <w:t xml:space="preserve">  Students are now offered the option of taking the national RHIT exam within their </w:t>
      </w:r>
      <w:r w:rsidR="00493DD0">
        <w:rPr>
          <w:rFonts w:ascii="Arial" w:hAnsi="Arial" w:cs="Arial"/>
        </w:rPr>
        <w:t>final</w:t>
      </w:r>
      <w:r>
        <w:rPr>
          <w:rFonts w:ascii="Arial" w:hAnsi="Arial" w:cs="Arial"/>
        </w:rPr>
        <w:t xml:space="preserve"> quarter of the program. Students are continually encouraged </w:t>
      </w:r>
      <w:r w:rsidR="00BF5B3F">
        <w:rPr>
          <w:rFonts w:ascii="Arial" w:hAnsi="Arial" w:cs="Arial"/>
        </w:rPr>
        <w:t xml:space="preserve">by SCC HIM faculty </w:t>
      </w:r>
      <w:r>
        <w:rPr>
          <w:rFonts w:ascii="Arial" w:hAnsi="Arial" w:cs="Arial"/>
        </w:rPr>
        <w:t>to take the exam within the last part of the</w:t>
      </w:r>
      <w:r w:rsidR="00BF5B3F">
        <w:rPr>
          <w:rFonts w:ascii="Arial" w:hAnsi="Arial" w:cs="Arial"/>
        </w:rPr>
        <w:t xml:space="preserve"> program’s</w:t>
      </w:r>
      <w:r>
        <w:rPr>
          <w:rFonts w:ascii="Arial" w:hAnsi="Arial" w:cs="Arial"/>
        </w:rPr>
        <w:t xml:space="preserve"> </w:t>
      </w:r>
      <w:r w:rsidR="00493DD0">
        <w:rPr>
          <w:rFonts w:ascii="Arial" w:hAnsi="Arial" w:cs="Arial"/>
        </w:rPr>
        <w:t>final</w:t>
      </w:r>
      <w:r>
        <w:rPr>
          <w:rFonts w:ascii="Arial" w:hAnsi="Arial" w:cs="Arial"/>
        </w:rPr>
        <w:t xml:space="preserve"> quarter or soon thereafter.  A “testimonial” from </w:t>
      </w:r>
      <w:r w:rsidR="00D47D52">
        <w:rPr>
          <w:rFonts w:ascii="Arial" w:hAnsi="Arial" w:cs="Arial"/>
        </w:rPr>
        <w:t xml:space="preserve">a </w:t>
      </w:r>
      <w:r>
        <w:rPr>
          <w:rFonts w:ascii="Arial" w:hAnsi="Arial" w:cs="Arial"/>
        </w:rPr>
        <w:t>past grad ha</w:t>
      </w:r>
      <w:r w:rsidR="00D47D52">
        <w:rPr>
          <w:rFonts w:ascii="Arial" w:hAnsi="Arial" w:cs="Arial"/>
        </w:rPr>
        <w:t>s</w:t>
      </w:r>
      <w:r>
        <w:rPr>
          <w:rFonts w:ascii="Arial" w:hAnsi="Arial" w:cs="Arial"/>
        </w:rPr>
        <w:t xml:space="preserve"> been instituted into the program’s final capstone course to allow students to hear the “message” from a peer.</w:t>
      </w:r>
    </w:p>
    <w:p w:rsidR="003C29AA" w:rsidRDefault="003C29AA" w:rsidP="0094204C">
      <w:pPr>
        <w:pStyle w:val="ListParagraph"/>
        <w:rPr>
          <w:rFonts w:ascii="Arial" w:hAnsi="Arial" w:cs="Arial"/>
        </w:rPr>
      </w:pPr>
    </w:p>
    <w:p w:rsidR="003C29AA" w:rsidRDefault="003C29AA" w:rsidP="0094204C">
      <w:pPr>
        <w:pStyle w:val="ListParagraph"/>
        <w:rPr>
          <w:rFonts w:ascii="Arial" w:hAnsi="Arial" w:cs="Arial"/>
        </w:rPr>
      </w:pPr>
      <w:proofErr w:type="gramStart"/>
      <w:r w:rsidRPr="00974ED8">
        <w:rPr>
          <w:rFonts w:ascii="Arial" w:hAnsi="Arial" w:cs="Arial"/>
          <w:b/>
        </w:rPr>
        <w:t>Recommendation</w:t>
      </w:r>
      <w:r>
        <w:rPr>
          <w:rFonts w:ascii="Arial" w:hAnsi="Arial" w:cs="Arial"/>
          <w:b/>
        </w:rPr>
        <w:t xml:space="preserve"> </w:t>
      </w:r>
      <w:r w:rsidR="00172A68" w:rsidRPr="00172A68">
        <w:rPr>
          <w:rFonts w:ascii="Arial" w:hAnsi="Arial" w:cs="Arial"/>
        </w:rPr>
        <w:t>to</w:t>
      </w:r>
      <w:r w:rsidR="00172A68">
        <w:rPr>
          <w:rFonts w:ascii="Arial" w:hAnsi="Arial" w:cs="Arial"/>
          <w:b/>
        </w:rPr>
        <w:t xml:space="preserve"> </w:t>
      </w:r>
      <w:r w:rsidRPr="003C29AA">
        <w:rPr>
          <w:rFonts w:ascii="Arial" w:hAnsi="Arial" w:cs="Arial"/>
        </w:rPr>
        <w:t>monitor impact of the program’s new pre</w:t>
      </w:r>
      <w:r w:rsidR="00D21EB6">
        <w:rPr>
          <w:rFonts w:ascii="Arial" w:hAnsi="Arial" w:cs="Arial"/>
        </w:rPr>
        <w:t>-</w:t>
      </w:r>
      <w:r w:rsidRPr="003C29AA">
        <w:rPr>
          <w:rFonts w:ascii="Arial" w:hAnsi="Arial" w:cs="Arial"/>
        </w:rPr>
        <w:t>r</w:t>
      </w:r>
      <w:r w:rsidR="00D21EB6">
        <w:rPr>
          <w:rFonts w:ascii="Arial" w:hAnsi="Arial" w:cs="Arial"/>
        </w:rPr>
        <w:t>e</w:t>
      </w:r>
      <w:r w:rsidRPr="003C29AA">
        <w:rPr>
          <w:rFonts w:ascii="Arial" w:hAnsi="Arial" w:cs="Arial"/>
        </w:rPr>
        <w:t>quisites on student enrollment, progression and success.</w:t>
      </w:r>
      <w:proofErr w:type="gramEnd"/>
      <w:r w:rsidR="001B4AF3">
        <w:rPr>
          <w:rFonts w:ascii="Arial" w:hAnsi="Arial" w:cs="Arial"/>
          <w:b/>
        </w:rPr>
        <w:t xml:space="preserve"> </w:t>
      </w:r>
      <w:r>
        <w:rPr>
          <w:rFonts w:ascii="Arial" w:hAnsi="Arial" w:cs="Arial"/>
          <w:b/>
        </w:rPr>
        <w:t xml:space="preserve">Progress:  </w:t>
      </w:r>
      <w:r w:rsidR="00D21EB6" w:rsidRPr="00D21EB6">
        <w:rPr>
          <w:rFonts w:ascii="Arial" w:hAnsi="Arial" w:cs="Arial"/>
        </w:rPr>
        <w:t xml:space="preserve">Program </w:t>
      </w:r>
      <w:r w:rsidR="00D21EB6">
        <w:rPr>
          <w:rFonts w:ascii="Arial" w:hAnsi="Arial" w:cs="Arial"/>
        </w:rPr>
        <w:t xml:space="preserve">enrollment remains high. </w:t>
      </w:r>
      <w:r w:rsidR="00D5311E">
        <w:rPr>
          <w:rFonts w:ascii="Arial" w:hAnsi="Arial" w:cs="Arial"/>
        </w:rPr>
        <w:t>Impressively, o</w:t>
      </w:r>
      <w:r w:rsidR="00695503">
        <w:rPr>
          <w:rFonts w:ascii="Arial" w:hAnsi="Arial" w:cs="Arial"/>
        </w:rPr>
        <w:t xml:space="preserve">ur </w:t>
      </w:r>
      <w:r w:rsidR="00D21EB6">
        <w:rPr>
          <w:rFonts w:ascii="Arial" w:hAnsi="Arial" w:cs="Arial"/>
        </w:rPr>
        <w:t xml:space="preserve">attrition rate </w:t>
      </w:r>
      <w:r w:rsidR="00695503">
        <w:rPr>
          <w:rFonts w:ascii="Arial" w:hAnsi="Arial" w:cs="Arial"/>
        </w:rPr>
        <w:t>has declined (2010 graduates = 28.5% attrition, 2009 graduates = 34.7% attrition, 2008 graduates = 45.1%)</w:t>
      </w:r>
      <w:r w:rsidR="00D5311E">
        <w:rPr>
          <w:rFonts w:ascii="Arial" w:hAnsi="Arial" w:cs="Arial"/>
        </w:rPr>
        <w:t>.</w:t>
      </w:r>
    </w:p>
    <w:p w:rsidR="00172A68" w:rsidRDefault="00172A68" w:rsidP="0094204C">
      <w:pPr>
        <w:pStyle w:val="ListParagraph"/>
        <w:rPr>
          <w:rFonts w:ascii="Arial" w:hAnsi="Arial" w:cs="Arial"/>
          <w:b/>
        </w:rPr>
      </w:pPr>
    </w:p>
    <w:p w:rsidR="00172A68" w:rsidRDefault="00172A68" w:rsidP="0094204C">
      <w:pPr>
        <w:pStyle w:val="ListParagraph"/>
        <w:rPr>
          <w:rFonts w:ascii="Arial" w:hAnsi="Arial" w:cs="Arial"/>
          <w:b/>
        </w:rPr>
      </w:pPr>
      <w:r w:rsidRPr="00974ED8">
        <w:rPr>
          <w:rFonts w:ascii="Arial" w:hAnsi="Arial" w:cs="Arial"/>
          <w:b/>
        </w:rPr>
        <w:t>Recommendation</w:t>
      </w:r>
      <w:r>
        <w:rPr>
          <w:rFonts w:ascii="Arial" w:hAnsi="Arial" w:cs="Arial"/>
          <w:b/>
        </w:rPr>
        <w:t xml:space="preserve"> </w:t>
      </w:r>
      <w:r w:rsidRPr="00172A68">
        <w:rPr>
          <w:rFonts w:ascii="Arial" w:hAnsi="Arial" w:cs="Arial"/>
        </w:rPr>
        <w:t>to</w:t>
      </w:r>
      <w:r>
        <w:rPr>
          <w:rFonts w:ascii="Arial" w:hAnsi="Arial" w:cs="Arial"/>
          <w:b/>
        </w:rPr>
        <w:t xml:space="preserve"> </w:t>
      </w:r>
      <w:r w:rsidRPr="00172A68">
        <w:rPr>
          <w:rFonts w:ascii="Arial" w:hAnsi="Arial" w:cs="Arial"/>
        </w:rPr>
        <w:t>consider alternative admission practices in order to enable students to begin the program at multiple points in the year. Such practice holds promise for filling slots created by attrition and thus increasing response time on wait lists and being more cost-effective.</w:t>
      </w:r>
      <w:r>
        <w:rPr>
          <w:rFonts w:ascii="Arial" w:hAnsi="Arial" w:cs="Arial"/>
        </w:rPr>
        <w:t xml:space="preserve"> </w:t>
      </w:r>
      <w:r w:rsidRPr="00172A68">
        <w:rPr>
          <w:rFonts w:ascii="Arial" w:hAnsi="Arial" w:cs="Arial"/>
          <w:b/>
        </w:rPr>
        <w:t>Progress:</w:t>
      </w:r>
      <w:r>
        <w:rPr>
          <w:rFonts w:ascii="Arial" w:hAnsi="Arial" w:cs="Arial"/>
        </w:rPr>
        <w:t xml:space="preserve"> This recommendation has been discussed and considered, however due to the program’s “lock-step” course progression, allowing students to enter the program at multiple points during the year is not feasible.</w:t>
      </w:r>
      <w:r>
        <w:rPr>
          <w:rFonts w:ascii="Arial" w:hAnsi="Arial" w:cs="Arial"/>
          <w:b/>
        </w:rPr>
        <w:t xml:space="preserve"> </w:t>
      </w:r>
    </w:p>
    <w:p w:rsidR="003C29AA" w:rsidRPr="003C29AA" w:rsidRDefault="003C29AA" w:rsidP="003C29AA">
      <w:pPr>
        <w:rPr>
          <w:rFonts w:ascii="Arial" w:hAnsi="Arial" w:cs="Arial"/>
        </w:rPr>
      </w:pPr>
    </w:p>
    <w:p w:rsidR="00116BB4" w:rsidRDefault="00116BB4" w:rsidP="0094204C">
      <w:pPr>
        <w:pStyle w:val="ListParagraph"/>
      </w:pPr>
    </w:p>
    <w:p w:rsidR="00116BB4" w:rsidRDefault="00116BB4"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Default="001B4AF3" w:rsidP="0094204C">
      <w:pPr>
        <w:pStyle w:val="ListParagraph"/>
      </w:pPr>
    </w:p>
    <w:p w:rsidR="001B4AF3" w:rsidRPr="00974ED8" w:rsidRDefault="001B4AF3" w:rsidP="0094204C">
      <w:pPr>
        <w:pStyle w:val="ListParagraph"/>
      </w:pPr>
    </w:p>
    <w:p w:rsidR="0094204C" w:rsidRPr="00D708C3" w:rsidRDefault="0094204C" w:rsidP="00D708C3">
      <w:pPr>
        <w:rPr>
          <w:b/>
          <w:u w:val="single"/>
        </w:rPr>
      </w:pPr>
      <w:r w:rsidRPr="00D708C3">
        <w:rPr>
          <w:b/>
          <w:u w:val="single"/>
        </w:rPr>
        <w:lastRenderedPageBreak/>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D25759" w:rsidRDefault="00D25759" w:rsidP="008860C1">
            <w:pPr>
              <w:jc w:val="center"/>
              <w:rPr>
                <w:b/>
                <w:sz w:val="24"/>
                <w:szCs w:val="24"/>
                <w:u w:val="single"/>
              </w:rPr>
            </w:pPr>
            <w:r>
              <w:rPr>
                <w:b/>
                <w:sz w:val="24"/>
                <w:szCs w:val="24"/>
                <w:u w:val="single"/>
              </w:rPr>
              <w:t>Health Information Management</w:t>
            </w:r>
          </w:p>
          <w:p w:rsidR="002C1797" w:rsidRPr="002C1797" w:rsidRDefault="002C1797" w:rsidP="008860C1">
            <w:pPr>
              <w:jc w:val="center"/>
              <w:rPr>
                <w:sz w:val="24"/>
                <w:szCs w:val="24"/>
              </w:rPr>
            </w:pPr>
            <w:r w:rsidRPr="002C1797">
              <w:rPr>
                <w:sz w:val="24"/>
                <w:szCs w:val="24"/>
              </w:rPr>
              <w:t>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i/>
                <w:sz w:val="20"/>
                <w:szCs w:val="20"/>
              </w:rPr>
            </w:pPr>
            <w:r w:rsidRPr="002C1797">
              <w:rPr>
                <w:b/>
                <w:sz w:val="20"/>
                <w:szCs w:val="20"/>
              </w:rPr>
              <w:t xml:space="preserve">1) </w:t>
            </w:r>
            <w:r w:rsidR="00D25759" w:rsidRPr="00D25759">
              <w:rPr>
                <w:sz w:val="20"/>
                <w:szCs w:val="20"/>
              </w:rPr>
              <w:t>Demonstrate the ability to design, organize and implement changes in the evolution of health information to electronic formats.</w:t>
            </w:r>
          </w:p>
        </w:tc>
        <w:tc>
          <w:tcPr>
            <w:tcW w:w="1440" w:type="dxa"/>
          </w:tcPr>
          <w:p w:rsidR="002C1797" w:rsidRDefault="00C019BA" w:rsidP="008860C1">
            <w:pPr>
              <w:jc w:val="center"/>
              <w:rPr>
                <w:rFonts w:ascii="Arial" w:hAnsi="Arial" w:cs="Arial"/>
              </w:rPr>
            </w:pPr>
            <w:r>
              <w:rPr>
                <w:rFonts w:ascii="Arial" w:hAnsi="Arial" w:cs="Arial"/>
              </w:rPr>
              <w:t>HIM</w:t>
            </w:r>
          </w:p>
          <w:p w:rsidR="00C019BA" w:rsidRPr="002C1797" w:rsidRDefault="00C019BA" w:rsidP="008B0A84">
            <w:pPr>
              <w:jc w:val="center"/>
              <w:rPr>
                <w:sz w:val="20"/>
                <w:szCs w:val="20"/>
              </w:rPr>
            </w:pPr>
            <w:r>
              <w:rPr>
                <w:rFonts w:ascii="Arial" w:hAnsi="Arial" w:cs="Arial"/>
              </w:rPr>
              <w:t xml:space="preserve">110, 111, 135, 240, 265, </w:t>
            </w:r>
            <w:r w:rsidR="008B0A84">
              <w:rPr>
                <w:rFonts w:ascii="Arial" w:hAnsi="Arial" w:cs="Arial"/>
              </w:rPr>
              <w:t>178, 241, 244, 245, 246, 250, 251, 252, 218</w:t>
            </w:r>
          </w:p>
        </w:tc>
        <w:tc>
          <w:tcPr>
            <w:tcW w:w="2160" w:type="dxa"/>
            <w:shd w:val="clear" w:color="auto" w:fill="auto"/>
          </w:tcPr>
          <w:p w:rsidR="002C1797" w:rsidRPr="00690A3D" w:rsidRDefault="00846924" w:rsidP="00690A3D">
            <w:pPr>
              <w:rPr>
                <w:rFonts w:asciiTheme="minorHAnsi" w:hAnsiTheme="minorHAnsi"/>
                <w:sz w:val="16"/>
                <w:szCs w:val="16"/>
              </w:rPr>
            </w:pPr>
            <w:r w:rsidRPr="00846924">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35pt;height:15.0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84692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D25759">
            <w:pPr>
              <w:rPr>
                <w:sz w:val="20"/>
                <w:szCs w:val="20"/>
              </w:rPr>
            </w:pPr>
            <w:r w:rsidRPr="002C1797">
              <w:rPr>
                <w:b/>
                <w:sz w:val="20"/>
                <w:szCs w:val="20"/>
              </w:rPr>
              <w:t xml:space="preserve">2) </w:t>
            </w:r>
            <w:r w:rsidR="00D25759" w:rsidRPr="00D25759">
              <w:rPr>
                <w:sz w:val="20"/>
                <w:szCs w:val="20"/>
              </w:rPr>
              <w:t>Apply effective skills in the areas of written and oral communication, critical thinking, and problem solving in the practice of health information management.</w:t>
            </w:r>
          </w:p>
        </w:tc>
        <w:tc>
          <w:tcPr>
            <w:tcW w:w="1440" w:type="dxa"/>
          </w:tcPr>
          <w:p w:rsidR="002C1797" w:rsidRDefault="008B0A84" w:rsidP="008860C1">
            <w:pPr>
              <w:jc w:val="center"/>
              <w:rPr>
                <w:rFonts w:ascii="Arial" w:hAnsi="Arial" w:cs="Arial"/>
              </w:rPr>
            </w:pPr>
            <w:r>
              <w:rPr>
                <w:rFonts w:ascii="Arial" w:hAnsi="Arial" w:cs="Arial"/>
              </w:rPr>
              <w:t>HIM</w:t>
            </w:r>
          </w:p>
          <w:p w:rsidR="008B0A84" w:rsidRPr="002C1797" w:rsidRDefault="008B0A84" w:rsidP="008860C1">
            <w:pPr>
              <w:jc w:val="center"/>
              <w:rPr>
                <w:sz w:val="20"/>
                <w:szCs w:val="20"/>
              </w:rPr>
            </w:pPr>
            <w:r>
              <w:rPr>
                <w:rFonts w:ascii="Arial" w:hAnsi="Arial" w:cs="Arial"/>
              </w:rPr>
              <w:t>121, 122, 110, 111, 260, 261, 165, 135, 240, 265, 178, 241, 244, 245, 250, 246, 228, 249, 251, 218, 252, 278</w:t>
            </w:r>
          </w:p>
        </w:tc>
        <w:tc>
          <w:tcPr>
            <w:tcW w:w="2160" w:type="dxa"/>
            <w:shd w:val="clear" w:color="auto" w:fill="auto"/>
          </w:tcPr>
          <w:p w:rsidR="002C1797" w:rsidRPr="002C1797" w:rsidRDefault="00846924" w:rsidP="008860C1">
            <w:pPr>
              <w:jc w:val="center"/>
              <w:rPr>
                <w:sz w:val="20"/>
                <w:szCs w:val="20"/>
              </w:rPr>
            </w:pPr>
            <w:r>
              <w:rPr>
                <w:noProof/>
                <w:sz w:val="20"/>
                <w:szCs w:val="20"/>
              </w:rPr>
              <w:pict>
                <v:shape id="_x0000_s1039" type="#_x0000_t201" style="position:absolute;left:0;text-align:left;margin-left:34.9pt;margin-top:3.35pt;width:16.35pt;height:19.6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84692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D25759">
            <w:pPr>
              <w:rPr>
                <w:sz w:val="20"/>
                <w:szCs w:val="20"/>
              </w:rPr>
            </w:pPr>
            <w:r w:rsidRPr="002C1797">
              <w:rPr>
                <w:b/>
                <w:sz w:val="20"/>
                <w:szCs w:val="20"/>
              </w:rPr>
              <w:t xml:space="preserve">3) </w:t>
            </w:r>
            <w:r w:rsidR="00D25759" w:rsidRPr="00D25759">
              <w:rPr>
                <w:sz w:val="20"/>
                <w:szCs w:val="20"/>
              </w:rPr>
              <w:t>Demonstrate the ability to perform the health information associate degree entry-level competencies as identified by the American Health Information Management Association.</w:t>
            </w:r>
          </w:p>
        </w:tc>
        <w:tc>
          <w:tcPr>
            <w:tcW w:w="1440" w:type="dxa"/>
          </w:tcPr>
          <w:p w:rsidR="00690A3D" w:rsidRDefault="00A43ABD" w:rsidP="008860C1">
            <w:pPr>
              <w:jc w:val="center"/>
              <w:rPr>
                <w:rFonts w:ascii="Arial" w:hAnsi="Arial" w:cs="Arial"/>
              </w:rPr>
            </w:pPr>
            <w:r>
              <w:rPr>
                <w:rFonts w:ascii="Arial" w:hAnsi="Arial" w:cs="Arial"/>
              </w:rPr>
              <w:t>HIM</w:t>
            </w:r>
          </w:p>
          <w:p w:rsidR="00A43ABD" w:rsidRPr="002C1797" w:rsidRDefault="00A43ABD" w:rsidP="008860C1">
            <w:pPr>
              <w:jc w:val="center"/>
              <w:rPr>
                <w:sz w:val="20"/>
                <w:szCs w:val="20"/>
              </w:rPr>
            </w:pPr>
            <w:r>
              <w:rPr>
                <w:rFonts w:ascii="Arial" w:hAnsi="Arial" w:cs="Arial"/>
              </w:rPr>
              <w:t>110, 111, 260, 261, 165, 135, 240, 265, 178, 241, 244, 245, 250, 246, 228, 249, 251, 218, 252, 278</w:t>
            </w:r>
          </w:p>
        </w:tc>
        <w:tc>
          <w:tcPr>
            <w:tcW w:w="2160" w:type="dxa"/>
            <w:shd w:val="clear" w:color="auto" w:fill="auto"/>
          </w:tcPr>
          <w:p w:rsidR="00690A3D" w:rsidRPr="00690A3D" w:rsidRDefault="00846924" w:rsidP="00081142">
            <w:pPr>
              <w:rPr>
                <w:rFonts w:asciiTheme="minorHAnsi" w:hAnsiTheme="minorHAnsi"/>
                <w:sz w:val="16"/>
                <w:szCs w:val="16"/>
              </w:rPr>
            </w:pPr>
            <w:r w:rsidRPr="00846924">
              <w:rPr>
                <w:noProof/>
                <w:sz w:val="16"/>
                <w:szCs w:val="16"/>
              </w:rPr>
              <w:pict>
                <v:shape id="_x0000_s1040" type="#_x0000_t201" style="position:absolute;margin-left:34.9pt;margin-top:3.65pt;width:16.35pt;height:15.0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83572F" w:rsidP="0083572F">
            <w:pPr>
              <w:pStyle w:val="ListParagraph"/>
              <w:numPr>
                <w:ilvl w:val="0"/>
                <w:numId w:val="14"/>
              </w:numPr>
              <w:ind w:left="252" w:hanging="180"/>
              <w:rPr>
                <w:sz w:val="20"/>
                <w:szCs w:val="20"/>
              </w:rPr>
            </w:pPr>
            <w:r>
              <w:rPr>
                <w:rFonts w:ascii="Arial" w:hAnsi="Arial" w:cs="Arial"/>
              </w:rPr>
              <w:t xml:space="preserve">We compared our results of AHIMA’s </w:t>
            </w:r>
            <w:proofErr w:type="spellStart"/>
            <w:r>
              <w:rPr>
                <w:rFonts w:ascii="Arial" w:hAnsi="Arial" w:cs="Arial"/>
              </w:rPr>
              <w:t>subdomains</w:t>
            </w:r>
            <w:proofErr w:type="spellEnd"/>
            <w:r>
              <w:rPr>
                <w:rFonts w:ascii="Arial" w:hAnsi="Arial" w:cs="Arial"/>
              </w:rPr>
              <w:t xml:space="preserve"> with the national average.</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D25759" w:rsidRPr="00D25759">
              <w:rPr>
                <w:sz w:val="20"/>
                <w:szCs w:val="20"/>
              </w:rPr>
              <w:t>Evaluate and appropriately apply principles of confidentiality and privacy congruent with the standards and ethics of the health information profession.</w:t>
            </w:r>
          </w:p>
        </w:tc>
        <w:tc>
          <w:tcPr>
            <w:tcW w:w="1440" w:type="dxa"/>
          </w:tcPr>
          <w:p w:rsidR="00690A3D" w:rsidRDefault="00A43ABD" w:rsidP="008860C1">
            <w:pPr>
              <w:jc w:val="center"/>
              <w:rPr>
                <w:rFonts w:ascii="Arial" w:hAnsi="Arial" w:cs="Arial"/>
              </w:rPr>
            </w:pPr>
            <w:r>
              <w:rPr>
                <w:rFonts w:ascii="Arial" w:hAnsi="Arial" w:cs="Arial"/>
              </w:rPr>
              <w:t>HIM</w:t>
            </w:r>
          </w:p>
          <w:p w:rsidR="00A43ABD" w:rsidRPr="002C1797" w:rsidRDefault="00A43ABD" w:rsidP="008860C1">
            <w:pPr>
              <w:jc w:val="center"/>
              <w:rPr>
                <w:sz w:val="20"/>
                <w:szCs w:val="20"/>
              </w:rPr>
            </w:pPr>
            <w:r>
              <w:rPr>
                <w:rFonts w:ascii="Arial" w:hAnsi="Arial" w:cs="Arial"/>
              </w:rPr>
              <w:t>135, 178, 250, 251, 252</w:t>
            </w:r>
          </w:p>
        </w:tc>
        <w:tc>
          <w:tcPr>
            <w:tcW w:w="2160" w:type="dxa"/>
            <w:shd w:val="clear" w:color="auto" w:fill="auto"/>
          </w:tcPr>
          <w:p w:rsidR="00690A3D" w:rsidRPr="002C1797" w:rsidRDefault="00846924" w:rsidP="00081142">
            <w:pPr>
              <w:jc w:val="center"/>
              <w:rPr>
                <w:sz w:val="20"/>
                <w:szCs w:val="20"/>
              </w:rPr>
            </w:pPr>
            <w:r>
              <w:rPr>
                <w:noProof/>
                <w:sz w:val="20"/>
                <w:szCs w:val="20"/>
              </w:rPr>
              <w:pict>
                <v:shape id="_x0000_s1041" type="#_x0000_t201" style="position:absolute;left:0;text-align:left;margin-left:34.9pt;margin-top:3.35pt;width:16.35pt;height:19.65pt;z-index:251675648;mso-position-horizontal-relative:text;mso-position-vertical-relative:text" o:preferrelative="t" wrapcoords="-982 0 -982 21228 21600 21228 21600 0 -982 0" filled="f" stroked="f">
                  <v:imagedata r:id="rId10" o:title=""/>
                  <o:lock v:ext="edit" aspectratio="t"/>
                  <w10:wrap type="tight"/>
                </v:shape>
                <w:control r:id="rId14" w:name="CheckBox111" w:shapeid="_x0000_s1041"/>
              </w:pict>
            </w:r>
          </w:p>
        </w:tc>
        <w:tc>
          <w:tcPr>
            <w:tcW w:w="1898" w:type="dxa"/>
          </w:tcPr>
          <w:p w:rsidR="00690A3D" w:rsidRPr="00660080" w:rsidRDefault="0084692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D25759" w:rsidRPr="00D25759">
              <w:rPr>
                <w:sz w:val="20"/>
                <w:szCs w:val="20"/>
              </w:rPr>
              <w:t>Demonstrate personal behaviors, attitudes and values consistent with and appropriate to the entry-level health information management professional.</w:t>
            </w:r>
          </w:p>
        </w:tc>
        <w:tc>
          <w:tcPr>
            <w:tcW w:w="1440" w:type="dxa"/>
          </w:tcPr>
          <w:p w:rsidR="00690A3D" w:rsidRDefault="006C3878" w:rsidP="008860C1">
            <w:pPr>
              <w:jc w:val="center"/>
              <w:rPr>
                <w:rFonts w:ascii="Arial" w:hAnsi="Arial" w:cs="Arial"/>
              </w:rPr>
            </w:pPr>
            <w:r>
              <w:rPr>
                <w:rFonts w:ascii="Arial" w:hAnsi="Arial" w:cs="Arial"/>
              </w:rPr>
              <w:t xml:space="preserve">HIM 110, </w:t>
            </w:r>
          </w:p>
          <w:p w:rsidR="006C3878" w:rsidRPr="002C1797" w:rsidRDefault="006C3878" w:rsidP="008860C1">
            <w:pPr>
              <w:jc w:val="center"/>
              <w:rPr>
                <w:sz w:val="20"/>
                <w:szCs w:val="20"/>
              </w:rPr>
            </w:pPr>
            <w:r>
              <w:rPr>
                <w:rFonts w:ascii="Arial" w:hAnsi="Arial" w:cs="Arial"/>
              </w:rPr>
              <w:t xml:space="preserve">111, 121, 122, 260, 261, 165, 135, 240, 265, 178, 241, 244, </w:t>
            </w:r>
            <w:r>
              <w:rPr>
                <w:rFonts w:ascii="Arial" w:hAnsi="Arial" w:cs="Arial"/>
              </w:rPr>
              <w:lastRenderedPageBreak/>
              <w:t>245, 250, 251, 252, 246, 228, 249, 218, 278</w:t>
            </w:r>
          </w:p>
        </w:tc>
        <w:tc>
          <w:tcPr>
            <w:tcW w:w="2160" w:type="dxa"/>
            <w:shd w:val="clear" w:color="auto" w:fill="auto"/>
          </w:tcPr>
          <w:p w:rsidR="00690A3D" w:rsidRPr="00690A3D" w:rsidRDefault="00846924" w:rsidP="00081142">
            <w:pPr>
              <w:rPr>
                <w:rFonts w:asciiTheme="minorHAnsi" w:hAnsiTheme="minorHAnsi"/>
                <w:sz w:val="16"/>
                <w:szCs w:val="16"/>
              </w:rPr>
            </w:pPr>
            <w:r w:rsidRPr="00846924">
              <w:rPr>
                <w:noProof/>
                <w:sz w:val="16"/>
                <w:szCs w:val="16"/>
              </w:rPr>
              <w:lastRenderedPageBreak/>
              <w:pict>
                <v:shape id="_x0000_s1042" type="#_x0000_t201" style="position:absolute;margin-left:34.9pt;margin-top:8.2pt;width:16.35pt;height:15.05pt;z-index:251677696;mso-position-horizontal-relative:text;mso-position-vertical-relative:text" o:preferrelative="t" wrapcoords="-982 0 -982 21228 21600 21228 21600 0 -982 0" filled="f" stroked="f">
                  <v:imagedata r:id="rId12" o:title=""/>
                  <o:lock v:ext="edit" aspectratio="t"/>
                  <w10:wrap type="tight"/>
                </v:shape>
                <w:control r:id="rId15" w:name="CheckBox13" w:shapeid="_x0000_s1042"/>
              </w:pict>
            </w:r>
          </w:p>
        </w:tc>
        <w:tc>
          <w:tcPr>
            <w:tcW w:w="1898" w:type="dxa"/>
          </w:tcPr>
          <w:p w:rsidR="00690A3D" w:rsidRPr="00660080" w:rsidRDefault="0083572F" w:rsidP="002B5B6A">
            <w:pPr>
              <w:pStyle w:val="ListParagraph"/>
              <w:numPr>
                <w:ilvl w:val="0"/>
                <w:numId w:val="14"/>
              </w:numPr>
              <w:ind w:left="252" w:hanging="180"/>
              <w:rPr>
                <w:sz w:val="20"/>
                <w:szCs w:val="20"/>
              </w:rPr>
            </w:pPr>
            <w:r>
              <w:rPr>
                <w:rFonts w:ascii="Arial" w:hAnsi="Arial" w:cs="Arial"/>
              </w:rPr>
              <w:t xml:space="preserve">We implemented professional behaviors and values questions on our </w:t>
            </w:r>
            <w:r>
              <w:rPr>
                <w:rFonts w:ascii="Arial" w:hAnsi="Arial" w:cs="Arial"/>
              </w:rPr>
              <w:lastRenderedPageBreak/>
              <w:t>Professional Practice Experience Daily Activity Log sheets</w:t>
            </w:r>
            <w:r w:rsidR="002B5B6A">
              <w:rPr>
                <w:rFonts w:ascii="Arial" w:hAnsi="Arial" w:cs="Arial"/>
              </w:rPr>
              <w:t>.</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lastRenderedPageBreak/>
              <w:t xml:space="preserve">6) </w:t>
            </w:r>
            <w:r w:rsidR="00D25759" w:rsidRPr="00D25759">
              <w:rPr>
                <w:sz w:val="20"/>
                <w:szCs w:val="20"/>
              </w:rPr>
              <w:t>Demonstrate proficiency in classifications and nomenclatures sufficient to support reimbursement in multiple patient care environments.</w:t>
            </w:r>
          </w:p>
        </w:tc>
        <w:tc>
          <w:tcPr>
            <w:tcW w:w="1440" w:type="dxa"/>
          </w:tcPr>
          <w:p w:rsidR="00690A3D" w:rsidRDefault="00FD01C9" w:rsidP="008860C1">
            <w:pPr>
              <w:jc w:val="center"/>
              <w:rPr>
                <w:rFonts w:ascii="Arial" w:hAnsi="Arial" w:cs="Arial"/>
              </w:rPr>
            </w:pPr>
            <w:r>
              <w:rPr>
                <w:rFonts w:ascii="Arial" w:hAnsi="Arial" w:cs="Arial"/>
              </w:rPr>
              <w:t>HIM</w:t>
            </w:r>
          </w:p>
          <w:p w:rsidR="00FD01C9" w:rsidRPr="002C1797" w:rsidRDefault="00FD01C9" w:rsidP="008860C1">
            <w:pPr>
              <w:jc w:val="center"/>
              <w:rPr>
                <w:sz w:val="20"/>
                <w:szCs w:val="20"/>
              </w:rPr>
            </w:pPr>
            <w:r>
              <w:rPr>
                <w:rFonts w:ascii="Arial" w:hAnsi="Arial" w:cs="Arial"/>
              </w:rPr>
              <w:t>260, 261, 240, 241, 178, 251, 252, 218</w:t>
            </w:r>
          </w:p>
        </w:tc>
        <w:tc>
          <w:tcPr>
            <w:tcW w:w="2160" w:type="dxa"/>
            <w:shd w:val="clear" w:color="auto" w:fill="auto"/>
          </w:tcPr>
          <w:p w:rsidR="00690A3D" w:rsidRPr="002C1797" w:rsidRDefault="00846924" w:rsidP="00081142">
            <w:pPr>
              <w:jc w:val="center"/>
              <w:rPr>
                <w:sz w:val="20"/>
                <w:szCs w:val="20"/>
              </w:rPr>
            </w:pPr>
            <w:r>
              <w:rPr>
                <w:noProof/>
                <w:sz w:val="20"/>
                <w:szCs w:val="20"/>
              </w:rPr>
              <w:pict>
                <v:shape id="_x0000_s1043" type="#_x0000_t201" style="position:absolute;left:0;text-align:left;margin-left:34.9pt;margin-top:3.35pt;width:16.35pt;height:19.65pt;z-index:251678720;mso-position-horizontal-relative:text;mso-position-vertical-relative:text" o:preferrelative="t" wrapcoords="-982 0 -982 21228 21600 21228 21600 0 -982 0" filled="f" stroked="f">
                  <v:imagedata r:id="rId10" o:title=""/>
                  <o:lock v:ext="edit" aspectratio="t"/>
                  <w10:wrap type="tight"/>
                </v:shape>
                <w:control r:id="rId16" w:name="CheckBox112" w:shapeid="_x0000_s1043"/>
              </w:pict>
            </w:r>
          </w:p>
        </w:tc>
        <w:tc>
          <w:tcPr>
            <w:tcW w:w="1898" w:type="dxa"/>
          </w:tcPr>
          <w:p w:rsidR="00690A3D" w:rsidRPr="00660080" w:rsidRDefault="0084692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E96021" w:rsidRPr="00107027" w:rsidTr="00827AE5">
        <w:trPr>
          <w:trHeight w:val="71"/>
        </w:trPr>
        <w:tc>
          <w:tcPr>
            <w:tcW w:w="5340" w:type="dxa"/>
            <w:shd w:val="clear" w:color="auto" w:fill="FFFFFF"/>
            <w:vAlign w:val="center"/>
          </w:tcPr>
          <w:p w:rsidR="00E96021" w:rsidRPr="002C1797" w:rsidRDefault="00E96021" w:rsidP="008860C1">
            <w:pPr>
              <w:rPr>
                <w:sz w:val="20"/>
                <w:szCs w:val="20"/>
              </w:rPr>
            </w:pPr>
            <w:r w:rsidRPr="002C1797">
              <w:rPr>
                <w:b/>
                <w:sz w:val="20"/>
                <w:szCs w:val="20"/>
              </w:rPr>
              <w:t>7)</w:t>
            </w:r>
            <w:r w:rsidR="00D25759" w:rsidRPr="0020027F">
              <w:rPr>
                <w:i/>
              </w:rPr>
              <w:t xml:space="preserve"> </w:t>
            </w:r>
            <w:r w:rsidR="00D25759" w:rsidRPr="00D25759">
              <w:rPr>
                <w:sz w:val="20"/>
                <w:szCs w:val="20"/>
              </w:rPr>
              <w:t>Demonstrate competency and skill in the technology used by the healthcare information environment.</w:t>
            </w:r>
          </w:p>
        </w:tc>
        <w:tc>
          <w:tcPr>
            <w:tcW w:w="1440" w:type="dxa"/>
          </w:tcPr>
          <w:p w:rsidR="00E96021" w:rsidRDefault="00FD01C9" w:rsidP="008860C1">
            <w:pPr>
              <w:jc w:val="center"/>
              <w:rPr>
                <w:rFonts w:ascii="Arial" w:hAnsi="Arial" w:cs="Arial"/>
              </w:rPr>
            </w:pPr>
            <w:r>
              <w:rPr>
                <w:rFonts w:ascii="Arial" w:hAnsi="Arial" w:cs="Arial"/>
              </w:rPr>
              <w:t>HIM</w:t>
            </w:r>
          </w:p>
          <w:p w:rsidR="00FD01C9" w:rsidRPr="002C1797" w:rsidRDefault="00FD01C9" w:rsidP="008860C1">
            <w:pPr>
              <w:jc w:val="center"/>
              <w:rPr>
                <w:sz w:val="20"/>
                <w:szCs w:val="20"/>
              </w:rPr>
            </w:pPr>
            <w:r>
              <w:rPr>
                <w:rFonts w:ascii="Arial" w:hAnsi="Arial" w:cs="Arial"/>
              </w:rPr>
              <w:t>110, 111, 135, 265, 178, 241, 245, 250, 251, 246, 252</w:t>
            </w:r>
          </w:p>
        </w:tc>
        <w:tc>
          <w:tcPr>
            <w:tcW w:w="2160" w:type="dxa"/>
            <w:shd w:val="clear" w:color="auto" w:fill="auto"/>
          </w:tcPr>
          <w:p w:rsidR="00E96021" w:rsidRPr="00690A3D" w:rsidRDefault="00846924" w:rsidP="00081142">
            <w:pPr>
              <w:rPr>
                <w:rFonts w:asciiTheme="minorHAnsi" w:hAnsiTheme="minorHAnsi"/>
                <w:sz w:val="16"/>
                <w:szCs w:val="16"/>
              </w:rPr>
            </w:pPr>
            <w:r w:rsidRPr="00846924">
              <w:rPr>
                <w:noProof/>
                <w:sz w:val="16"/>
                <w:szCs w:val="16"/>
              </w:rPr>
              <w:pict>
                <v:shape id="_x0000_s1046" type="#_x0000_t201" style="position:absolute;margin-left:34.9pt;margin-top:8.2pt;width:16.35pt;height:15.05pt;z-index:251658240;mso-position-horizontal-relative:text;mso-position-vertical-relative:text" o:preferrelative="t" wrapcoords="-982 0 -982 21228 21600 21228 21600 0 -982 0" filled="f" stroked="f">
                  <v:imagedata r:id="rId8" o:title=""/>
                  <o:lock v:ext="edit" aspectratio="t"/>
                  <w10:wrap type="tight"/>
                </v:shape>
                <w:control r:id="rId17" w:name="CheckBox14" w:shapeid="_x0000_s1046"/>
              </w:pict>
            </w:r>
          </w:p>
        </w:tc>
        <w:tc>
          <w:tcPr>
            <w:tcW w:w="1898" w:type="dxa"/>
          </w:tcPr>
          <w:p w:rsidR="00E96021" w:rsidRPr="00660080" w:rsidRDefault="0084692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9602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FA24D1" w:rsidP="0028603C">
      <w:pPr>
        <w:tabs>
          <w:tab w:val="left" w:pos="5040"/>
        </w:tabs>
        <w:rPr>
          <w:rFonts w:ascii="Arial" w:hAnsi="Arial" w:cs="Arial"/>
        </w:rPr>
      </w:pPr>
    </w:p>
    <w:p w:rsidR="00AE467D" w:rsidRDefault="00AE467D" w:rsidP="0028603C">
      <w:pPr>
        <w:tabs>
          <w:tab w:val="left" w:pos="5040"/>
        </w:tabs>
        <w:rPr>
          <w:rFonts w:ascii="Arial" w:hAnsi="Arial" w:cs="Arial"/>
        </w:rPr>
      </w:pPr>
      <w:r>
        <w:rPr>
          <w:rFonts w:ascii="Arial" w:hAnsi="Arial" w:cs="Arial"/>
        </w:rPr>
        <w:t xml:space="preserve">We compared our </w:t>
      </w:r>
      <w:r w:rsidR="005F5C15">
        <w:rPr>
          <w:rFonts w:ascii="Arial" w:hAnsi="Arial" w:cs="Arial"/>
        </w:rPr>
        <w:t xml:space="preserve">10/1/09 – 9/20/10 national RHIT exam </w:t>
      </w:r>
      <w:r>
        <w:rPr>
          <w:rFonts w:ascii="Arial" w:hAnsi="Arial" w:cs="Arial"/>
        </w:rPr>
        <w:t xml:space="preserve">results of AHIMA’s </w:t>
      </w:r>
      <w:proofErr w:type="spellStart"/>
      <w:r>
        <w:rPr>
          <w:rFonts w:ascii="Arial" w:hAnsi="Arial" w:cs="Arial"/>
        </w:rPr>
        <w:t>subdomains</w:t>
      </w:r>
      <w:proofErr w:type="spellEnd"/>
      <w:r>
        <w:rPr>
          <w:rFonts w:ascii="Arial" w:hAnsi="Arial" w:cs="Arial"/>
        </w:rPr>
        <w:t xml:space="preserve"> with the national average. Our results revealed 100% of our results of each </w:t>
      </w:r>
      <w:proofErr w:type="spellStart"/>
      <w:r>
        <w:rPr>
          <w:rFonts w:ascii="Arial" w:hAnsi="Arial" w:cs="Arial"/>
        </w:rPr>
        <w:t>subdomain</w:t>
      </w:r>
      <w:proofErr w:type="spellEnd"/>
      <w:r>
        <w:rPr>
          <w:rFonts w:ascii="Arial" w:hAnsi="Arial" w:cs="Arial"/>
        </w:rPr>
        <w:t xml:space="preserve"> to be above the national average. Although changes are constantly made to improve teaching strategies and learning outcomes, no changes are planned as a result of the data. </w:t>
      </w:r>
    </w:p>
    <w:p w:rsidR="002B5B6A" w:rsidRDefault="002B5B6A" w:rsidP="0028603C">
      <w:pPr>
        <w:tabs>
          <w:tab w:val="left" w:pos="5040"/>
        </w:tabs>
        <w:rPr>
          <w:rFonts w:ascii="Arial" w:hAnsi="Arial" w:cs="Arial"/>
        </w:rPr>
      </w:pPr>
    </w:p>
    <w:p w:rsidR="002B5B6A" w:rsidRDefault="002B5B6A" w:rsidP="0028603C">
      <w:pPr>
        <w:tabs>
          <w:tab w:val="left" w:pos="5040"/>
        </w:tabs>
        <w:rPr>
          <w:rFonts w:ascii="Arial" w:hAnsi="Arial" w:cs="Arial"/>
        </w:rPr>
      </w:pPr>
      <w:r>
        <w:rPr>
          <w:rFonts w:ascii="Arial" w:hAnsi="Arial" w:cs="Arial"/>
        </w:rPr>
        <w:t>We implemented professional behaviors and values questions on our Professional Practice Experience Daily Activity Log sheets. Each day that students are at their PPE site, the students must assess the professional behavior, work ethic, peer discussions and appearance of themselves and the workers around them. These assessments are monitored by SCC HIM faculty for 100% compliance/completion each clinical day. Students are also evaluated on these same behaviors by their PPE supervisor.</w:t>
      </w:r>
      <w:r w:rsidR="004B5AB2">
        <w:rPr>
          <w:rFonts w:ascii="Arial" w:hAnsi="Arial" w:cs="Arial"/>
        </w:rPr>
        <w:t xml:space="preserve"> All aspects of professionalism </w:t>
      </w:r>
      <w:r w:rsidR="001B4AF3">
        <w:rPr>
          <w:rFonts w:ascii="Arial" w:hAnsi="Arial" w:cs="Arial"/>
        </w:rPr>
        <w:t>continue</w:t>
      </w:r>
      <w:r w:rsidR="004B5AB2">
        <w:rPr>
          <w:rFonts w:ascii="Arial" w:hAnsi="Arial" w:cs="Arial"/>
        </w:rPr>
        <w:t xml:space="preserve"> to be emphasized in all HIM courses and no changes are planned as a result of the data.</w:t>
      </w:r>
    </w:p>
    <w:p w:rsidR="00847243" w:rsidRDefault="00847243" w:rsidP="00660080">
      <w:pPr>
        <w:spacing w:after="200" w:line="276" w:lineRule="auto"/>
      </w:pPr>
    </w:p>
    <w:p w:rsidR="00A65361" w:rsidRDefault="00414645" w:rsidP="00A65361">
      <w:pPr>
        <w:spacing w:after="200"/>
      </w:pPr>
      <w:r>
        <w:t>b</w:t>
      </w:r>
      <w:r w:rsidR="00A63ACE">
        <w:t>)   What other changes have been made in past years as a result of assessment of program outcomes?  What evidence is there that these changes have had an impact?</w:t>
      </w:r>
    </w:p>
    <w:p w:rsidR="00A65361" w:rsidRDefault="00A65361" w:rsidP="00A65361">
      <w:pPr>
        <w:spacing w:after="200"/>
        <w:rPr>
          <w:rFonts w:ascii="Arial" w:hAnsi="Arial" w:cs="Arial"/>
        </w:rPr>
      </w:pPr>
      <w:r>
        <w:rPr>
          <w:rFonts w:ascii="Arial" w:hAnsi="Arial" w:cs="Arial"/>
        </w:rPr>
        <w:t xml:space="preserve">The department made a conscious decision to convert from using Learning Resource Packets in coding courses to textbooks. This has been a negative learning experience for faculty in that the textbooks do not deliver the “customized” coding instruction needed to provide students with reinforced technical </w:t>
      </w:r>
      <w:r w:rsidR="00C248AB">
        <w:rPr>
          <w:rFonts w:ascii="Arial" w:hAnsi="Arial" w:cs="Arial"/>
        </w:rPr>
        <w:t xml:space="preserve">coding </w:t>
      </w:r>
      <w:r>
        <w:rPr>
          <w:rFonts w:ascii="Arial" w:hAnsi="Arial" w:cs="Arial"/>
        </w:rPr>
        <w:t>skills.</w:t>
      </w:r>
      <w:r w:rsidR="00FF399E">
        <w:rPr>
          <w:rFonts w:ascii="Arial" w:hAnsi="Arial" w:cs="Arial"/>
        </w:rPr>
        <w:t xml:space="preserve"> Student and faculty frustration and complaints have multiplied. Evidence of this impact includes complaints about the expense of the textbooks, frustration due to the incorrect answers in the textbook, and the inflexibility to adequately “teach” the critical thinking required to arrive </w:t>
      </w:r>
      <w:r w:rsidR="00FF399E">
        <w:rPr>
          <w:rFonts w:ascii="Arial" w:hAnsi="Arial" w:cs="Arial"/>
        </w:rPr>
        <w:lastRenderedPageBreak/>
        <w:t xml:space="preserve">at the correct code. </w:t>
      </w:r>
      <w:r w:rsidR="00C248AB">
        <w:rPr>
          <w:rFonts w:ascii="Arial" w:hAnsi="Arial" w:cs="Arial"/>
        </w:rPr>
        <w:t>We have revamped the past LRPs and are again using them in coding courses.</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034CE6" w:rsidP="00034CE6">
      <w:pPr>
        <w:tabs>
          <w:tab w:val="left" w:pos="5040"/>
        </w:tabs>
      </w:pPr>
    </w:p>
    <w:p w:rsidR="00847243" w:rsidRPr="00FB5764" w:rsidRDefault="00F36EA5" w:rsidP="00034CE6">
      <w:pPr>
        <w:tabs>
          <w:tab w:val="left" w:pos="5040"/>
        </w:tabs>
        <w:rPr>
          <w:rFonts w:ascii="Arial" w:hAnsi="Arial" w:cs="Arial"/>
        </w:rPr>
      </w:pPr>
      <w:r w:rsidRPr="00FB5764">
        <w:rPr>
          <w:rFonts w:ascii="Arial" w:hAnsi="Arial" w:cs="Arial"/>
        </w:rPr>
        <w:t xml:space="preserve">Critical reading standards were included and discussed with students in HIM110 (first </w:t>
      </w:r>
      <w:r w:rsidR="00694DA2">
        <w:rPr>
          <w:rFonts w:ascii="Arial" w:hAnsi="Arial" w:cs="Arial"/>
        </w:rPr>
        <w:t xml:space="preserve">HIM course in the curriculum). </w:t>
      </w:r>
      <w:r w:rsidRPr="00FB5764">
        <w:rPr>
          <w:rFonts w:ascii="Arial" w:hAnsi="Arial" w:cs="Arial"/>
        </w:rPr>
        <w:t xml:space="preserve">Grading rubrics were added to discussion forums to </w:t>
      </w:r>
      <w:r w:rsidR="00943CAF" w:rsidRPr="00FB5764">
        <w:rPr>
          <w:rFonts w:ascii="Arial" w:hAnsi="Arial" w:cs="Arial"/>
        </w:rPr>
        <w:t>inform</w:t>
      </w:r>
      <w:r w:rsidRPr="00FB5764">
        <w:rPr>
          <w:rFonts w:ascii="Arial" w:hAnsi="Arial" w:cs="Arial"/>
        </w:rPr>
        <w:t xml:space="preserve"> students </w:t>
      </w:r>
      <w:r w:rsidR="00943CAF" w:rsidRPr="00FB5764">
        <w:rPr>
          <w:rFonts w:ascii="Arial" w:hAnsi="Arial" w:cs="Arial"/>
        </w:rPr>
        <w:t>of</w:t>
      </w:r>
      <w:r w:rsidRPr="00FB5764">
        <w:rPr>
          <w:rFonts w:ascii="Arial" w:hAnsi="Arial" w:cs="Arial"/>
        </w:rPr>
        <w:t xml:space="preserve"> the critical thinking and reasoning that must be included in discussion posts.</w:t>
      </w:r>
    </w:p>
    <w:p w:rsidR="00847243" w:rsidRDefault="00847243">
      <w:pPr>
        <w:spacing w:after="200" w:line="276" w:lineRule="auto"/>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3A3CD6" w:rsidRDefault="003A3CD6" w:rsidP="00827AE5">
      <w:pPr>
        <w:pStyle w:val="ListParagraph"/>
        <w:tabs>
          <w:tab w:val="left" w:pos="5040"/>
        </w:tabs>
        <w:rPr>
          <w:rFonts w:ascii="Arial" w:hAnsi="Arial" w:cs="Arial"/>
        </w:rPr>
      </w:pPr>
    </w:p>
    <w:p w:rsidR="003A3CD6" w:rsidRDefault="003A3CD6" w:rsidP="00827AE5">
      <w:pPr>
        <w:pStyle w:val="ListParagraph"/>
        <w:tabs>
          <w:tab w:val="left" w:pos="5040"/>
        </w:tabs>
        <w:rPr>
          <w:rFonts w:ascii="Arial" w:hAnsi="Arial" w:cs="Arial"/>
        </w:rPr>
      </w:pPr>
      <w:r>
        <w:rPr>
          <w:rFonts w:ascii="Arial" w:hAnsi="Arial" w:cs="Arial"/>
        </w:rPr>
        <w:t xml:space="preserve">Our </w:t>
      </w:r>
      <w:proofErr w:type="spellStart"/>
      <w:r>
        <w:rPr>
          <w:rFonts w:ascii="Arial" w:hAnsi="Arial" w:cs="Arial"/>
        </w:rPr>
        <w:t>Medicolegal</w:t>
      </w:r>
      <w:proofErr w:type="spellEnd"/>
      <w:r>
        <w:rPr>
          <w:rFonts w:ascii="Arial" w:hAnsi="Arial" w:cs="Arial"/>
        </w:rPr>
        <w:t xml:space="preserve"> course was transformed to include the theory and application of HIPAA, response to subpoenas, ARRA, and use of professional software for release of information. Our rates on student national RHIT competencies will not yet reflect this change but this change should prove increased AHIMA </w:t>
      </w:r>
      <w:proofErr w:type="spellStart"/>
      <w:r>
        <w:rPr>
          <w:rFonts w:ascii="Arial" w:hAnsi="Arial" w:cs="Arial"/>
        </w:rPr>
        <w:t>subdomain</w:t>
      </w:r>
      <w:proofErr w:type="spellEnd"/>
      <w:r>
        <w:rPr>
          <w:rFonts w:ascii="Arial" w:hAnsi="Arial" w:cs="Arial"/>
        </w:rPr>
        <w:t xml:space="preserve"> scores in Healthcare Privacy, Confidentiality, Legal, and Ethical Issues. </w:t>
      </w:r>
    </w:p>
    <w:p w:rsidR="003A3CD6" w:rsidRDefault="003A3CD6" w:rsidP="00827AE5">
      <w:pPr>
        <w:pStyle w:val="ListParagraph"/>
        <w:tabs>
          <w:tab w:val="left" w:pos="5040"/>
        </w:tabs>
        <w:rPr>
          <w:rFonts w:ascii="Arial" w:hAnsi="Arial" w:cs="Arial"/>
        </w:rPr>
      </w:pPr>
    </w:p>
    <w:p w:rsidR="001E36D2" w:rsidRDefault="001E36D2" w:rsidP="00827AE5">
      <w:pPr>
        <w:pStyle w:val="ListParagraph"/>
        <w:tabs>
          <w:tab w:val="left" w:pos="5040"/>
        </w:tabs>
        <w:rPr>
          <w:rFonts w:ascii="Arial" w:hAnsi="Arial" w:cs="Arial"/>
        </w:rPr>
      </w:pPr>
      <w:r>
        <w:rPr>
          <w:rFonts w:ascii="Arial" w:hAnsi="Arial" w:cs="Arial"/>
        </w:rPr>
        <w:t xml:space="preserve">The department changed </w:t>
      </w:r>
      <w:r w:rsidR="0066478A">
        <w:rPr>
          <w:rFonts w:ascii="Arial" w:hAnsi="Arial" w:cs="Arial"/>
        </w:rPr>
        <w:t xml:space="preserve">from </w:t>
      </w:r>
      <w:proofErr w:type="gramStart"/>
      <w:r w:rsidR="0066478A">
        <w:rPr>
          <w:rFonts w:ascii="Arial" w:hAnsi="Arial" w:cs="Arial"/>
        </w:rPr>
        <w:t>a previous</w:t>
      </w:r>
      <w:proofErr w:type="gramEnd"/>
      <w:r w:rsidR="0066478A">
        <w:rPr>
          <w:rFonts w:ascii="Arial" w:hAnsi="Arial" w:cs="Arial"/>
        </w:rPr>
        <w:t xml:space="preserve">-used </w:t>
      </w:r>
      <w:r>
        <w:rPr>
          <w:rFonts w:ascii="Arial" w:hAnsi="Arial" w:cs="Arial"/>
        </w:rPr>
        <w:t xml:space="preserve">remote student access software to Citrix which has allowed expanded and faster accessibility to professional software for students. </w:t>
      </w:r>
    </w:p>
    <w:p w:rsidR="001E36D2" w:rsidRDefault="001E36D2" w:rsidP="00827AE5">
      <w:pPr>
        <w:pStyle w:val="ListParagraph"/>
        <w:tabs>
          <w:tab w:val="left" w:pos="5040"/>
        </w:tabs>
        <w:rPr>
          <w:rFonts w:ascii="Arial" w:hAnsi="Arial" w:cs="Arial"/>
        </w:rPr>
      </w:pPr>
    </w:p>
    <w:p w:rsidR="001E36D2" w:rsidRDefault="001E36D2" w:rsidP="00827AE5">
      <w:pPr>
        <w:pStyle w:val="ListParagraph"/>
        <w:tabs>
          <w:tab w:val="left" w:pos="5040"/>
        </w:tabs>
        <w:rPr>
          <w:rFonts w:ascii="Arial" w:hAnsi="Arial" w:cs="Arial"/>
        </w:rPr>
      </w:pPr>
      <w:r>
        <w:rPr>
          <w:rFonts w:ascii="Arial" w:hAnsi="Arial" w:cs="Arial"/>
        </w:rPr>
        <w:t xml:space="preserve">The HIM New Student Orientation incorporated the use of Adobe Connect which made the orientation more “conversational” and informative for HIM students entering the program. Other </w:t>
      </w:r>
      <w:r w:rsidR="00820316">
        <w:rPr>
          <w:rFonts w:ascii="Arial" w:hAnsi="Arial" w:cs="Arial"/>
        </w:rPr>
        <w:t xml:space="preserve">additional </w:t>
      </w:r>
      <w:r>
        <w:rPr>
          <w:rFonts w:ascii="Arial" w:hAnsi="Arial" w:cs="Arial"/>
        </w:rPr>
        <w:t>improvements to the orientation process allowed flexibility in delivering the mandated orientation.</w:t>
      </w:r>
    </w:p>
    <w:p w:rsidR="00A92E9C" w:rsidRDefault="00A92E9C" w:rsidP="00827AE5">
      <w:pPr>
        <w:pStyle w:val="ListParagraph"/>
        <w:tabs>
          <w:tab w:val="left" w:pos="5040"/>
        </w:tabs>
        <w:rPr>
          <w:rFonts w:ascii="Arial" w:hAnsi="Arial" w:cs="Arial"/>
        </w:rPr>
      </w:pPr>
    </w:p>
    <w:p w:rsidR="00A92E9C" w:rsidRDefault="00A92E9C" w:rsidP="00827AE5">
      <w:pPr>
        <w:pStyle w:val="ListParagraph"/>
        <w:tabs>
          <w:tab w:val="left" w:pos="5040"/>
        </w:tabs>
        <w:rPr>
          <w:rFonts w:ascii="Arial" w:hAnsi="Arial" w:cs="Arial"/>
        </w:rPr>
      </w:pPr>
      <w:r>
        <w:rPr>
          <w:rFonts w:ascii="Arial" w:hAnsi="Arial" w:cs="Arial"/>
        </w:rPr>
        <w:t xml:space="preserve">Based upon student feedback, the portfolio project </w:t>
      </w:r>
      <w:r w:rsidR="002417AA">
        <w:rPr>
          <w:rFonts w:ascii="Arial" w:hAnsi="Arial" w:cs="Arial"/>
        </w:rPr>
        <w:t>(</w:t>
      </w:r>
      <w:r>
        <w:rPr>
          <w:rFonts w:ascii="Arial" w:hAnsi="Arial" w:cs="Arial"/>
        </w:rPr>
        <w:t>scheduled</w:t>
      </w:r>
      <w:r w:rsidR="002417AA">
        <w:rPr>
          <w:rFonts w:ascii="Arial" w:hAnsi="Arial" w:cs="Arial"/>
        </w:rPr>
        <w:t>/due</w:t>
      </w:r>
      <w:r>
        <w:rPr>
          <w:rFonts w:ascii="Arial" w:hAnsi="Arial" w:cs="Arial"/>
        </w:rPr>
        <w:t xml:space="preserve"> in the last quarter of the program</w:t>
      </w:r>
      <w:r w:rsidR="002417AA">
        <w:rPr>
          <w:rFonts w:ascii="Arial" w:hAnsi="Arial" w:cs="Arial"/>
        </w:rPr>
        <w:t>)</w:t>
      </w:r>
      <w:r>
        <w:rPr>
          <w:rFonts w:ascii="Arial" w:hAnsi="Arial" w:cs="Arial"/>
        </w:rPr>
        <w:t xml:space="preserve"> was introduced to students in the first course of the program. This “up-front” </w:t>
      </w:r>
      <w:r w:rsidR="002417AA">
        <w:rPr>
          <w:rFonts w:ascii="Arial" w:hAnsi="Arial" w:cs="Arial"/>
        </w:rPr>
        <w:t>alert</w:t>
      </w:r>
      <w:r>
        <w:rPr>
          <w:rFonts w:ascii="Arial" w:hAnsi="Arial" w:cs="Arial"/>
        </w:rPr>
        <w:t xml:space="preserve"> provided students with information about documents and evidence of accomplishments that would need to be produced in the</w:t>
      </w:r>
      <w:r w:rsidR="002417AA">
        <w:rPr>
          <w:rFonts w:ascii="Arial" w:hAnsi="Arial" w:cs="Arial"/>
        </w:rPr>
        <w:t>ir</w:t>
      </w:r>
      <w:r>
        <w:rPr>
          <w:rFonts w:ascii="Arial" w:hAnsi="Arial" w:cs="Arial"/>
        </w:rPr>
        <w:t xml:space="preserve"> final project of the program.</w:t>
      </w:r>
    </w:p>
    <w:p w:rsidR="002417AA" w:rsidRDefault="002417AA" w:rsidP="00827AE5">
      <w:pPr>
        <w:pStyle w:val="ListParagraph"/>
        <w:tabs>
          <w:tab w:val="left" w:pos="5040"/>
        </w:tabs>
        <w:rPr>
          <w:rFonts w:ascii="Arial" w:hAnsi="Arial" w:cs="Arial"/>
        </w:rPr>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943CAF" w:rsidRDefault="00943CAF" w:rsidP="00943CAF">
      <w:pPr>
        <w:pStyle w:val="ListParagraph"/>
        <w:spacing w:after="200"/>
        <w:rPr>
          <w:rFonts w:ascii="Arial" w:hAnsi="Arial" w:cs="Arial"/>
        </w:rPr>
      </w:pPr>
    </w:p>
    <w:p w:rsidR="00943CAF" w:rsidRPr="00A63ACE" w:rsidRDefault="00943CAF" w:rsidP="00943CAF">
      <w:pPr>
        <w:pStyle w:val="ListParagraph"/>
        <w:spacing w:after="200"/>
      </w:pPr>
      <w:r w:rsidRPr="00943CAF">
        <w:rPr>
          <w:rFonts w:ascii="Arial" w:hAnsi="Arial" w:cs="Arial"/>
        </w:rPr>
        <w:t xml:space="preserve">Based upon assessment of program outcomes, student feedback and community needs, </w:t>
      </w:r>
      <w:proofErr w:type="gramStart"/>
      <w:r w:rsidRPr="00943CAF">
        <w:rPr>
          <w:rFonts w:ascii="Arial" w:hAnsi="Arial" w:cs="Arial"/>
        </w:rPr>
        <w:t>HIM</w:t>
      </w:r>
      <w:proofErr w:type="gramEnd"/>
      <w:r w:rsidRPr="00943CAF">
        <w:rPr>
          <w:rFonts w:ascii="Arial" w:hAnsi="Arial" w:cs="Arial"/>
        </w:rPr>
        <w:t xml:space="preserve"> students need further exposure to an electronic health record (EHR). </w:t>
      </w:r>
      <w:r w:rsidRPr="00943CAF">
        <w:rPr>
          <w:rFonts w:ascii="Arial" w:hAnsi="Arial" w:cs="Arial"/>
        </w:rPr>
        <w:lastRenderedPageBreak/>
        <w:t xml:space="preserve">We are investigating the use of Vista, a free, open-source electronic health record currently used by the VA hospitals. Meetings with IT have been set </w:t>
      </w:r>
      <w:r>
        <w:rPr>
          <w:rFonts w:ascii="Arial" w:hAnsi="Arial" w:cs="Arial"/>
        </w:rPr>
        <w:t xml:space="preserve">for </w:t>
      </w:r>
      <w:r w:rsidR="0072791B">
        <w:rPr>
          <w:rFonts w:ascii="Arial" w:hAnsi="Arial" w:cs="Arial"/>
        </w:rPr>
        <w:t>April</w:t>
      </w:r>
      <w:r>
        <w:rPr>
          <w:rFonts w:ascii="Arial" w:hAnsi="Arial" w:cs="Arial"/>
        </w:rPr>
        <w:t xml:space="preserve"> 2011 </w:t>
      </w:r>
      <w:r w:rsidRPr="00943CAF">
        <w:rPr>
          <w:rFonts w:ascii="Arial" w:hAnsi="Arial" w:cs="Arial"/>
        </w:rPr>
        <w:t xml:space="preserve">and the feasibility of using this technology </w:t>
      </w:r>
      <w:r>
        <w:rPr>
          <w:rFonts w:ascii="Arial" w:hAnsi="Arial" w:cs="Arial"/>
        </w:rPr>
        <w:t xml:space="preserve">in our program </w:t>
      </w:r>
      <w:r w:rsidRPr="00943CAF">
        <w:rPr>
          <w:rFonts w:ascii="Arial" w:hAnsi="Arial" w:cs="Arial"/>
        </w:rPr>
        <w:t xml:space="preserve">will be investigated. </w:t>
      </w:r>
      <w:r>
        <w:rPr>
          <w:rFonts w:ascii="Arial" w:hAnsi="Arial" w:cs="Arial"/>
        </w:rPr>
        <w:t xml:space="preserve">We will know whether we are successful if we are able to implement and </w:t>
      </w:r>
      <w:r w:rsidRPr="00943CAF">
        <w:rPr>
          <w:rFonts w:ascii="Arial" w:hAnsi="Arial" w:cs="Arial"/>
        </w:rPr>
        <w:t>utiliz</w:t>
      </w:r>
      <w:r>
        <w:rPr>
          <w:rFonts w:ascii="Arial" w:hAnsi="Arial" w:cs="Arial"/>
        </w:rPr>
        <w:t>e</w:t>
      </w:r>
      <w:r w:rsidRPr="00943CAF">
        <w:rPr>
          <w:rFonts w:ascii="Arial" w:hAnsi="Arial" w:cs="Arial"/>
        </w:rPr>
        <w:t xml:space="preserve"> the EHR in HIM coursework.</w:t>
      </w:r>
    </w:p>
    <w:p w:rsidR="00FA24D1" w:rsidRDefault="00FA24D1"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6924"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D21EB6" w:rsidRDefault="00D21EB6" w:rsidP="00847243">
                  <w:r>
                    <w:t>Questions regarding completion of the Annual Update</w:t>
                  </w:r>
                  <w:proofErr w:type="gramStart"/>
                  <w:r>
                    <w:t xml:space="preserve">?  </w:t>
                  </w:r>
                  <w:proofErr w:type="gramEnd"/>
                  <w:r>
                    <w:t>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B6" w:rsidRDefault="00D21EB6" w:rsidP="0094204C">
      <w:r>
        <w:separator/>
      </w:r>
    </w:p>
  </w:endnote>
  <w:endnote w:type="continuationSeparator" w:id="0">
    <w:p w:rsidR="00D21EB6" w:rsidRDefault="00D21EB6"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B6" w:rsidRPr="00E16205" w:rsidRDefault="00D21EB6"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D21EB6" w:rsidRDefault="00D21EB6">
    <w:pPr>
      <w:pStyle w:val="Footer"/>
    </w:pPr>
  </w:p>
  <w:p w:rsidR="00D21EB6" w:rsidRDefault="00D21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B6" w:rsidRDefault="00D21EB6" w:rsidP="0094204C">
      <w:r>
        <w:separator/>
      </w:r>
    </w:p>
  </w:footnote>
  <w:footnote w:type="continuationSeparator" w:id="0">
    <w:p w:rsidR="00D21EB6" w:rsidRDefault="00D21EB6"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96454"/>
    <w:multiLevelType w:val="hybridMultilevel"/>
    <w:tmpl w:val="51F49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1320A0"/>
    <w:multiLevelType w:val="hybridMultilevel"/>
    <w:tmpl w:val="A01AA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20"/>
  </w:num>
  <w:num w:numId="4">
    <w:abstractNumId w:val="9"/>
  </w:num>
  <w:num w:numId="5">
    <w:abstractNumId w:val="12"/>
  </w:num>
  <w:num w:numId="6">
    <w:abstractNumId w:val="7"/>
  </w:num>
  <w:num w:numId="7">
    <w:abstractNumId w:val="10"/>
  </w:num>
  <w:num w:numId="8">
    <w:abstractNumId w:val="13"/>
  </w:num>
  <w:num w:numId="9">
    <w:abstractNumId w:val="19"/>
  </w:num>
  <w:num w:numId="10">
    <w:abstractNumId w:val="17"/>
  </w:num>
  <w:num w:numId="11">
    <w:abstractNumId w:val="8"/>
  </w:num>
  <w:num w:numId="12">
    <w:abstractNumId w:val="1"/>
  </w:num>
  <w:num w:numId="13">
    <w:abstractNumId w:val="2"/>
  </w:num>
  <w:num w:numId="14">
    <w:abstractNumId w:val="18"/>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70662"/>
    <w:rsid w:val="00081142"/>
    <w:rsid w:val="000A4EE0"/>
    <w:rsid w:val="000D3A39"/>
    <w:rsid w:val="000F21D3"/>
    <w:rsid w:val="0010227C"/>
    <w:rsid w:val="001026AA"/>
    <w:rsid w:val="00116BB4"/>
    <w:rsid w:val="001201D5"/>
    <w:rsid w:val="00120E81"/>
    <w:rsid w:val="001240D0"/>
    <w:rsid w:val="00150B02"/>
    <w:rsid w:val="0016507A"/>
    <w:rsid w:val="00172A68"/>
    <w:rsid w:val="00183806"/>
    <w:rsid w:val="00184AE5"/>
    <w:rsid w:val="00195B7B"/>
    <w:rsid w:val="001A1B67"/>
    <w:rsid w:val="001B4AF3"/>
    <w:rsid w:val="001B6007"/>
    <w:rsid w:val="001D5757"/>
    <w:rsid w:val="001D7080"/>
    <w:rsid w:val="001E36D2"/>
    <w:rsid w:val="002245AB"/>
    <w:rsid w:val="0022692B"/>
    <w:rsid w:val="002417AA"/>
    <w:rsid w:val="0025548D"/>
    <w:rsid w:val="00255C18"/>
    <w:rsid w:val="00256114"/>
    <w:rsid w:val="00265A99"/>
    <w:rsid w:val="0026791C"/>
    <w:rsid w:val="00281C63"/>
    <w:rsid w:val="0028603C"/>
    <w:rsid w:val="00293D8D"/>
    <w:rsid w:val="00294B80"/>
    <w:rsid w:val="002B5B6A"/>
    <w:rsid w:val="002C1797"/>
    <w:rsid w:val="002C56AC"/>
    <w:rsid w:val="002C66FD"/>
    <w:rsid w:val="002E175B"/>
    <w:rsid w:val="002E28B0"/>
    <w:rsid w:val="002E548B"/>
    <w:rsid w:val="00303041"/>
    <w:rsid w:val="00320CDE"/>
    <w:rsid w:val="003254BC"/>
    <w:rsid w:val="00330692"/>
    <w:rsid w:val="00344B86"/>
    <w:rsid w:val="003454F6"/>
    <w:rsid w:val="003A298D"/>
    <w:rsid w:val="003A3CD6"/>
    <w:rsid w:val="003B5176"/>
    <w:rsid w:val="003B743D"/>
    <w:rsid w:val="003C29AA"/>
    <w:rsid w:val="003E1A8A"/>
    <w:rsid w:val="003F442B"/>
    <w:rsid w:val="00414645"/>
    <w:rsid w:val="00424E5D"/>
    <w:rsid w:val="00425F46"/>
    <w:rsid w:val="00445215"/>
    <w:rsid w:val="00461386"/>
    <w:rsid w:val="00462D00"/>
    <w:rsid w:val="00471010"/>
    <w:rsid w:val="004712EB"/>
    <w:rsid w:val="004818E1"/>
    <w:rsid w:val="00481A7E"/>
    <w:rsid w:val="0048427F"/>
    <w:rsid w:val="00493DD0"/>
    <w:rsid w:val="00495C9D"/>
    <w:rsid w:val="004B5AB2"/>
    <w:rsid w:val="004B7492"/>
    <w:rsid w:val="004C2B30"/>
    <w:rsid w:val="004D3BE1"/>
    <w:rsid w:val="004D3C8C"/>
    <w:rsid w:val="004E4BD6"/>
    <w:rsid w:val="00516463"/>
    <w:rsid w:val="0052257E"/>
    <w:rsid w:val="0054350A"/>
    <w:rsid w:val="0056424F"/>
    <w:rsid w:val="00573ECD"/>
    <w:rsid w:val="005863ED"/>
    <w:rsid w:val="0059315B"/>
    <w:rsid w:val="005A6FB0"/>
    <w:rsid w:val="005F5C15"/>
    <w:rsid w:val="005F7377"/>
    <w:rsid w:val="006133EB"/>
    <w:rsid w:val="0061712A"/>
    <w:rsid w:val="006368CC"/>
    <w:rsid w:val="00640611"/>
    <w:rsid w:val="006532D6"/>
    <w:rsid w:val="006551C4"/>
    <w:rsid w:val="00660080"/>
    <w:rsid w:val="0066478A"/>
    <w:rsid w:val="0066607A"/>
    <w:rsid w:val="006835C1"/>
    <w:rsid w:val="00687741"/>
    <w:rsid w:val="00690A3D"/>
    <w:rsid w:val="00694DA2"/>
    <w:rsid w:val="00695503"/>
    <w:rsid w:val="006A2AA3"/>
    <w:rsid w:val="006C3878"/>
    <w:rsid w:val="006D0FE2"/>
    <w:rsid w:val="006E3686"/>
    <w:rsid w:val="00701A30"/>
    <w:rsid w:val="0072791B"/>
    <w:rsid w:val="00746675"/>
    <w:rsid w:val="007825CC"/>
    <w:rsid w:val="0078669D"/>
    <w:rsid w:val="00786F00"/>
    <w:rsid w:val="007C1FEF"/>
    <w:rsid w:val="007C46D3"/>
    <w:rsid w:val="007F66F9"/>
    <w:rsid w:val="00820316"/>
    <w:rsid w:val="00827AE5"/>
    <w:rsid w:val="0083572F"/>
    <w:rsid w:val="00846924"/>
    <w:rsid w:val="0084699A"/>
    <w:rsid w:val="00847243"/>
    <w:rsid w:val="008642E1"/>
    <w:rsid w:val="00877383"/>
    <w:rsid w:val="008860C1"/>
    <w:rsid w:val="008909D4"/>
    <w:rsid w:val="008942FA"/>
    <w:rsid w:val="008B0A84"/>
    <w:rsid w:val="008D06A4"/>
    <w:rsid w:val="008D7806"/>
    <w:rsid w:val="008F3D47"/>
    <w:rsid w:val="009059A5"/>
    <w:rsid w:val="0094204C"/>
    <w:rsid w:val="00943CAF"/>
    <w:rsid w:val="00963DD8"/>
    <w:rsid w:val="00974ED8"/>
    <w:rsid w:val="009A69F0"/>
    <w:rsid w:val="009C1092"/>
    <w:rsid w:val="009E2519"/>
    <w:rsid w:val="009F2769"/>
    <w:rsid w:val="00A21E6E"/>
    <w:rsid w:val="00A341DF"/>
    <w:rsid w:val="00A36DEE"/>
    <w:rsid w:val="00A43ABD"/>
    <w:rsid w:val="00A63ACE"/>
    <w:rsid w:val="00A64CE1"/>
    <w:rsid w:val="00A65361"/>
    <w:rsid w:val="00A726FC"/>
    <w:rsid w:val="00A8476F"/>
    <w:rsid w:val="00A92E9C"/>
    <w:rsid w:val="00AC0386"/>
    <w:rsid w:val="00AC62F8"/>
    <w:rsid w:val="00AE22A6"/>
    <w:rsid w:val="00AE467D"/>
    <w:rsid w:val="00AE4AD2"/>
    <w:rsid w:val="00AE5F43"/>
    <w:rsid w:val="00AF6A23"/>
    <w:rsid w:val="00B4625A"/>
    <w:rsid w:val="00B52883"/>
    <w:rsid w:val="00B71307"/>
    <w:rsid w:val="00B81607"/>
    <w:rsid w:val="00B8227E"/>
    <w:rsid w:val="00B83B67"/>
    <w:rsid w:val="00BC5FF1"/>
    <w:rsid w:val="00BE51FF"/>
    <w:rsid w:val="00BE55E9"/>
    <w:rsid w:val="00BF556C"/>
    <w:rsid w:val="00BF5B3F"/>
    <w:rsid w:val="00C019BA"/>
    <w:rsid w:val="00C248AB"/>
    <w:rsid w:val="00C5365F"/>
    <w:rsid w:val="00C56C48"/>
    <w:rsid w:val="00C63B58"/>
    <w:rsid w:val="00C7001F"/>
    <w:rsid w:val="00C71F16"/>
    <w:rsid w:val="00C80221"/>
    <w:rsid w:val="00C86D2C"/>
    <w:rsid w:val="00C90C76"/>
    <w:rsid w:val="00CA10D7"/>
    <w:rsid w:val="00CB09E0"/>
    <w:rsid w:val="00CC66AD"/>
    <w:rsid w:val="00CC69E8"/>
    <w:rsid w:val="00CD21DF"/>
    <w:rsid w:val="00D1311B"/>
    <w:rsid w:val="00D21EB6"/>
    <w:rsid w:val="00D25759"/>
    <w:rsid w:val="00D31DDA"/>
    <w:rsid w:val="00D47D52"/>
    <w:rsid w:val="00D5311E"/>
    <w:rsid w:val="00D57E53"/>
    <w:rsid w:val="00D60A7A"/>
    <w:rsid w:val="00D60F74"/>
    <w:rsid w:val="00D632DC"/>
    <w:rsid w:val="00D708C3"/>
    <w:rsid w:val="00D77641"/>
    <w:rsid w:val="00DA5E37"/>
    <w:rsid w:val="00DC0672"/>
    <w:rsid w:val="00DD42DB"/>
    <w:rsid w:val="00DF7AA4"/>
    <w:rsid w:val="00E16205"/>
    <w:rsid w:val="00E501C6"/>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0B3A"/>
    <w:rsid w:val="00F1164D"/>
    <w:rsid w:val="00F1200D"/>
    <w:rsid w:val="00F154DF"/>
    <w:rsid w:val="00F27D5C"/>
    <w:rsid w:val="00F36EA5"/>
    <w:rsid w:val="00F60C52"/>
    <w:rsid w:val="00F615AB"/>
    <w:rsid w:val="00F81080"/>
    <w:rsid w:val="00FA24D1"/>
    <w:rsid w:val="00FB231A"/>
    <w:rsid w:val="00FB5764"/>
    <w:rsid w:val="00FC3070"/>
    <w:rsid w:val="00FC45CA"/>
    <w:rsid w:val="00FC5C0C"/>
    <w:rsid w:val="00FD01C9"/>
    <w:rsid w:val="00FD179A"/>
    <w:rsid w:val="00FF399E"/>
    <w:rsid w:val="00FF558C"/>
    <w:rsid w:val="00FF7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07E1-AF93-414B-A4A4-58BFF596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2381</Words>
  <Characters>13574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Karen</cp:lastModifiedBy>
  <cp:revision>2</cp:revision>
  <dcterms:created xsi:type="dcterms:W3CDTF">2011-03-31T02:02:00Z</dcterms:created>
  <dcterms:modified xsi:type="dcterms:W3CDTF">2011-03-31T02:02:00Z</dcterms:modified>
</cp:coreProperties>
</file>