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AA" w:rsidRDefault="001026AA" w:rsidP="001026AA">
      <w:pPr>
        <w:jc w:val="center"/>
        <w:rPr>
          <w:rFonts w:ascii="Arial" w:hAnsi="Arial" w:cs="Arial"/>
          <w:b/>
          <w:sz w:val="28"/>
          <w:szCs w:val="28"/>
        </w:rPr>
      </w:pPr>
      <w:r w:rsidRPr="001F1F23">
        <w:rPr>
          <w:rFonts w:ascii="Arial" w:hAnsi="Arial" w:cs="Arial"/>
          <w:b/>
        </w:rPr>
        <w:t>Sinclair Community College</w:t>
      </w:r>
      <w:r w:rsidR="00827AE5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  <w:sz w:val="28"/>
          <w:szCs w:val="28"/>
        </w:rPr>
        <w:t>Continuous Improvement</w:t>
      </w:r>
      <w:r w:rsidRPr="002C2504">
        <w:rPr>
          <w:rFonts w:ascii="Arial" w:hAnsi="Arial" w:cs="Arial"/>
          <w:b/>
          <w:sz w:val="28"/>
          <w:szCs w:val="28"/>
        </w:rPr>
        <w:t xml:space="preserve"> Annual Update</w:t>
      </w:r>
      <w:r>
        <w:rPr>
          <w:rFonts w:ascii="Arial" w:hAnsi="Arial" w:cs="Arial"/>
          <w:b/>
          <w:sz w:val="28"/>
          <w:szCs w:val="28"/>
        </w:rPr>
        <w:t xml:space="preserve"> 2010-11</w:t>
      </w:r>
    </w:p>
    <w:p w:rsidR="001026AA" w:rsidRPr="002C2504" w:rsidRDefault="001026AA" w:rsidP="001026AA">
      <w:pPr>
        <w:jc w:val="center"/>
        <w:rPr>
          <w:rFonts w:ascii="Arial" w:hAnsi="Arial" w:cs="Arial"/>
          <w:b/>
          <w:sz w:val="28"/>
          <w:szCs w:val="28"/>
        </w:rPr>
      </w:pPr>
    </w:p>
    <w:p w:rsidR="001026AA" w:rsidRDefault="001026AA" w:rsidP="001026AA">
      <w:pPr>
        <w:tabs>
          <w:tab w:val="left" w:pos="7920"/>
        </w:tabs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Program</w:t>
      </w:r>
      <w:r w:rsidRPr="0046380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2C2504">
        <w:rPr>
          <w:rFonts w:ascii="Arial" w:hAnsi="Arial" w:cs="Arial"/>
          <w:u w:val="single"/>
        </w:rPr>
        <w:t xml:space="preserve"> </w:t>
      </w:r>
      <w:r w:rsidR="0004381C">
        <w:rPr>
          <w:rFonts w:ascii="Arial" w:hAnsi="Arial" w:cs="Arial"/>
          <w:u w:val="single"/>
        </w:rPr>
        <w:t>Dietetics &amp; Nutritional Management Technology</w:t>
      </w:r>
      <w:r w:rsidR="00887582">
        <w:rPr>
          <w:rFonts w:ascii="Arial" w:hAnsi="Arial" w:cs="Arial"/>
          <w:u w:val="single"/>
        </w:rPr>
        <w:t xml:space="preserve"> (Dietetic Technician)</w:t>
      </w:r>
      <w:r w:rsidRPr="002C2504">
        <w:rPr>
          <w:rFonts w:ascii="Arial" w:hAnsi="Arial" w:cs="Arial"/>
          <w:u w:val="single"/>
        </w:rPr>
        <w:tab/>
      </w:r>
    </w:p>
    <w:p w:rsidR="00827AE5" w:rsidRDefault="00827AE5" w:rsidP="00F0239E">
      <w:pPr>
        <w:jc w:val="center"/>
        <w:rPr>
          <w:b/>
        </w:rPr>
      </w:pPr>
    </w:p>
    <w:p w:rsidR="001240D0" w:rsidRDefault="001240D0" w:rsidP="003254BC">
      <w:r w:rsidRPr="00D708C3">
        <w:rPr>
          <w:b/>
          <w:u w:val="single"/>
        </w:rPr>
        <w:t xml:space="preserve">Section I:  </w:t>
      </w:r>
      <w:r w:rsidR="000279EB" w:rsidRPr="00D708C3">
        <w:rPr>
          <w:b/>
          <w:u w:val="single"/>
        </w:rPr>
        <w:t>Trend Data</w:t>
      </w:r>
    </w:p>
    <w:p w:rsidR="009E2519" w:rsidRDefault="009E2519" w:rsidP="003254BC"/>
    <w:p w:rsidR="004D3C8C" w:rsidRPr="00F0239E" w:rsidRDefault="000279EB" w:rsidP="004D3C8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Program</w:t>
      </w:r>
      <w:r w:rsidR="004D3C8C" w:rsidRPr="00F0239E">
        <w:rPr>
          <w:b/>
        </w:rPr>
        <w:t xml:space="preserve"> </w:t>
      </w:r>
      <w:r w:rsidR="00786F00">
        <w:rPr>
          <w:b/>
        </w:rPr>
        <w:t>Trend</w:t>
      </w:r>
      <w:r w:rsidR="004D3C8C" w:rsidRPr="00F0239E">
        <w:rPr>
          <w:b/>
        </w:rPr>
        <w:t xml:space="preserve"> Data</w:t>
      </w:r>
    </w:p>
    <w:p w:rsidR="00CC69E8" w:rsidRDefault="00AA0F97" w:rsidP="00BD5994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62E33" w:rsidRPr="00BF44E7" w:rsidRDefault="00C62E33" w:rsidP="00F7732C">
      <w:pPr>
        <w:pStyle w:val="ListParagraph"/>
        <w:numPr>
          <w:ilvl w:val="1"/>
          <w:numId w:val="29"/>
        </w:numPr>
        <w:ind w:left="1080"/>
      </w:pPr>
      <w:r w:rsidRPr="00BF44E7">
        <w:t>Pass rate percentage has increased from 75% (2009) to 81% (2010)</w:t>
      </w:r>
    </w:p>
    <w:p w:rsidR="00886327" w:rsidRPr="00BF44E7" w:rsidRDefault="00C62E33" w:rsidP="00886327">
      <w:pPr>
        <w:pStyle w:val="ListParagraph"/>
        <w:numPr>
          <w:ilvl w:val="1"/>
          <w:numId w:val="29"/>
        </w:numPr>
        <w:ind w:left="1080"/>
      </w:pPr>
      <w:r w:rsidRPr="00BF44E7">
        <w:t>Employment</w:t>
      </w:r>
      <w:r w:rsidR="00431B2E" w:rsidRPr="00BF44E7">
        <w:t xml:space="preserve"> rate in the field has increased </w:t>
      </w:r>
      <w:r w:rsidR="004A1CF0" w:rsidRPr="00BF44E7">
        <w:t>from 80</w:t>
      </w:r>
      <w:r w:rsidR="00431B2E" w:rsidRPr="00BF44E7">
        <w:t xml:space="preserve">% </w:t>
      </w:r>
      <w:r w:rsidR="003B0DD5" w:rsidRPr="00BF44E7">
        <w:t>(2009)</w:t>
      </w:r>
      <w:r w:rsidR="00431B2E" w:rsidRPr="00BF44E7">
        <w:t xml:space="preserve"> to 83% (2010).  </w:t>
      </w:r>
    </w:p>
    <w:p w:rsidR="00102F1D" w:rsidRPr="00BF44E7" w:rsidRDefault="00102F1D" w:rsidP="00886327">
      <w:pPr>
        <w:pStyle w:val="ListParagraph"/>
        <w:numPr>
          <w:ilvl w:val="1"/>
          <w:numId w:val="29"/>
        </w:numPr>
        <w:ind w:left="1080"/>
      </w:pPr>
      <w:r w:rsidRPr="00BF44E7">
        <w:t xml:space="preserve">Continued Education- Graduates enrolled in bachelor degree programs have increased from </w:t>
      </w:r>
      <w:r w:rsidR="00431B2E" w:rsidRPr="00BF44E7">
        <w:t>30% (2009</w:t>
      </w:r>
      <w:r w:rsidR="004A1CF0" w:rsidRPr="00BF44E7">
        <w:t>) to</w:t>
      </w:r>
      <w:r w:rsidRPr="00BF44E7">
        <w:t xml:space="preserve"> 35% (2010).</w:t>
      </w:r>
    </w:p>
    <w:p w:rsidR="00886327" w:rsidRPr="00BF44E7" w:rsidRDefault="00886327" w:rsidP="00886327">
      <w:pPr>
        <w:pStyle w:val="ListParagraph"/>
        <w:numPr>
          <w:ilvl w:val="1"/>
          <w:numId w:val="29"/>
        </w:numPr>
        <w:ind w:left="1080"/>
      </w:pPr>
      <w:r w:rsidRPr="00BF44E7">
        <w:t>R</w:t>
      </w:r>
      <w:r w:rsidR="00551FCC" w:rsidRPr="00BF44E7">
        <w:t>etention</w:t>
      </w:r>
      <w:r w:rsidR="004A1CF0" w:rsidRPr="00BF44E7">
        <w:t xml:space="preserve"> of students accepted into the Dietetic Technician (DT) program</w:t>
      </w:r>
      <w:r w:rsidR="00551FCC" w:rsidRPr="00BF44E7">
        <w:t xml:space="preserve"> has improved </w:t>
      </w:r>
      <w:r w:rsidR="004A1CF0" w:rsidRPr="00BF44E7">
        <w:t>from 67</w:t>
      </w:r>
      <w:r w:rsidR="00B30B3A" w:rsidRPr="00BF44E7">
        <w:t>% (2007 cohort) to 70% (2008 cohort</w:t>
      </w:r>
      <w:r w:rsidR="004A1CF0" w:rsidRPr="00BF44E7">
        <w:t>)</w:t>
      </w:r>
    </w:p>
    <w:p w:rsidR="00886327" w:rsidRPr="00BF44E7" w:rsidRDefault="004A1CF0" w:rsidP="00886327">
      <w:pPr>
        <w:pStyle w:val="ListParagraph"/>
        <w:numPr>
          <w:ilvl w:val="1"/>
          <w:numId w:val="29"/>
        </w:numPr>
        <w:ind w:left="1080"/>
      </w:pPr>
      <w:r w:rsidRPr="00BF44E7">
        <w:t>FTEs have</w:t>
      </w:r>
      <w:r w:rsidR="00886327" w:rsidRPr="00BF44E7">
        <w:t xml:space="preserve"> slightly de</w:t>
      </w:r>
      <w:r w:rsidR="00B30B3A" w:rsidRPr="00BF44E7">
        <w:t>creased  from 69</w:t>
      </w:r>
      <w:r w:rsidRPr="00BF44E7">
        <w:t>.04</w:t>
      </w:r>
      <w:r w:rsidR="00B30B3A" w:rsidRPr="00BF44E7">
        <w:t xml:space="preserve"> (2009</w:t>
      </w:r>
      <w:r w:rsidRPr="00BF44E7">
        <w:t>) to 67.98</w:t>
      </w:r>
      <w:r w:rsidR="00B30B3A" w:rsidRPr="00BF44E7">
        <w:t xml:space="preserve"> (2010</w:t>
      </w:r>
      <w:r w:rsidR="00886327" w:rsidRPr="00BF44E7">
        <w:t>)</w:t>
      </w:r>
    </w:p>
    <w:p w:rsidR="00886327" w:rsidRPr="00BF44E7" w:rsidRDefault="00886327" w:rsidP="00886327">
      <w:pPr>
        <w:pStyle w:val="ListParagraph"/>
        <w:numPr>
          <w:ilvl w:val="1"/>
          <w:numId w:val="29"/>
        </w:numPr>
        <w:ind w:left="1080"/>
      </w:pPr>
      <w:r w:rsidRPr="00BF44E7">
        <w:t>ACS has sligh</w:t>
      </w:r>
      <w:r w:rsidR="00B30B3A" w:rsidRPr="00BF44E7">
        <w:t>tly decreased from 18.5 (2009) to 17.6 (2010</w:t>
      </w:r>
      <w:r w:rsidRPr="00BF44E7">
        <w:t>)</w:t>
      </w:r>
    </w:p>
    <w:p w:rsidR="00551FCC" w:rsidRPr="00BF44E7" w:rsidRDefault="00886327" w:rsidP="00F7732C">
      <w:pPr>
        <w:pStyle w:val="ListParagraph"/>
        <w:numPr>
          <w:ilvl w:val="1"/>
          <w:numId w:val="29"/>
        </w:numPr>
        <w:ind w:left="1080"/>
      </w:pPr>
      <w:r w:rsidRPr="00BF44E7">
        <w:t xml:space="preserve">Contribution margin has declined from </w:t>
      </w:r>
      <w:r w:rsidR="00B30B3A" w:rsidRPr="00BF44E7">
        <w:t>$280,495 (FY2009) to $231,301 (FY2010)</w:t>
      </w:r>
      <w:r w:rsidRPr="00BF44E7">
        <w:t xml:space="preserve"> </w:t>
      </w:r>
    </w:p>
    <w:p w:rsidR="00E72299" w:rsidRPr="00BF44E7" w:rsidRDefault="00E72299" w:rsidP="00F7732C">
      <w:pPr>
        <w:pStyle w:val="ListParagraph"/>
        <w:numPr>
          <w:ilvl w:val="1"/>
          <w:numId w:val="29"/>
        </w:numPr>
        <w:ind w:left="1080"/>
      </w:pPr>
      <w:r w:rsidRPr="00BF44E7">
        <w:t xml:space="preserve">Cost per FTE has increased from </w:t>
      </w:r>
      <w:r w:rsidR="00B30B3A" w:rsidRPr="00BF44E7">
        <w:t>3.6 (2009) to 4.0 (2010)</w:t>
      </w:r>
    </w:p>
    <w:p w:rsidR="00886327" w:rsidRPr="00886327" w:rsidRDefault="00886327" w:rsidP="00886327">
      <w:pPr>
        <w:pStyle w:val="ListParagraph"/>
        <w:numPr>
          <w:ilvl w:val="1"/>
          <w:numId w:val="29"/>
        </w:numPr>
        <w:ind w:left="1080"/>
        <w:rPr>
          <w:rFonts w:ascii="Arial" w:hAnsi="Arial" w:cs="Arial"/>
        </w:rPr>
      </w:pPr>
      <w:r w:rsidRPr="00BF44E7">
        <w:t xml:space="preserve"> </w:t>
      </w:r>
      <w:r w:rsidR="004A1CF0" w:rsidRPr="00BF44E7">
        <w:t>Between 200</w:t>
      </w:r>
      <w:r w:rsidR="00741EE1">
        <w:t>3</w:t>
      </w:r>
      <w:r w:rsidR="002108B6">
        <w:t>-</w:t>
      </w:r>
      <w:proofErr w:type="gramStart"/>
      <w:r w:rsidR="002108B6">
        <w:t xml:space="preserve">2009 </w:t>
      </w:r>
      <w:r w:rsidRPr="00BF44E7">
        <w:t xml:space="preserve"> </w:t>
      </w:r>
      <w:r w:rsidR="004A1CF0" w:rsidRPr="00BF44E7">
        <w:t>FTEs</w:t>
      </w:r>
      <w:proofErr w:type="gramEnd"/>
      <w:r w:rsidR="004A1CF0" w:rsidRPr="00BF44E7">
        <w:t xml:space="preserve">, ACS, and CM steadily increased </w:t>
      </w:r>
      <w:r w:rsidRPr="00BF44E7">
        <w:t>with a continual decrease in cost per FTE</w:t>
      </w:r>
      <w:r>
        <w:rPr>
          <w:rFonts w:ascii="Arial" w:hAnsi="Arial" w:cs="Arial"/>
        </w:rPr>
        <w:t>.</w:t>
      </w:r>
    </w:p>
    <w:p w:rsidR="00847243" w:rsidRDefault="00847243" w:rsidP="00827AE5">
      <w:pPr>
        <w:ind w:firstLine="360"/>
      </w:pPr>
    </w:p>
    <w:p w:rsidR="00847243" w:rsidRDefault="00847243" w:rsidP="00827AE5">
      <w:pPr>
        <w:ind w:firstLine="360"/>
      </w:pPr>
    </w:p>
    <w:p w:rsidR="0028603C" w:rsidRPr="004A06BC" w:rsidRDefault="0028603C" w:rsidP="0028603C">
      <w:pPr>
        <w:pStyle w:val="ListParagraph"/>
        <w:numPr>
          <w:ilvl w:val="0"/>
          <w:numId w:val="5"/>
        </w:numPr>
        <w:rPr>
          <w:b/>
        </w:rPr>
      </w:pPr>
      <w:r w:rsidRPr="00F0239E">
        <w:rPr>
          <w:b/>
        </w:rPr>
        <w:t>Interpretation and Analysis of Trend Data</w:t>
      </w:r>
      <w:r w:rsidRPr="00F0239E">
        <w:rPr>
          <w:b/>
        </w:rPr>
        <w:tab/>
      </w:r>
      <w:r w:rsidR="003A298D" w:rsidRPr="0094204C">
        <w:rPr>
          <w:i/>
          <w:sz w:val="22"/>
          <w:szCs w:val="22"/>
        </w:rPr>
        <w:t>Suggestions of questions that might be addressed in this section:  What trends do you see in the above data?  Are there internal or external factors that account for these trends?  What are the implications for the program</w:t>
      </w:r>
      <w:r w:rsidR="003A298D">
        <w:rPr>
          <w:i/>
          <w:sz w:val="22"/>
          <w:szCs w:val="22"/>
        </w:rPr>
        <w:t xml:space="preserve"> or department</w:t>
      </w:r>
      <w:r w:rsidR="003A298D" w:rsidRPr="0094204C">
        <w:rPr>
          <w:i/>
          <w:sz w:val="22"/>
          <w:szCs w:val="22"/>
        </w:rPr>
        <w:t>?  What actions ha</w:t>
      </w:r>
      <w:r w:rsidR="003A298D">
        <w:rPr>
          <w:i/>
          <w:sz w:val="22"/>
          <w:szCs w:val="22"/>
        </w:rPr>
        <w:t>ve</w:t>
      </w:r>
      <w:r w:rsidR="003A298D" w:rsidRPr="0094204C">
        <w:rPr>
          <w:i/>
          <w:sz w:val="22"/>
          <w:szCs w:val="22"/>
        </w:rPr>
        <w:t xml:space="preserve"> the department taken that ha</w:t>
      </w:r>
      <w:r w:rsidR="003A298D">
        <w:rPr>
          <w:i/>
          <w:sz w:val="22"/>
          <w:szCs w:val="22"/>
        </w:rPr>
        <w:t>ve</w:t>
      </w:r>
      <w:r w:rsidR="003A298D" w:rsidRPr="0094204C">
        <w:rPr>
          <w:i/>
          <w:sz w:val="22"/>
          <w:szCs w:val="22"/>
        </w:rPr>
        <w:t xml:space="preserve"> influenced these trends?  What strategies will the department implement as a result of this data?</w:t>
      </w:r>
    </w:p>
    <w:p w:rsidR="004A06BC" w:rsidRPr="004A06BC" w:rsidRDefault="004A06BC" w:rsidP="004A06BC">
      <w:pPr>
        <w:pStyle w:val="ListParagraph"/>
        <w:rPr>
          <w:b/>
        </w:rPr>
      </w:pPr>
    </w:p>
    <w:p w:rsidR="008F0F4A" w:rsidRPr="00BF44E7" w:rsidRDefault="004A06BC" w:rsidP="00F7732C">
      <w:pPr>
        <w:numPr>
          <w:ilvl w:val="0"/>
          <w:numId w:val="24"/>
        </w:numPr>
        <w:tabs>
          <w:tab w:val="left" w:pos="1080"/>
        </w:tabs>
        <w:ind w:left="720" w:firstLine="0"/>
      </w:pPr>
      <w:r w:rsidRPr="00BF44E7">
        <w:t xml:space="preserve">Pass Rate Trend: Graduates procrastinate in taking national credentialing </w:t>
      </w:r>
      <w:r w:rsidR="008F0F4A" w:rsidRPr="00BF44E7">
        <w:t xml:space="preserve">   </w:t>
      </w:r>
    </w:p>
    <w:p w:rsidR="008F0F4A" w:rsidRPr="00BF44E7" w:rsidRDefault="00F7732C" w:rsidP="00F7732C">
      <w:pPr>
        <w:tabs>
          <w:tab w:val="left" w:pos="1080"/>
        </w:tabs>
        <w:ind w:left="720"/>
      </w:pPr>
      <w:r w:rsidRPr="00BF44E7">
        <w:t xml:space="preserve">     </w:t>
      </w:r>
      <w:r w:rsidR="004A06BC" w:rsidRPr="00BF44E7">
        <w:t xml:space="preserve">exams resulting in lower scores.  Percentage was 100% for students who </w:t>
      </w:r>
    </w:p>
    <w:p w:rsidR="008F0F4A" w:rsidRPr="00BF44E7" w:rsidRDefault="00F7732C" w:rsidP="008F0F4A">
      <w:pPr>
        <w:tabs>
          <w:tab w:val="left" w:pos="1260"/>
        </w:tabs>
        <w:ind w:left="720"/>
      </w:pPr>
      <w:r w:rsidRPr="00BF44E7">
        <w:t xml:space="preserve">     </w:t>
      </w:r>
      <w:r w:rsidR="004A06BC" w:rsidRPr="00BF44E7">
        <w:t xml:space="preserve">took the national exam within 4 months of graduation and this percentage </w:t>
      </w:r>
    </w:p>
    <w:p w:rsidR="008F0F4A" w:rsidRPr="00BF44E7" w:rsidRDefault="00F7732C" w:rsidP="008F0F4A">
      <w:pPr>
        <w:tabs>
          <w:tab w:val="left" w:pos="1260"/>
        </w:tabs>
        <w:ind w:left="720"/>
      </w:pPr>
      <w:r w:rsidRPr="00BF44E7">
        <w:t xml:space="preserve">     </w:t>
      </w:r>
      <w:r w:rsidR="004A06BC" w:rsidRPr="00BF44E7">
        <w:t xml:space="preserve">dropped to 33% for students who took the national exam after 4 months of </w:t>
      </w:r>
    </w:p>
    <w:p w:rsidR="004A06BC" w:rsidRPr="00BF44E7" w:rsidRDefault="00F7732C" w:rsidP="008F0F4A">
      <w:pPr>
        <w:tabs>
          <w:tab w:val="left" w:pos="1260"/>
        </w:tabs>
        <w:ind w:left="720"/>
      </w:pPr>
      <w:r w:rsidRPr="00BF44E7">
        <w:t xml:space="preserve">     </w:t>
      </w:r>
      <w:r w:rsidR="004A06BC" w:rsidRPr="00BF44E7">
        <w:t xml:space="preserve">graduation. </w:t>
      </w:r>
    </w:p>
    <w:p w:rsidR="004A06BC" w:rsidRPr="00BF44E7" w:rsidRDefault="004A06BC" w:rsidP="004A06BC">
      <w:pPr>
        <w:ind w:left="720"/>
      </w:pPr>
    </w:p>
    <w:p w:rsidR="004A06BC" w:rsidRPr="00BF44E7" w:rsidRDefault="004A06BC" w:rsidP="004A06BC">
      <w:pPr>
        <w:pStyle w:val="ListParagraph"/>
        <w:numPr>
          <w:ilvl w:val="0"/>
          <w:numId w:val="24"/>
        </w:numPr>
      </w:pPr>
      <w:r w:rsidRPr="00BF44E7">
        <w:t xml:space="preserve">Employment Trend:  Job employment has increased in hospital and community settings vs. long term care in the area of management.  </w:t>
      </w:r>
      <w:r w:rsidR="008F0F4A" w:rsidRPr="00BF44E7">
        <w:t>Fewer clinical positions are available as a result of ADA implementing a new nutrition care process.  Employers and RD’s are uncertain of the role of the DTR in completing the nutrition care process.</w:t>
      </w:r>
    </w:p>
    <w:p w:rsidR="004A06BC" w:rsidRPr="00BF44E7" w:rsidRDefault="004A06BC" w:rsidP="004A06BC">
      <w:pPr>
        <w:pStyle w:val="ListParagraph"/>
      </w:pPr>
    </w:p>
    <w:p w:rsidR="004A06BC" w:rsidRPr="00BF44E7" w:rsidRDefault="004A06BC" w:rsidP="004A06BC">
      <w:pPr>
        <w:pStyle w:val="ListParagraph"/>
        <w:numPr>
          <w:ilvl w:val="0"/>
          <w:numId w:val="24"/>
        </w:numPr>
      </w:pPr>
      <w:r w:rsidRPr="00BF44E7">
        <w:t xml:space="preserve"> Education:  More students are seeking a 4 yr degree with the majority seeking on-line degree programs.</w:t>
      </w:r>
      <w:r w:rsidR="008F0F4A" w:rsidRPr="00BF44E7">
        <w:t xml:space="preserve">  Cost value and articulation agreements make this an attractive option for starting their 4 yr program.</w:t>
      </w:r>
    </w:p>
    <w:p w:rsidR="008F0F4A" w:rsidRPr="00BF44E7" w:rsidRDefault="008F0F4A" w:rsidP="008F0F4A">
      <w:pPr>
        <w:pStyle w:val="ListParagraph"/>
      </w:pPr>
    </w:p>
    <w:p w:rsidR="008F0F4A" w:rsidRPr="00BF44E7" w:rsidRDefault="008F0F4A" w:rsidP="004A06BC">
      <w:pPr>
        <w:pStyle w:val="ListParagraph"/>
        <w:numPr>
          <w:ilvl w:val="0"/>
          <w:numId w:val="24"/>
        </w:numPr>
      </w:pPr>
      <w:r w:rsidRPr="00BF44E7">
        <w:t xml:space="preserve">Retention improvement is likely the result of better departmental tracking of part-time students.  </w:t>
      </w:r>
    </w:p>
    <w:p w:rsidR="00B30B3A" w:rsidRPr="00B30B3A" w:rsidRDefault="00B30B3A" w:rsidP="00B30B3A">
      <w:pPr>
        <w:pStyle w:val="ListParagraph"/>
        <w:rPr>
          <w:rFonts w:ascii="Arial" w:hAnsi="Arial" w:cs="Arial"/>
        </w:rPr>
      </w:pPr>
    </w:p>
    <w:p w:rsidR="00B30B3A" w:rsidRPr="007E3FC4" w:rsidRDefault="00BF44E7" w:rsidP="00E54004">
      <w:pPr>
        <w:pStyle w:val="ListParagraph"/>
        <w:numPr>
          <w:ilvl w:val="0"/>
          <w:numId w:val="24"/>
        </w:numPr>
      </w:pPr>
      <w:r w:rsidRPr="007E3FC4">
        <w:t xml:space="preserve">While FTE for students enrolled in the DT program has remained constant there has been a slight decline in total </w:t>
      </w:r>
      <w:r w:rsidR="00665F10" w:rsidRPr="007E3FC4">
        <w:t xml:space="preserve">FTE due to decreased enrollment in </w:t>
      </w:r>
      <w:r w:rsidRPr="007E3FC4">
        <w:t xml:space="preserve">the </w:t>
      </w:r>
      <w:r w:rsidR="00665F10" w:rsidRPr="007E3FC4">
        <w:t xml:space="preserve">DIT 129 </w:t>
      </w:r>
      <w:r w:rsidRPr="007E3FC4">
        <w:t xml:space="preserve">Human Nutrition </w:t>
      </w:r>
      <w:r w:rsidR="00665F10" w:rsidRPr="007E3FC4">
        <w:t>course</w:t>
      </w:r>
      <w:r w:rsidRPr="007E3FC4">
        <w:t xml:space="preserve">.  WSU </w:t>
      </w:r>
      <w:r w:rsidR="007E3FC4">
        <w:t>developed its</w:t>
      </w:r>
      <w:r w:rsidRPr="007E3FC4">
        <w:t xml:space="preserve"> own nutrition course (BSN 230) so no longer accepts the DIT 129 course as transfer credit.</w:t>
      </w:r>
      <w:r w:rsidR="00665F10" w:rsidRPr="007E3FC4">
        <w:t xml:space="preserve"> </w:t>
      </w:r>
      <w:r w:rsidRPr="007E3FC4">
        <w:t xml:space="preserve"> DIT 129 </w:t>
      </w:r>
      <w:r w:rsidR="007E3FC4">
        <w:t xml:space="preserve">does </w:t>
      </w:r>
      <w:r w:rsidRPr="007E3FC4">
        <w:t>remain an</w:t>
      </w:r>
      <w:r w:rsidR="00E54004" w:rsidRPr="007E3FC4">
        <w:t xml:space="preserve"> OBR TAG course </w:t>
      </w:r>
      <w:r w:rsidRPr="007E3FC4">
        <w:t>for</w:t>
      </w:r>
      <w:r w:rsidR="00E54004" w:rsidRPr="007E3FC4">
        <w:t xml:space="preserve"> students attending</w:t>
      </w:r>
      <w:r w:rsidR="00EE5C90" w:rsidRPr="007E3FC4">
        <w:t xml:space="preserve"> UC, OSU,</w:t>
      </w:r>
      <w:r w:rsidR="00E54004" w:rsidRPr="007E3FC4">
        <w:t xml:space="preserve"> OU, UC and </w:t>
      </w:r>
      <w:r w:rsidR="00EE5C90" w:rsidRPr="007E3FC4">
        <w:t>UD</w:t>
      </w:r>
      <w:r w:rsidR="00E54004" w:rsidRPr="007E3FC4">
        <w:t>.</w:t>
      </w:r>
      <w:r w:rsidR="007E3FC4">
        <w:t xml:space="preserve">  As students from these programs become aware of this OBR TAG (via word of mouth) enrollment is expected to grow.</w:t>
      </w:r>
    </w:p>
    <w:p w:rsidR="00E54004" w:rsidRPr="007E3FC4" w:rsidRDefault="00E54004" w:rsidP="00E54004">
      <w:pPr>
        <w:pStyle w:val="ListParagraph"/>
      </w:pPr>
    </w:p>
    <w:p w:rsidR="00E54004" w:rsidRPr="007E3FC4" w:rsidRDefault="00E54004" w:rsidP="00E54004">
      <w:pPr>
        <w:pStyle w:val="ListParagraph"/>
        <w:numPr>
          <w:ilvl w:val="0"/>
          <w:numId w:val="24"/>
        </w:numPr>
      </w:pPr>
      <w:r w:rsidRPr="007E3FC4">
        <w:t>Decline in</w:t>
      </w:r>
      <w:r w:rsidR="00705C5F" w:rsidRPr="007E3FC4">
        <w:t xml:space="preserve"> contribution margin due to de</w:t>
      </w:r>
      <w:r w:rsidRPr="007E3FC4">
        <w:t>crease in state subsidy funds combined with</w:t>
      </w:r>
      <w:r w:rsidR="00705C5F" w:rsidRPr="007E3FC4">
        <w:t xml:space="preserve"> slight decline</w:t>
      </w:r>
      <w:r w:rsidRPr="007E3FC4">
        <w:t xml:space="preserve"> in FTE</w:t>
      </w:r>
      <w:r w:rsidR="00705C5F" w:rsidRPr="007E3FC4">
        <w:t>s and increase in personnel expenses.</w:t>
      </w:r>
    </w:p>
    <w:p w:rsidR="00705C5F" w:rsidRPr="007E3FC4" w:rsidRDefault="00705C5F" w:rsidP="00705C5F">
      <w:pPr>
        <w:pStyle w:val="ListParagraph"/>
      </w:pPr>
    </w:p>
    <w:p w:rsidR="00705C5F" w:rsidRPr="007E3FC4" w:rsidRDefault="00705C5F" w:rsidP="00705C5F">
      <w:pPr>
        <w:pStyle w:val="ListParagraph"/>
        <w:ind w:left="990"/>
      </w:pPr>
    </w:p>
    <w:p w:rsidR="00F0239E" w:rsidRPr="00D708C3" w:rsidRDefault="00F0239E" w:rsidP="00D708C3">
      <w:pPr>
        <w:spacing w:after="200" w:line="276" w:lineRule="auto"/>
        <w:rPr>
          <w:b/>
          <w:u w:val="single"/>
        </w:rPr>
      </w:pPr>
      <w:r w:rsidRPr="00D708C3">
        <w:rPr>
          <w:b/>
          <w:u w:val="single"/>
        </w:rPr>
        <w:t xml:space="preserve">Section II:  </w:t>
      </w:r>
      <w:r w:rsidR="00B81607" w:rsidRPr="00D708C3">
        <w:rPr>
          <w:b/>
          <w:u w:val="single"/>
        </w:rPr>
        <w:t xml:space="preserve">Progress </w:t>
      </w:r>
      <w:proofErr w:type="gramStart"/>
      <w:r w:rsidR="00B81607" w:rsidRPr="00D708C3">
        <w:rPr>
          <w:b/>
          <w:u w:val="single"/>
        </w:rPr>
        <w:t>Since</w:t>
      </w:r>
      <w:proofErr w:type="gramEnd"/>
      <w:r w:rsidR="00B81607" w:rsidRPr="00D708C3">
        <w:rPr>
          <w:b/>
          <w:u w:val="single"/>
        </w:rPr>
        <w:t xml:space="preserve"> the Most Recent </w:t>
      </w:r>
      <w:r w:rsidRPr="00D708C3">
        <w:rPr>
          <w:b/>
          <w:u w:val="single"/>
        </w:rPr>
        <w:t>Review</w:t>
      </w:r>
    </w:p>
    <w:p w:rsidR="00F0239E" w:rsidRDefault="00F0239E" w:rsidP="00F0239E"/>
    <w:p w:rsidR="00F0239E" w:rsidRPr="0094204C" w:rsidRDefault="00F0239E" w:rsidP="00F0239E">
      <w:pPr>
        <w:pStyle w:val="ListParagraph"/>
        <w:numPr>
          <w:ilvl w:val="0"/>
          <w:numId w:val="6"/>
        </w:numPr>
      </w:pPr>
      <w:r>
        <w:t>What was the fiscal year of the most recent Program Review for this program?</w:t>
      </w:r>
      <w:r w:rsidRPr="00F0239E">
        <w:rPr>
          <w:rFonts w:ascii="Arial" w:hAnsi="Arial" w:cs="Arial"/>
        </w:rPr>
        <w:t xml:space="preserve"> </w:t>
      </w:r>
      <w:r w:rsidR="00AA0F97">
        <w:rPr>
          <w:rFonts w:ascii="Arial" w:hAnsi="Arial" w:cs="Arial"/>
        </w:rPr>
        <w:t>2008</w:t>
      </w:r>
    </w:p>
    <w:p w:rsidR="0094204C" w:rsidRPr="0094204C" w:rsidRDefault="0094204C" w:rsidP="0094204C">
      <w:pPr>
        <w:pStyle w:val="ListParagraph"/>
      </w:pPr>
    </w:p>
    <w:p w:rsidR="0094204C" w:rsidRPr="0094204C" w:rsidRDefault="0094204C" w:rsidP="0094204C">
      <w:pPr>
        <w:pStyle w:val="ListParagraph"/>
        <w:numPr>
          <w:ilvl w:val="0"/>
          <w:numId w:val="6"/>
        </w:numPr>
        <w:tabs>
          <w:tab w:val="left" w:pos="504"/>
        </w:tabs>
        <w:spacing w:after="120"/>
        <w:rPr>
          <w:sz w:val="22"/>
          <w:szCs w:val="22"/>
        </w:rPr>
      </w:pPr>
      <w:r>
        <w:t xml:space="preserve">Briefly summarize the </w:t>
      </w:r>
      <w:r w:rsidR="000337E6">
        <w:t xml:space="preserve">goals </w:t>
      </w:r>
      <w:r>
        <w:t xml:space="preserve">that </w:t>
      </w:r>
      <w:r w:rsidR="000337E6">
        <w:t>were listed in Section IV part E of the most recent Program Review Self-Study</w:t>
      </w:r>
      <w:r>
        <w:t xml:space="preserve"> (this section of the Self-Study asks “</w:t>
      </w:r>
      <w:r w:rsidRPr="0094204C">
        <w:rPr>
          <w:color w:val="000000"/>
          <w:sz w:val="22"/>
          <w:szCs w:val="22"/>
        </w:rPr>
        <w:t>What are the department’s/program’s goals and rationale for expanding and improving student learning, including new courses, programs, delivery formats and locations</w:t>
      </w:r>
      <w:r>
        <w:rPr>
          <w:color w:val="000000"/>
          <w:sz w:val="22"/>
          <w:szCs w:val="22"/>
        </w:rPr>
        <w:t>”)</w:t>
      </w:r>
      <w:r w:rsidRPr="0094204C">
        <w:rPr>
          <w:color w:val="000000"/>
          <w:sz w:val="22"/>
          <w:szCs w:val="22"/>
        </w:rPr>
        <w:t>?</w:t>
      </w:r>
    </w:p>
    <w:p w:rsidR="00E563C4" w:rsidRPr="005C2067" w:rsidRDefault="00E563C4" w:rsidP="00E563C4">
      <w:pPr>
        <w:pStyle w:val="BodyTextIndent3"/>
        <w:numPr>
          <w:ilvl w:val="0"/>
          <w:numId w:val="25"/>
        </w:numPr>
        <w:tabs>
          <w:tab w:val="clear" w:pos="975"/>
          <w:tab w:val="left" w:pos="180"/>
          <w:tab w:val="num" w:pos="720"/>
        </w:tabs>
        <w:ind w:left="720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>Continue to improve national pass rates on Dietetic Technician Registration</w:t>
      </w:r>
      <w:r w:rsidR="008F0F4A" w:rsidRPr="005C2067">
        <w:rPr>
          <w:rFonts w:ascii="Times New Roman" w:hAnsi="Times New Roman" w:cs="Times New Roman"/>
        </w:rPr>
        <w:t>. Exam to achieve and maintain an 80% 5 year pass rate or higher.</w:t>
      </w:r>
    </w:p>
    <w:p w:rsidR="00E563C4" w:rsidRPr="005C2067" w:rsidRDefault="008F0F4A" w:rsidP="00E563C4">
      <w:pPr>
        <w:pStyle w:val="BodyTextIndent3"/>
        <w:numPr>
          <w:ilvl w:val="0"/>
          <w:numId w:val="25"/>
        </w:numPr>
        <w:tabs>
          <w:tab w:val="left" w:pos="180"/>
          <w:tab w:val="left" w:pos="720"/>
          <w:tab w:val="left" w:pos="1080"/>
        </w:tabs>
        <w:ind w:hanging="615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>Strive to improve retention rates in alignment with the SCC mission.</w:t>
      </w:r>
    </w:p>
    <w:p w:rsidR="00E563C4" w:rsidRPr="005C2067" w:rsidRDefault="008F0F4A" w:rsidP="00E563C4">
      <w:pPr>
        <w:pStyle w:val="BodyTextIndent3"/>
        <w:numPr>
          <w:ilvl w:val="0"/>
          <w:numId w:val="25"/>
        </w:numPr>
        <w:tabs>
          <w:tab w:val="clear" w:pos="975"/>
          <w:tab w:val="left" w:pos="180"/>
          <w:tab w:val="num" w:pos="720"/>
        </w:tabs>
        <w:ind w:left="720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 xml:space="preserve">Continue to assess and evaluate outcome data that reflect </w:t>
      </w:r>
      <w:r w:rsidR="00512B4F" w:rsidRPr="005C2067">
        <w:rPr>
          <w:rFonts w:ascii="Times New Roman" w:hAnsi="Times New Roman" w:cs="Times New Roman"/>
        </w:rPr>
        <w:t>2005-2006</w:t>
      </w:r>
      <w:r w:rsidRPr="005C2067">
        <w:rPr>
          <w:rFonts w:ascii="Times New Roman" w:hAnsi="Times New Roman" w:cs="Times New Roman"/>
        </w:rPr>
        <w:t xml:space="preserve"> curriculum changes</w:t>
      </w:r>
      <w:r w:rsidR="00512B4F" w:rsidRPr="005C2067">
        <w:rPr>
          <w:rFonts w:ascii="Times New Roman" w:hAnsi="Times New Roman" w:cs="Times New Roman"/>
        </w:rPr>
        <w:t xml:space="preserve">.  </w:t>
      </w:r>
    </w:p>
    <w:p w:rsidR="00E563C4" w:rsidRPr="005C2067" w:rsidRDefault="00E563C4" w:rsidP="00E563C4">
      <w:pPr>
        <w:pStyle w:val="BodyTextIndent3"/>
        <w:numPr>
          <w:ilvl w:val="0"/>
          <w:numId w:val="25"/>
        </w:numPr>
        <w:tabs>
          <w:tab w:val="clear" w:pos="975"/>
          <w:tab w:val="left" w:pos="180"/>
          <w:tab w:val="num" w:pos="720"/>
        </w:tabs>
        <w:ind w:left="720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>Explore expansion of dietetic technician practicum experiences and job opport</w:t>
      </w:r>
      <w:r w:rsidR="00512B4F" w:rsidRPr="005C2067">
        <w:rPr>
          <w:rFonts w:ascii="Times New Roman" w:hAnsi="Times New Roman" w:cs="Times New Roman"/>
        </w:rPr>
        <w:t>unities in the Dayton community.</w:t>
      </w:r>
    </w:p>
    <w:p w:rsidR="00E563C4" w:rsidRPr="005C2067" w:rsidRDefault="00E563C4" w:rsidP="00E563C4">
      <w:pPr>
        <w:pStyle w:val="BodyTextIndent3"/>
        <w:numPr>
          <w:ilvl w:val="0"/>
          <w:numId w:val="25"/>
        </w:numPr>
        <w:tabs>
          <w:tab w:val="clear" w:pos="975"/>
          <w:tab w:val="left" w:pos="180"/>
          <w:tab w:val="left" w:pos="720"/>
        </w:tabs>
        <w:ind w:left="720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>Evaluate computer software applications for possible implementation to improve competency in clinical and management practicum settings (computerized charting, selective menus, inventory and ordering).</w:t>
      </w:r>
    </w:p>
    <w:p w:rsidR="00E563C4" w:rsidRPr="005C2067" w:rsidRDefault="00512B4F" w:rsidP="00512B4F">
      <w:pPr>
        <w:pStyle w:val="BodyTextIndent3"/>
        <w:numPr>
          <w:ilvl w:val="0"/>
          <w:numId w:val="25"/>
        </w:numPr>
        <w:tabs>
          <w:tab w:val="clear" w:pos="975"/>
          <w:tab w:val="left" w:pos="180"/>
          <w:tab w:val="num" w:pos="720"/>
        </w:tabs>
        <w:ind w:left="720"/>
        <w:rPr>
          <w:rFonts w:ascii="Times New Roman" w:hAnsi="Times New Roman" w:cs="Times New Roman"/>
          <w:b/>
        </w:rPr>
      </w:pPr>
      <w:r w:rsidRPr="005C2067">
        <w:rPr>
          <w:rFonts w:ascii="Times New Roman" w:hAnsi="Times New Roman" w:cs="Times New Roman"/>
        </w:rPr>
        <w:t xml:space="preserve">Goal was to </w:t>
      </w:r>
      <w:r w:rsidR="00705C5F" w:rsidRPr="005C2067">
        <w:rPr>
          <w:rFonts w:ascii="Times New Roman" w:hAnsi="Times New Roman" w:cs="Times New Roman"/>
        </w:rPr>
        <w:t xml:space="preserve">increase enrollment by </w:t>
      </w:r>
      <w:r w:rsidR="007E3FC4" w:rsidRPr="005C2067">
        <w:rPr>
          <w:rFonts w:ascii="Times New Roman" w:hAnsi="Times New Roman" w:cs="Times New Roman"/>
        </w:rPr>
        <w:t>converting DIT</w:t>
      </w:r>
      <w:r w:rsidRPr="005C2067">
        <w:rPr>
          <w:rFonts w:ascii="Times New Roman" w:hAnsi="Times New Roman" w:cs="Times New Roman"/>
        </w:rPr>
        <w:t xml:space="preserve"> 111 and DIT 129 to online course offerings.  This request was denied due to class enrollment status.   </w:t>
      </w:r>
      <w:r w:rsidR="00705C5F" w:rsidRPr="005C2067">
        <w:rPr>
          <w:rFonts w:ascii="Times New Roman" w:hAnsi="Times New Roman" w:cs="Times New Roman"/>
        </w:rPr>
        <w:t>This affects the possible growth in enrollment for these classes.  To offset a decline in FTE a</w:t>
      </w:r>
      <w:r w:rsidRPr="005C2067">
        <w:rPr>
          <w:rFonts w:ascii="Times New Roman" w:hAnsi="Times New Roman" w:cs="Times New Roman"/>
        </w:rPr>
        <w:t>n independent stu</w:t>
      </w:r>
      <w:r w:rsidR="00705C5F" w:rsidRPr="005C2067">
        <w:rPr>
          <w:rFonts w:ascii="Times New Roman" w:hAnsi="Times New Roman" w:cs="Times New Roman"/>
        </w:rPr>
        <w:t>dy option was created for bot</w:t>
      </w:r>
      <w:r w:rsidR="00B95C25" w:rsidRPr="005C2067">
        <w:rPr>
          <w:rFonts w:ascii="Times New Roman" w:hAnsi="Times New Roman" w:cs="Times New Roman"/>
        </w:rPr>
        <w:t>h</w:t>
      </w:r>
      <w:r w:rsidR="007E3FC4">
        <w:rPr>
          <w:rFonts w:ascii="Times New Roman" w:hAnsi="Times New Roman" w:cs="Times New Roman"/>
        </w:rPr>
        <w:t xml:space="preserve"> and DIT 129 has been approved as an OBR TAG course</w:t>
      </w:r>
      <w:r w:rsidR="00705C5F" w:rsidRPr="005C2067">
        <w:rPr>
          <w:rFonts w:ascii="Times New Roman" w:hAnsi="Times New Roman" w:cs="Times New Roman"/>
        </w:rPr>
        <w:t>.</w:t>
      </w:r>
      <w:r w:rsidRPr="005C2067">
        <w:rPr>
          <w:rFonts w:ascii="Times New Roman" w:hAnsi="Times New Roman" w:cs="Times New Roman"/>
        </w:rPr>
        <w:t xml:space="preserve"> </w:t>
      </w:r>
    </w:p>
    <w:p w:rsidR="0094204C" w:rsidRDefault="00512B4F" w:rsidP="00512B4F">
      <w:pPr>
        <w:pStyle w:val="ListParagraph"/>
        <w:numPr>
          <w:ilvl w:val="0"/>
          <w:numId w:val="25"/>
        </w:numPr>
        <w:tabs>
          <w:tab w:val="clear" w:pos="975"/>
          <w:tab w:val="num" w:pos="720"/>
        </w:tabs>
        <w:ind w:left="720"/>
      </w:pPr>
      <w:r w:rsidRPr="005C2067">
        <w:t>C</w:t>
      </w:r>
      <w:r w:rsidR="00E563C4" w:rsidRPr="005C2067">
        <w:t>ontinue to explore articulation agreements with 4-year colleges</w:t>
      </w:r>
      <w:r w:rsidRPr="005C2067">
        <w:t>.  This is on hold until after the Q2S conversion</w:t>
      </w:r>
      <w:r>
        <w:t>.</w:t>
      </w:r>
    </w:p>
    <w:p w:rsidR="0094204C" w:rsidRPr="0094204C" w:rsidRDefault="0094204C" w:rsidP="0094204C">
      <w:pPr>
        <w:pStyle w:val="ListParagraph"/>
        <w:tabs>
          <w:tab w:val="left" w:pos="504"/>
        </w:tabs>
        <w:spacing w:after="120"/>
        <w:rPr>
          <w:sz w:val="22"/>
          <w:szCs w:val="22"/>
        </w:rPr>
      </w:pPr>
    </w:p>
    <w:p w:rsidR="00320CDE" w:rsidRPr="002E548B" w:rsidRDefault="00320CDE" w:rsidP="00320CDE">
      <w:pPr>
        <w:pStyle w:val="ListParagraph"/>
        <w:numPr>
          <w:ilvl w:val="0"/>
          <w:numId w:val="6"/>
        </w:numPr>
      </w:pPr>
      <w:r w:rsidRPr="002E548B">
        <w:t>Have these goals changed since your last Program Review Self-Study?  If so, please describe the changes.</w:t>
      </w:r>
    </w:p>
    <w:p w:rsidR="00A404D2" w:rsidRPr="005C2067" w:rsidRDefault="00A404D2" w:rsidP="00A404D2">
      <w:pPr>
        <w:pStyle w:val="ListParagraph"/>
        <w:numPr>
          <w:ilvl w:val="0"/>
          <w:numId w:val="26"/>
        </w:numPr>
        <w:ind w:left="720"/>
      </w:pPr>
      <w:r w:rsidRPr="005C2067">
        <w:t xml:space="preserve">  The conversions to online courses have been addressed through the use of an    </w:t>
      </w:r>
    </w:p>
    <w:p w:rsidR="00320CDE" w:rsidRPr="005C2067" w:rsidRDefault="00A404D2" w:rsidP="00A404D2">
      <w:pPr>
        <w:pStyle w:val="ListParagraph"/>
      </w:pPr>
      <w:r w:rsidRPr="005C2067">
        <w:t xml:space="preserve">  independent study option.</w:t>
      </w:r>
    </w:p>
    <w:p w:rsidR="00A404D2" w:rsidRPr="005C2067" w:rsidRDefault="00A404D2" w:rsidP="00A404D2">
      <w:pPr>
        <w:pStyle w:val="ListParagraph"/>
        <w:numPr>
          <w:ilvl w:val="0"/>
          <w:numId w:val="26"/>
        </w:numPr>
        <w:ind w:left="810" w:hanging="450"/>
      </w:pPr>
      <w:r w:rsidRPr="005C2067">
        <w:t>Exploration of articulation agreements will resume after Q2S.</w:t>
      </w:r>
    </w:p>
    <w:p w:rsidR="00A404D2" w:rsidRPr="005C2067" w:rsidRDefault="00A404D2" w:rsidP="00A404D2">
      <w:pPr>
        <w:pStyle w:val="ListParagraph"/>
        <w:numPr>
          <w:ilvl w:val="0"/>
          <w:numId w:val="26"/>
        </w:numPr>
        <w:ind w:left="810" w:hanging="450"/>
      </w:pPr>
      <w:r w:rsidRPr="005C2067">
        <w:t>Outcome data has changed to reflect not only curriculum changes but also the new 2009 CADE Eligibility Requirements and Accreditation Standards.</w:t>
      </w:r>
    </w:p>
    <w:p w:rsidR="00320CDE" w:rsidRPr="005C2067" w:rsidRDefault="00320CDE" w:rsidP="00320CDE">
      <w:pPr>
        <w:pStyle w:val="ListParagraph"/>
      </w:pPr>
    </w:p>
    <w:p w:rsidR="00F0239E" w:rsidRDefault="000337E6" w:rsidP="00F0239E">
      <w:pPr>
        <w:pStyle w:val="ListParagraph"/>
        <w:numPr>
          <w:ilvl w:val="0"/>
          <w:numId w:val="6"/>
        </w:numPr>
      </w:pPr>
      <w:r>
        <w:lastRenderedPageBreak/>
        <w:t xml:space="preserve">What progress has been made toward </w:t>
      </w:r>
      <w:r w:rsidR="0094204C">
        <w:t>meeting</w:t>
      </w:r>
      <w:r w:rsidR="0094204C" w:rsidRPr="002E548B">
        <w:t xml:space="preserve"> </w:t>
      </w:r>
      <w:r w:rsidR="00320CDE" w:rsidRPr="002E548B">
        <w:t>any of the goals listed above</w:t>
      </w:r>
      <w:r w:rsidRPr="002E548B">
        <w:t xml:space="preserve"> in</w:t>
      </w:r>
      <w:r>
        <w:t xml:space="preserve"> the past year?</w:t>
      </w:r>
    </w:p>
    <w:p w:rsidR="000337E6" w:rsidRPr="005C2067" w:rsidRDefault="00575AC1" w:rsidP="00575AC1">
      <w:pPr>
        <w:pStyle w:val="ListParagraph"/>
        <w:numPr>
          <w:ilvl w:val="0"/>
          <w:numId w:val="27"/>
        </w:numPr>
      </w:pPr>
      <w:r w:rsidRPr="005C2067">
        <w:t>Developed a Pass Rate Improvement Plan that includes a holistic approach to student success.</w:t>
      </w:r>
    </w:p>
    <w:p w:rsidR="00575AC1" w:rsidRPr="005C2067" w:rsidRDefault="00575AC1" w:rsidP="00575AC1">
      <w:pPr>
        <w:pStyle w:val="ListParagraph"/>
        <w:numPr>
          <w:ilvl w:val="0"/>
          <w:numId w:val="27"/>
        </w:numPr>
      </w:pPr>
      <w:r w:rsidRPr="005C2067">
        <w:t xml:space="preserve">Obtained two teaching hospitals for student clinical experiences (Grandview/Southview), and two additional teaching nursing home clinical sites (Brookhaven/Heartland of Miamisburg).  </w:t>
      </w:r>
    </w:p>
    <w:p w:rsidR="0094204C" w:rsidRDefault="0094204C" w:rsidP="000337E6">
      <w:pPr>
        <w:pStyle w:val="ListParagraph"/>
      </w:pPr>
    </w:p>
    <w:p w:rsidR="0094204C" w:rsidRDefault="0094204C" w:rsidP="000337E6">
      <w:pPr>
        <w:pStyle w:val="ListParagraph"/>
      </w:pPr>
    </w:p>
    <w:p w:rsidR="0094204C" w:rsidRPr="00FA02EF" w:rsidRDefault="000337E6" w:rsidP="00F0239E">
      <w:pPr>
        <w:pStyle w:val="ListParagraph"/>
        <w:numPr>
          <w:ilvl w:val="0"/>
          <w:numId w:val="6"/>
        </w:numPr>
      </w:pPr>
      <w:r>
        <w:t>What Recommendations for Action were made by the review team to the most recent Program Review?  What progress has been made towards meeting these recommendations in the past year</w:t>
      </w:r>
      <w:r w:rsidR="0094204C">
        <w:t>?</w:t>
      </w:r>
      <w:r w:rsidR="0094204C" w:rsidRPr="0094204C">
        <w:rPr>
          <w:rFonts w:ascii="Arial" w:hAnsi="Arial" w:cs="Arial"/>
        </w:rPr>
        <w:t xml:space="preserve"> </w:t>
      </w:r>
    </w:p>
    <w:p w:rsidR="00FA02EF" w:rsidRPr="0094204C" w:rsidRDefault="00FA02EF" w:rsidP="00FA02EF">
      <w:pPr>
        <w:pStyle w:val="ListParagraph"/>
      </w:pPr>
    </w:p>
    <w:p w:rsidR="00575AC1" w:rsidRPr="007E3FC4" w:rsidRDefault="0002261E" w:rsidP="0094204C">
      <w:pPr>
        <w:pStyle w:val="ListParagraph"/>
      </w:pPr>
      <w:r>
        <w:t>W</w:t>
      </w:r>
      <w:r w:rsidR="00741EE1">
        <w:t>ritten</w:t>
      </w:r>
      <w:r w:rsidR="00575AC1" w:rsidRPr="007E3FC4">
        <w:t xml:space="preserve"> recommendations were</w:t>
      </w:r>
      <w:r>
        <w:t xml:space="preserve"> not</w:t>
      </w:r>
      <w:r w:rsidR="00575AC1" w:rsidRPr="007E3FC4">
        <w:t xml:space="preserve"> forwarded to </w:t>
      </w:r>
      <w:r w:rsidR="00741EE1">
        <w:t xml:space="preserve">the </w:t>
      </w:r>
      <w:r w:rsidR="00575AC1" w:rsidRPr="007E3FC4">
        <w:t>DIT Dep</w:t>
      </w:r>
      <w:r w:rsidR="00741EE1">
        <w:t xml:space="preserve">artment after the 2008 review.   </w:t>
      </w:r>
      <w:r w:rsidR="00F1669E">
        <w:t xml:space="preserve">In August 2009, </w:t>
      </w:r>
      <w:r w:rsidR="002F3328">
        <w:t xml:space="preserve">  DIT Program Director (Nora Schaefer</w:t>
      </w:r>
      <w:r w:rsidR="00FA02EF">
        <w:t>) met</w:t>
      </w:r>
      <w:r w:rsidR="00F1669E">
        <w:t xml:space="preserve"> with Dr. Goldman to discuss the new CADE 2009 Eligibility </w:t>
      </w:r>
      <w:r w:rsidR="00F1669E" w:rsidRPr="005C2067">
        <w:t>Requirements and Accreditation Standards</w:t>
      </w:r>
      <w:r w:rsidR="002F3328">
        <w:t xml:space="preserve">.  Following the meeting, </w:t>
      </w:r>
      <w:r w:rsidR="00F1669E">
        <w:t>DIT program outcomes were revised (as listed below) to reflect compliance with</w:t>
      </w:r>
      <w:r w:rsidR="002F3328">
        <w:t xml:space="preserve"> the new 2009</w:t>
      </w:r>
      <w:r w:rsidR="00F1669E">
        <w:t xml:space="preserve"> accreditation standards.  A 5 </w:t>
      </w:r>
      <w:r w:rsidR="002F3328">
        <w:t>-</w:t>
      </w:r>
      <w:r w:rsidR="00F1669E">
        <w:t xml:space="preserve">year plan titled </w:t>
      </w:r>
      <w:r w:rsidR="002F3328">
        <w:t>“Aggregate Data c</w:t>
      </w:r>
      <w:r w:rsidR="00F1669E">
        <w:t>ollection</w:t>
      </w:r>
      <w:r w:rsidR="002F3328">
        <w:t>,”</w:t>
      </w:r>
      <w:r w:rsidR="00F1669E">
        <w:t xml:space="preserve"> was developed for each learning outcome.  </w:t>
      </w:r>
      <w:r w:rsidR="002F3328">
        <w:t>Each year t</w:t>
      </w:r>
      <w:r w:rsidR="00F1669E">
        <w:t xml:space="preserve">he plan addresses the following </w:t>
      </w:r>
      <w:r w:rsidR="002F3328">
        <w:t>information; DT</w:t>
      </w:r>
      <w:r w:rsidR="00F1669E">
        <w:t xml:space="preserve"> competencies/learning outcomes, data </w:t>
      </w:r>
      <w:r w:rsidR="002F3328">
        <w:t>collected availability</w:t>
      </w:r>
      <w:r w:rsidR="00F1669E">
        <w:t xml:space="preserve"> of data, courses being assessed, numbers assessed, expected outcome, actual outcome and action plan as needed.  </w:t>
      </w:r>
      <w:r w:rsidR="002F3328">
        <w:t>Aggregate data has been collected for 2008-09 addressing Program Outcome #1 and DT competencies 1.1-1.5, and aggregate data has been collected for 2009-10 addressing Program Outcome #2, DT competencies 2.1-2.6.  The program is currently colle</w:t>
      </w:r>
      <w:r w:rsidR="00FA02EF">
        <w:t>cting aggregate data for 2010-</w:t>
      </w:r>
      <w:r w:rsidR="002F3328">
        <w:t xml:space="preserve">11 continuing to address Program Outcome #2, DT competencies 2.7-2.11.  </w:t>
      </w:r>
      <w:r w:rsidR="00FA02EF">
        <w:t>During 2011-12 the program will collect aggregate data for Program Outcome #3, DT competencies 3.1-3.7 and during 2012-13 the program will collect data for Program Outcome #4, DT competencies 4.1-4.5.</w:t>
      </w:r>
    </w:p>
    <w:p w:rsidR="0094204C" w:rsidRPr="00D708C3" w:rsidRDefault="0094204C" w:rsidP="00D708C3">
      <w:pPr>
        <w:rPr>
          <w:b/>
          <w:u w:val="single"/>
        </w:rPr>
      </w:pPr>
      <w:r w:rsidRPr="00D708C3">
        <w:rPr>
          <w:b/>
          <w:u w:val="single"/>
        </w:rPr>
        <w:t>Section III: Assessment of Outcomes</w:t>
      </w:r>
    </w:p>
    <w:p w:rsidR="00827AE5" w:rsidRDefault="00827AE5" w:rsidP="00827AE5">
      <w:pPr>
        <w:rPr>
          <w:rFonts w:ascii="Arial" w:hAnsi="Arial" w:cs="Arial"/>
        </w:rPr>
      </w:pPr>
    </w:p>
    <w:p w:rsidR="00F0239E" w:rsidRPr="00827AE5" w:rsidRDefault="00D31DDA" w:rsidP="00827AE5">
      <w:pPr>
        <w:rPr>
          <w:rFonts w:ascii="Arial" w:hAnsi="Arial" w:cs="Arial"/>
        </w:rPr>
      </w:pPr>
      <w:r>
        <w:t>The Program Outcomes for this program are listed below.</w:t>
      </w:r>
      <w:r w:rsidR="00A63ACE">
        <w:t xml:space="preserve">  </w:t>
      </w:r>
      <w:r w:rsidR="00A63ACE" w:rsidRPr="00827AE5">
        <w:rPr>
          <w:b/>
        </w:rPr>
        <w:t xml:space="preserve">At least </w:t>
      </w:r>
      <w:r w:rsidR="00E749F1">
        <w:rPr>
          <w:b/>
        </w:rPr>
        <w:t>one-third of your</w:t>
      </w:r>
      <w:r w:rsidR="00A63ACE" w:rsidRPr="00827AE5">
        <w:rPr>
          <w:b/>
        </w:rPr>
        <w:t xml:space="preserve"> program outcomes </w:t>
      </w:r>
      <w:r w:rsidR="00EC0B9E" w:rsidRPr="00827AE5">
        <w:rPr>
          <w:b/>
        </w:rPr>
        <w:t xml:space="preserve">must </w:t>
      </w:r>
      <w:r w:rsidR="00A63ACE" w:rsidRPr="00827AE5">
        <w:rPr>
          <w:b/>
        </w:rPr>
        <w:t xml:space="preserve">be assessed as part of this Annual Update, and across the next three years all of these program outcomes </w:t>
      </w:r>
      <w:r w:rsidR="00120E81" w:rsidRPr="00827AE5">
        <w:rPr>
          <w:b/>
        </w:rPr>
        <w:t>must</w:t>
      </w:r>
      <w:r w:rsidR="00A63ACE" w:rsidRPr="00827AE5">
        <w:rPr>
          <w:b/>
        </w:rPr>
        <w:t xml:space="preserve"> </w:t>
      </w:r>
      <w:r w:rsidR="00AF6A23" w:rsidRPr="00827AE5">
        <w:rPr>
          <w:b/>
        </w:rPr>
        <w:t>be</w:t>
      </w:r>
      <w:r w:rsidR="00A63ACE" w:rsidRPr="00827AE5">
        <w:rPr>
          <w:b/>
        </w:rPr>
        <w:t xml:space="preserve"> assessed at least once</w:t>
      </w:r>
      <w:r w:rsidR="00A63ACE">
        <w:t>.</w:t>
      </w:r>
    </w:p>
    <w:tbl>
      <w:tblPr>
        <w:tblStyle w:val="TableGrid"/>
        <w:tblW w:w="10838" w:type="dxa"/>
        <w:tblInd w:w="-732" w:type="dxa"/>
        <w:shd w:val="clear" w:color="auto" w:fill="FFFFFF"/>
        <w:tblLayout w:type="fixed"/>
        <w:tblLook w:val="01E0"/>
      </w:tblPr>
      <w:tblGrid>
        <w:gridCol w:w="5340"/>
        <w:gridCol w:w="1440"/>
        <w:gridCol w:w="2160"/>
        <w:gridCol w:w="1898"/>
      </w:tblGrid>
      <w:tr w:rsidR="002C1797" w:rsidRPr="006137FD" w:rsidTr="00827AE5">
        <w:trPr>
          <w:trHeight w:val="71"/>
        </w:trPr>
        <w:tc>
          <w:tcPr>
            <w:tcW w:w="5340" w:type="dxa"/>
            <w:shd w:val="clear" w:color="auto" w:fill="FFFFFF"/>
            <w:vAlign w:val="center"/>
          </w:tcPr>
          <w:p w:rsidR="002C1797" w:rsidRPr="002C1797" w:rsidRDefault="0004381C" w:rsidP="008860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Dietetics &amp; Nutritional Management Technology</w:t>
            </w:r>
            <w:r w:rsidR="002C1797" w:rsidRPr="002C1797">
              <w:rPr>
                <w:sz w:val="24"/>
                <w:szCs w:val="24"/>
              </w:rPr>
              <w:t xml:space="preserve"> Program Outcomes</w:t>
            </w:r>
          </w:p>
        </w:tc>
        <w:tc>
          <w:tcPr>
            <w:tcW w:w="1440" w:type="dxa"/>
          </w:tcPr>
          <w:p w:rsidR="002C1797" w:rsidRPr="002C1797" w:rsidRDefault="00AF6A23" w:rsidP="00886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which courses are these program outcomes addressed</w:t>
            </w:r>
            <w:r w:rsidR="002C1797" w:rsidRPr="002C1797">
              <w:rPr>
                <w:sz w:val="20"/>
                <w:szCs w:val="20"/>
              </w:rPr>
              <w:t>?</w:t>
            </w:r>
          </w:p>
        </w:tc>
        <w:tc>
          <w:tcPr>
            <w:tcW w:w="2160" w:type="dxa"/>
            <w:shd w:val="clear" w:color="auto" w:fill="auto"/>
          </w:tcPr>
          <w:p w:rsidR="002C1797" w:rsidRPr="002E548B" w:rsidRDefault="004D3BE1" w:rsidP="00A63ACE">
            <w:pPr>
              <w:jc w:val="center"/>
              <w:rPr>
                <w:sz w:val="20"/>
                <w:szCs w:val="20"/>
              </w:rPr>
            </w:pPr>
            <w:r w:rsidRPr="002E548B">
              <w:rPr>
                <w:sz w:val="20"/>
                <w:szCs w:val="20"/>
              </w:rPr>
              <w:t>Which of these program outcomes were assessed during the last fiscal year? </w:t>
            </w:r>
          </w:p>
        </w:tc>
        <w:tc>
          <w:tcPr>
            <w:tcW w:w="1898" w:type="dxa"/>
          </w:tcPr>
          <w:p w:rsidR="002C1797" w:rsidRPr="00660080" w:rsidRDefault="002C1797" w:rsidP="00A63ACE">
            <w:pPr>
              <w:jc w:val="center"/>
              <w:rPr>
                <w:sz w:val="20"/>
                <w:szCs w:val="20"/>
              </w:rPr>
            </w:pPr>
            <w:r w:rsidRPr="00660080">
              <w:rPr>
                <w:sz w:val="20"/>
                <w:szCs w:val="20"/>
              </w:rPr>
              <w:t>Assessment Methods</w:t>
            </w:r>
          </w:p>
          <w:p w:rsidR="002C1797" w:rsidRPr="00660080" w:rsidRDefault="002C1797" w:rsidP="00A63ACE">
            <w:pPr>
              <w:jc w:val="center"/>
              <w:rPr>
                <w:sz w:val="20"/>
                <w:szCs w:val="20"/>
              </w:rPr>
            </w:pPr>
            <w:r w:rsidRPr="00660080">
              <w:rPr>
                <w:sz w:val="20"/>
                <w:szCs w:val="20"/>
              </w:rPr>
              <w:t>Used</w:t>
            </w:r>
          </w:p>
          <w:p w:rsidR="002C1797" w:rsidRPr="00660080" w:rsidRDefault="002C1797" w:rsidP="00A63ACE">
            <w:pPr>
              <w:jc w:val="center"/>
              <w:rPr>
                <w:sz w:val="20"/>
                <w:szCs w:val="20"/>
              </w:rPr>
            </w:pPr>
          </w:p>
        </w:tc>
      </w:tr>
      <w:tr w:rsidR="002C1797" w:rsidRPr="00107027" w:rsidTr="00827AE5">
        <w:trPr>
          <w:trHeight w:val="269"/>
        </w:trPr>
        <w:tc>
          <w:tcPr>
            <w:tcW w:w="5340" w:type="dxa"/>
            <w:shd w:val="clear" w:color="auto" w:fill="FFFFFF"/>
            <w:vAlign w:val="center"/>
          </w:tcPr>
          <w:p w:rsidR="002C1797" w:rsidRPr="002C1797" w:rsidRDefault="002C1797" w:rsidP="00A56B7C">
            <w:pPr>
              <w:rPr>
                <w:i/>
                <w:sz w:val="20"/>
                <w:szCs w:val="20"/>
              </w:rPr>
            </w:pPr>
            <w:r w:rsidRPr="002C1797">
              <w:rPr>
                <w:b/>
                <w:sz w:val="20"/>
                <w:szCs w:val="20"/>
              </w:rPr>
              <w:t>1)</w:t>
            </w:r>
            <w:r w:rsidR="0004381C" w:rsidRPr="0004381C">
              <w:rPr>
                <w:sz w:val="20"/>
                <w:szCs w:val="20"/>
              </w:rPr>
              <w:t>.</w:t>
            </w:r>
            <w:r w:rsidR="00A56B7C">
              <w:rPr>
                <w:b/>
                <w:sz w:val="28"/>
                <w:szCs w:val="28"/>
              </w:rPr>
              <w:t xml:space="preserve"> </w:t>
            </w:r>
            <w:r w:rsidR="00A56B7C" w:rsidRPr="00A56B7C">
              <w:rPr>
                <w:sz w:val="20"/>
                <w:szCs w:val="20"/>
              </w:rPr>
              <w:t>Describe and apply scientific information and research related to the dietetic technician level of practice</w:t>
            </w:r>
          </w:p>
        </w:tc>
        <w:tc>
          <w:tcPr>
            <w:tcW w:w="1440" w:type="dxa"/>
          </w:tcPr>
          <w:p w:rsidR="002C1797" w:rsidRPr="002C1797" w:rsidRDefault="00082354" w:rsidP="00886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516CD">
              <w:rPr>
                <w:sz w:val="20"/>
                <w:szCs w:val="20"/>
              </w:rPr>
              <w:t xml:space="preserve">IT 129, 135, 224, 227, 228, </w:t>
            </w:r>
            <w:r>
              <w:rPr>
                <w:sz w:val="20"/>
                <w:szCs w:val="20"/>
              </w:rPr>
              <w:t xml:space="preserve"> 237</w:t>
            </w:r>
            <w:r w:rsidR="00A516CD">
              <w:rPr>
                <w:sz w:val="20"/>
                <w:szCs w:val="20"/>
              </w:rPr>
              <w:t>, 240</w:t>
            </w:r>
          </w:p>
        </w:tc>
        <w:tc>
          <w:tcPr>
            <w:tcW w:w="2160" w:type="dxa"/>
            <w:shd w:val="clear" w:color="auto" w:fill="auto"/>
          </w:tcPr>
          <w:p w:rsidR="002C1797" w:rsidRPr="00690A3D" w:rsidRDefault="00177515" w:rsidP="00690A3D">
            <w:pPr>
              <w:rPr>
                <w:rFonts w:asciiTheme="minorHAnsi" w:hAnsiTheme="minorHAnsi"/>
                <w:sz w:val="16"/>
                <w:szCs w:val="16"/>
              </w:rPr>
            </w:pPr>
            <w:r w:rsidRPr="00177515">
              <w:rPr>
                <w:noProof/>
                <w:sz w:val="16"/>
                <w:szCs w:val="16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8" type="#_x0000_t201" style="position:absolute;margin-left:34.9pt;margin-top:8.2pt;width:16.5pt;height:15pt;z-index:251671552;mso-position-horizontal-relative:text;mso-position-vertical-relative:text" o:preferrelative="t" wrapcoords="-982 0 -982 21228 21600 21228 21600 0 -982 0" filled="f" stroked="f">
                  <v:imagedata r:id="rId8" o:title=""/>
                  <o:lock v:ext="edit" aspectratio="t"/>
                  <w10:wrap type="tight"/>
                </v:shape>
                <w:control r:id="rId9" w:name="CheckBox1" w:shapeid="_x0000_s1038"/>
              </w:pict>
            </w:r>
          </w:p>
        </w:tc>
        <w:tc>
          <w:tcPr>
            <w:tcW w:w="1898" w:type="dxa"/>
          </w:tcPr>
          <w:p w:rsidR="002C1797" w:rsidRPr="00A516CD" w:rsidRDefault="002C1797" w:rsidP="00A407EB">
            <w:pPr>
              <w:pStyle w:val="ListParagraph"/>
              <w:ind w:left="252"/>
              <w:rPr>
                <w:sz w:val="20"/>
                <w:szCs w:val="20"/>
              </w:rPr>
            </w:pPr>
          </w:p>
        </w:tc>
      </w:tr>
      <w:tr w:rsidR="00082354" w:rsidRPr="00107027" w:rsidTr="00827AE5">
        <w:trPr>
          <w:trHeight w:val="71"/>
        </w:trPr>
        <w:tc>
          <w:tcPr>
            <w:tcW w:w="5340" w:type="dxa"/>
            <w:shd w:val="clear" w:color="auto" w:fill="FFFFFF"/>
            <w:vAlign w:val="center"/>
          </w:tcPr>
          <w:p w:rsidR="00082354" w:rsidRPr="00A56B7C" w:rsidRDefault="00082354" w:rsidP="00082354">
            <w:pPr>
              <w:rPr>
                <w:sz w:val="20"/>
                <w:szCs w:val="20"/>
              </w:rPr>
            </w:pPr>
            <w:r w:rsidRPr="002C1797">
              <w:rPr>
                <w:b/>
                <w:sz w:val="20"/>
                <w:szCs w:val="20"/>
              </w:rPr>
              <w:t xml:space="preserve">2) </w:t>
            </w:r>
            <w:r w:rsidRPr="00A56B7C">
              <w:rPr>
                <w:sz w:val="20"/>
                <w:szCs w:val="20"/>
              </w:rPr>
              <w:t>Develop beliefs, values, attitudes and behaviors for the dietetic technician level of practice in accordance with the American Dietetic Association Code of Ethics</w:t>
            </w:r>
          </w:p>
          <w:p w:rsidR="00082354" w:rsidRPr="002C1797" w:rsidRDefault="00082354" w:rsidP="000823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2354" w:rsidRDefault="00082354" w:rsidP="0008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DIT </w:t>
            </w:r>
            <w:r w:rsidR="00A516CD">
              <w:rPr>
                <w:sz w:val="20"/>
                <w:szCs w:val="20"/>
              </w:rPr>
              <w:t xml:space="preserve"> 218, 224, 226, 227, 228,</w:t>
            </w:r>
          </w:p>
          <w:p w:rsidR="00082354" w:rsidRDefault="00A516CD" w:rsidP="0008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237, </w:t>
            </w:r>
            <w:r w:rsidR="00082354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 255</w:t>
            </w:r>
          </w:p>
          <w:p w:rsidR="00082354" w:rsidRDefault="00082354" w:rsidP="00082354">
            <w:pPr>
              <w:rPr>
                <w:sz w:val="20"/>
                <w:szCs w:val="20"/>
              </w:rPr>
            </w:pPr>
          </w:p>
          <w:p w:rsidR="00082354" w:rsidRDefault="00082354" w:rsidP="00082354">
            <w:pPr>
              <w:rPr>
                <w:sz w:val="20"/>
                <w:szCs w:val="20"/>
              </w:rPr>
            </w:pPr>
          </w:p>
          <w:p w:rsidR="00082354" w:rsidRDefault="00082354" w:rsidP="00082354">
            <w:pPr>
              <w:rPr>
                <w:sz w:val="20"/>
                <w:szCs w:val="20"/>
              </w:rPr>
            </w:pPr>
          </w:p>
          <w:p w:rsidR="00082354" w:rsidRPr="00051309" w:rsidRDefault="00082354" w:rsidP="0008235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82354" w:rsidRPr="002C1797" w:rsidRDefault="00177515" w:rsidP="0008235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45" type="#_x0000_t201" style="position:absolute;left:0;text-align:left;margin-left:34.9pt;margin-top:3.35pt;width:16.5pt;height:19.5pt;z-index:251677696;mso-position-horizontal-relative:text;mso-position-vertical-relative:text" o:preferrelative="t" wrapcoords="-982 0 -982 21228 21600 21228 21600 0 -982 0" filled="f" stroked="f">
                  <v:imagedata r:id="rId10" o:title=""/>
                  <o:lock v:ext="edit" aspectratio="t"/>
                  <w10:wrap type="tight"/>
                </v:shape>
                <w:control r:id="rId11" w:name="CheckBox11" w:shapeid="_x0000_s1045"/>
              </w:pict>
            </w:r>
          </w:p>
        </w:tc>
        <w:tc>
          <w:tcPr>
            <w:tcW w:w="1898" w:type="dxa"/>
          </w:tcPr>
          <w:p w:rsidR="002374CA" w:rsidRDefault="002374CA" w:rsidP="00A407EB">
            <w:pPr>
              <w:pStyle w:val="ListParagraph"/>
              <w:tabs>
                <w:tab w:val="left" w:pos="5040"/>
              </w:tabs>
              <w:ind w:left="-18" w:hanging="90"/>
              <w:rPr>
                <w:sz w:val="20"/>
                <w:szCs w:val="20"/>
              </w:rPr>
            </w:pPr>
            <w:r w:rsidRPr="002374CA">
              <w:rPr>
                <w:sz w:val="20"/>
                <w:szCs w:val="20"/>
              </w:rPr>
              <w:t>Assessment methods reflect CADE competencies DT 2.1-DT 2.6.  Competencies DT 2.7-2.</w:t>
            </w:r>
            <w:r w:rsidR="00B95C25" w:rsidRPr="002374CA">
              <w:rPr>
                <w:sz w:val="20"/>
                <w:szCs w:val="20"/>
              </w:rPr>
              <w:t xml:space="preserve"> </w:t>
            </w:r>
            <w:r w:rsidRPr="002374CA">
              <w:rPr>
                <w:sz w:val="20"/>
                <w:szCs w:val="20"/>
              </w:rPr>
              <w:t>11 will be assessed 2011-12</w:t>
            </w:r>
            <w:r w:rsidR="00B95C25" w:rsidRPr="002374CA">
              <w:rPr>
                <w:sz w:val="20"/>
                <w:szCs w:val="20"/>
              </w:rPr>
              <w:t xml:space="preserve"> </w:t>
            </w:r>
          </w:p>
          <w:p w:rsidR="002374CA" w:rsidRDefault="002374CA" w:rsidP="00A407EB">
            <w:pPr>
              <w:pStyle w:val="ListParagraph"/>
              <w:tabs>
                <w:tab w:val="left" w:pos="5040"/>
              </w:tabs>
              <w:ind w:left="-18" w:hanging="90"/>
              <w:rPr>
                <w:sz w:val="20"/>
                <w:szCs w:val="20"/>
              </w:rPr>
            </w:pPr>
          </w:p>
          <w:p w:rsidR="002374CA" w:rsidRPr="002374CA" w:rsidRDefault="002374CA" w:rsidP="00A407EB">
            <w:pPr>
              <w:pStyle w:val="ListParagraph"/>
              <w:tabs>
                <w:tab w:val="left" w:pos="5040"/>
              </w:tabs>
              <w:ind w:left="-18" w:hanging="90"/>
              <w:rPr>
                <w:sz w:val="20"/>
                <w:szCs w:val="20"/>
              </w:rPr>
            </w:pPr>
          </w:p>
          <w:p w:rsidR="003C71E1" w:rsidRPr="00A407EB" w:rsidRDefault="00A407EB" w:rsidP="00A407EB">
            <w:pPr>
              <w:pStyle w:val="ListParagraph"/>
              <w:tabs>
                <w:tab w:val="left" w:pos="5040"/>
              </w:tabs>
              <w:ind w:left="-18" w:hanging="90"/>
              <w:rPr>
                <w:sz w:val="20"/>
                <w:szCs w:val="20"/>
              </w:rPr>
            </w:pPr>
            <w:r w:rsidRPr="00A407EB">
              <w:rPr>
                <w:sz w:val="20"/>
                <w:szCs w:val="20"/>
                <w:highlight w:val="yellow"/>
              </w:rPr>
              <w:lastRenderedPageBreak/>
              <w:t>8</w:t>
            </w:r>
            <w:r w:rsidR="003C71E1" w:rsidRPr="00A407EB">
              <w:rPr>
                <w:sz w:val="20"/>
                <w:szCs w:val="20"/>
                <w:highlight w:val="yellow"/>
              </w:rPr>
              <w:t xml:space="preserve">5% of students will score a B or higher </w:t>
            </w:r>
            <w:proofErr w:type="gramStart"/>
            <w:r w:rsidR="003C71E1" w:rsidRPr="00A407EB">
              <w:rPr>
                <w:sz w:val="20"/>
                <w:szCs w:val="20"/>
                <w:highlight w:val="yellow"/>
              </w:rPr>
              <w:t>on  nutri</w:t>
            </w:r>
            <w:r w:rsidR="005B7F66">
              <w:rPr>
                <w:sz w:val="20"/>
                <w:szCs w:val="20"/>
                <w:highlight w:val="yellow"/>
              </w:rPr>
              <w:t>tional</w:t>
            </w:r>
            <w:proofErr w:type="gramEnd"/>
            <w:r w:rsidR="005B7F66">
              <w:rPr>
                <w:sz w:val="20"/>
                <w:szCs w:val="20"/>
                <w:highlight w:val="yellow"/>
              </w:rPr>
              <w:t xml:space="preserve"> assessments, MDS,RAPS,</w:t>
            </w:r>
            <w:r w:rsidR="003C71E1" w:rsidRPr="00A407EB">
              <w:rPr>
                <w:sz w:val="20"/>
                <w:szCs w:val="20"/>
                <w:highlight w:val="yellow"/>
              </w:rPr>
              <w:t xml:space="preserve"> care plans and on menu writing assignment.</w:t>
            </w:r>
          </w:p>
          <w:p w:rsidR="00A407EB" w:rsidRPr="00A407EB" w:rsidRDefault="00A407EB" w:rsidP="00A407EB">
            <w:pPr>
              <w:pStyle w:val="ListParagraph"/>
              <w:tabs>
                <w:tab w:val="left" w:pos="5040"/>
              </w:tabs>
              <w:ind w:left="252"/>
              <w:rPr>
                <w:rFonts w:ascii="Arial" w:hAnsi="Arial" w:cs="Arial"/>
              </w:rPr>
            </w:pPr>
          </w:p>
          <w:p w:rsidR="00A407EB" w:rsidRDefault="00A407EB" w:rsidP="00A407EB">
            <w:pPr>
              <w:pStyle w:val="ListParagraph"/>
              <w:ind w:left="0"/>
              <w:rPr>
                <w:sz w:val="20"/>
                <w:szCs w:val="20"/>
              </w:rPr>
            </w:pPr>
            <w:r w:rsidRPr="00A407EB">
              <w:rPr>
                <w:sz w:val="20"/>
                <w:szCs w:val="20"/>
              </w:rPr>
              <w:t>100% of students will score a B or higher on hydration/skin/</w:t>
            </w:r>
            <w:r>
              <w:rPr>
                <w:sz w:val="20"/>
                <w:szCs w:val="20"/>
              </w:rPr>
              <w:t xml:space="preserve"> </w:t>
            </w:r>
            <w:r w:rsidRPr="00A407EB">
              <w:rPr>
                <w:sz w:val="20"/>
                <w:szCs w:val="20"/>
              </w:rPr>
              <w:t xml:space="preserve">weight </w:t>
            </w:r>
            <w:r>
              <w:rPr>
                <w:sz w:val="20"/>
                <w:szCs w:val="20"/>
              </w:rPr>
              <w:t>l</w:t>
            </w:r>
            <w:r w:rsidRPr="00A407EB">
              <w:rPr>
                <w:sz w:val="20"/>
                <w:szCs w:val="20"/>
              </w:rPr>
              <w:t>oss/</w:t>
            </w:r>
            <w:r>
              <w:rPr>
                <w:sz w:val="20"/>
                <w:szCs w:val="20"/>
              </w:rPr>
              <w:t xml:space="preserve"> </w:t>
            </w:r>
            <w:r w:rsidRPr="00A407EB">
              <w:rPr>
                <w:sz w:val="20"/>
                <w:szCs w:val="20"/>
              </w:rPr>
              <w:t>supplement nursing home project (226)</w:t>
            </w:r>
          </w:p>
          <w:p w:rsidR="00A407EB" w:rsidRDefault="00A407EB" w:rsidP="00A407EB">
            <w:pPr>
              <w:rPr>
                <w:sz w:val="20"/>
                <w:szCs w:val="20"/>
              </w:rPr>
            </w:pPr>
          </w:p>
          <w:p w:rsidR="002374CA" w:rsidRDefault="002374CA" w:rsidP="00A407EB">
            <w:pPr>
              <w:rPr>
                <w:sz w:val="20"/>
                <w:szCs w:val="20"/>
              </w:rPr>
            </w:pPr>
          </w:p>
          <w:p w:rsidR="00A407EB" w:rsidRDefault="00A407EB" w:rsidP="00A407EB">
            <w:pPr>
              <w:pStyle w:val="ListParagraph"/>
              <w:ind w:left="72"/>
              <w:rPr>
                <w:sz w:val="20"/>
                <w:szCs w:val="20"/>
              </w:rPr>
            </w:pPr>
            <w:r w:rsidRPr="00A407EB">
              <w:rPr>
                <w:sz w:val="20"/>
                <w:szCs w:val="20"/>
              </w:rPr>
              <w:t xml:space="preserve">95% of students will score a B or higher on Head Start lesson plan and site evaluation (224)  </w:t>
            </w:r>
          </w:p>
          <w:p w:rsidR="00A407EB" w:rsidRDefault="00A407EB" w:rsidP="00A407EB">
            <w:pPr>
              <w:pStyle w:val="ListParagraph"/>
              <w:ind w:left="72"/>
              <w:rPr>
                <w:sz w:val="20"/>
                <w:szCs w:val="20"/>
              </w:rPr>
            </w:pPr>
          </w:p>
          <w:p w:rsidR="00B95C25" w:rsidRDefault="00B95C25" w:rsidP="00A407EB">
            <w:pPr>
              <w:pStyle w:val="ListParagraph"/>
              <w:ind w:left="72"/>
              <w:rPr>
                <w:sz w:val="20"/>
                <w:szCs w:val="20"/>
              </w:rPr>
            </w:pPr>
          </w:p>
          <w:p w:rsidR="005B7F66" w:rsidRPr="00A407EB" w:rsidRDefault="005B7F66" w:rsidP="00A407EB">
            <w:pPr>
              <w:pStyle w:val="ListParagraph"/>
              <w:ind w:left="72"/>
              <w:rPr>
                <w:sz w:val="20"/>
                <w:szCs w:val="20"/>
              </w:rPr>
            </w:pPr>
          </w:p>
          <w:p w:rsidR="00A407EB" w:rsidRDefault="00A407EB" w:rsidP="00A4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 of students will score 80% or higher on Head Start site evaluation form (224)</w:t>
            </w:r>
          </w:p>
          <w:p w:rsidR="00A407EB" w:rsidRDefault="00A407EB" w:rsidP="00A407EB">
            <w:pPr>
              <w:rPr>
                <w:sz w:val="20"/>
                <w:szCs w:val="20"/>
              </w:rPr>
            </w:pPr>
          </w:p>
          <w:p w:rsidR="00A407EB" w:rsidRDefault="00A407EB" w:rsidP="00A4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 of students will score a B</w:t>
            </w:r>
            <w:r w:rsidRPr="005C15D9">
              <w:rPr>
                <w:sz w:val="20"/>
                <w:szCs w:val="20"/>
              </w:rPr>
              <w:t xml:space="preserve"> or higher</w:t>
            </w:r>
            <w:r>
              <w:rPr>
                <w:sz w:val="20"/>
                <w:szCs w:val="20"/>
              </w:rPr>
              <w:t xml:space="preserve"> on diversity project (240)</w:t>
            </w:r>
          </w:p>
          <w:p w:rsidR="00A407EB" w:rsidRDefault="00A407EB" w:rsidP="00A407EB">
            <w:pPr>
              <w:rPr>
                <w:sz w:val="20"/>
                <w:szCs w:val="20"/>
              </w:rPr>
            </w:pPr>
          </w:p>
          <w:p w:rsidR="00A407EB" w:rsidRPr="00A407EB" w:rsidRDefault="00A407EB" w:rsidP="00237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of students will score a B</w:t>
            </w:r>
            <w:r w:rsidRPr="005C15D9">
              <w:rPr>
                <w:sz w:val="20"/>
                <w:szCs w:val="20"/>
              </w:rPr>
              <w:t xml:space="preserve"> or higher</w:t>
            </w:r>
            <w:r>
              <w:rPr>
                <w:sz w:val="20"/>
                <w:szCs w:val="20"/>
              </w:rPr>
              <w:t xml:space="preserve"> on room service proposal</w:t>
            </w:r>
          </w:p>
          <w:p w:rsidR="00082354" w:rsidRPr="00660080" w:rsidRDefault="00082354" w:rsidP="00A516CD">
            <w:pPr>
              <w:pStyle w:val="ListParagraph"/>
              <w:ind w:left="252"/>
              <w:rPr>
                <w:sz w:val="20"/>
                <w:szCs w:val="20"/>
              </w:rPr>
            </w:pPr>
          </w:p>
        </w:tc>
      </w:tr>
      <w:tr w:rsidR="00082354" w:rsidRPr="00107027" w:rsidTr="00A56B7C">
        <w:trPr>
          <w:trHeight w:val="530"/>
        </w:trPr>
        <w:tc>
          <w:tcPr>
            <w:tcW w:w="5340" w:type="dxa"/>
            <w:shd w:val="clear" w:color="auto" w:fill="FFFFFF"/>
            <w:vAlign w:val="center"/>
          </w:tcPr>
          <w:p w:rsidR="00082354" w:rsidRDefault="00082354" w:rsidP="00082354">
            <w:pPr>
              <w:rPr>
                <w:b/>
                <w:sz w:val="28"/>
                <w:szCs w:val="28"/>
              </w:rPr>
            </w:pPr>
            <w:r w:rsidRPr="002C1797">
              <w:rPr>
                <w:b/>
                <w:sz w:val="20"/>
                <w:szCs w:val="20"/>
              </w:rPr>
              <w:lastRenderedPageBreak/>
              <w:t xml:space="preserve">3) </w:t>
            </w:r>
            <w:r w:rsidRPr="00A56B7C">
              <w:rPr>
                <w:sz w:val="20"/>
                <w:szCs w:val="20"/>
              </w:rPr>
              <w:t>Develop and deliver information, products and services to individuals, groups and populations at the dietetic technician level of practice.</w:t>
            </w:r>
          </w:p>
          <w:p w:rsidR="00082354" w:rsidRPr="002C1797" w:rsidRDefault="00082354" w:rsidP="000823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2354" w:rsidRPr="00051309" w:rsidRDefault="00A516CD" w:rsidP="0008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 135, 216, 218, 225, 226, 228, 236, 237</w:t>
            </w:r>
          </w:p>
        </w:tc>
        <w:tc>
          <w:tcPr>
            <w:tcW w:w="2160" w:type="dxa"/>
            <w:shd w:val="clear" w:color="auto" w:fill="auto"/>
          </w:tcPr>
          <w:p w:rsidR="00082354" w:rsidRPr="00690A3D" w:rsidRDefault="00177515" w:rsidP="00082354">
            <w:pPr>
              <w:rPr>
                <w:rFonts w:asciiTheme="minorHAnsi" w:hAnsiTheme="minorHAnsi"/>
                <w:sz w:val="16"/>
                <w:szCs w:val="16"/>
              </w:rPr>
            </w:pPr>
            <w:r w:rsidRPr="00177515">
              <w:rPr>
                <w:noProof/>
                <w:sz w:val="16"/>
                <w:szCs w:val="16"/>
              </w:rPr>
              <w:pict>
                <v:shape id="_x0000_s1046" type="#_x0000_t201" style="position:absolute;margin-left:34.9pt;margin-top:3.65pt;width:16.5pt;height:15pt;z-index:251678720;mso-position-horizontal-relative:text;mso-position-vertical-relative:text" o:preferrelative="t" wrapcoords="-982 0 -982 21228 21600 21228 21600 0 -982 0" filled="f" stroked="f">
                  <v:imagedata r:id="rId8" o:title=""/>
                  <o:lock v:ext="edit" aspectratio="t"/>
                  <w10:wrap type="tight"/>
                </v:shape>
                <w:control r:id="rId12" w:name="CheckBox12" w:shapeid="_x0000_s1046"/>
              </w:pict>
            </w:r>
          </w:p>
        </w:tc>
        <w:tc>
          <w:tcPr>
            <w:tcW w:w="1898" w:type="dxa"/>
          </w:tcPr>
          <w:p w:rsidR="00082354" w:rsidRPr="00660080" w:rsidRDefault="00082354" w:rsidP="00A407EB">
            <w:pPr>
              <w:pStyle w:val="ListParagraph"/>
              <w:ind w:left="252"/>
              <w:rPr>
                <w:sz w:val="20"/>
                <w:szCs w:val="20"/>
              </w:rPr>
            </w:pPr>
          </w:p>
        </w:tc>
      </w:tr>
      <w:tr w:rsidR="00082354" w:rsidRPr="00107027" w:rsidTr="00827AE5">
        <w:trPr>
          <w:trHeight w:val="71"/>
        </w:trPr>
        <w:tc>
          <w:tcPr>
            <w:tcW w:w="5340" w:type="dxa"/>
            <w:shd w:val="clear" w:color="auto" w:fill="FFFFFF"/>
            <w:vAlign w:val="center"/>
          </w:tcPr>
          <w:p w:rsidR="00082354" w:rsidRPr="00A56B7C" w:rsidRDefault="00082354" w:rsidP="00082354">
            <w:pPr>
              <w:rPr>
                <w:sz w:val="28"/>
                <w:szCs w:val="28"/>
              </w:rPr>
            </w:pPr>
            <w:r w:rsidRPr="002C1797">
              <w:rPr>
                <w:b/>
                <w:sz w:val="20"/>
                <w:szCs w:val="20"/>
              </w:rPr>
              <w:t>4)</w:t>
            </w:r>
            <w:r w:rsidRPr="0004381C">
              <w:rPr>
                <w:sz w:val="20"/>
                <w:szCs w:val="20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6B7C">
              <w:rPr>
                <w:sz w:val="20"/>
                <w:szCs w:val="20"/>
              </w:rPr>
              <w:t>Apply principles of management and systems in the provision of clinical and customer services to individuals and organizations at the dietetic technician level of practice</w:t>
            </w:r>
          </w:p>
          <w:p w:rsidR="00082354" w:rsidRPr="002C1797" w:rsidRDefault="00082354" w:rsidP="000823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2354" w:rsidRPr="00051309" w:rsidRDefault="003C71E1" w:rsidP="0008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 216, 218, 219, 224, 227, 228, 236, 237</w:t>
            </w:r>
          </w:p>
        </w:tc>
        <w:tc>
          <w:tcPr>
            <w:tcW w:w="2160" w:type="dxa"/>
            <w:shd w:val="clear" w:color="auto" w:fill="auto"/>
          </w:tcPr>
          <w:p w:rsidR="00082354" w:rsidRPr="002C1797" w:rsidRDefault="00177515" w:rsidP="0008235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47" type="#_x0000_t201" style="position:absolute;left:0;text-align:left;margin-left:34.9pt;margin-top:3.35pt;width:16.5pt;height:19.5pt;z-index:251679744;mso-position-horizontal-relative:text;mso-position-vertical-relative:text" o:preferrelative="t" wrapcoords="-982 0 -982 21228 21600 21228 21600 0 -982 0" filled="f" stroked="f">
                  <v:imagedata r:id="rId13" o:title=""/>
                  <o:lock v:ext="edit" aspectratio="t"/>
                  <w10:wrap type="tight"/>
                </v:shape>
                <w:control r:id="rId14" w:name="CheckBox111" w:shapeid="_x0000_s1047"/>
              </w:pict>
            </w:r>
          </w:p>
        </w:tc>
        <w:tc>
          <w:tcPr>
            <w:tcW w:w="1898" w:type="dxa"/>
          </w:tcPr>
          <w:p w:rsidR="00082354" w:rsidRPr="00660080" w:rsidRDefault="00082354" w:rsidP="00A407EB">
            <w:pPr>
              <w:pStyle w:val="ListParagraph"/>
              <w:ind w:left="252"/>
              <w:rPr>
                <w:sz w:val="20"/>
                <w:szCs w:val="20"/>
              </w:rPr>
            </w:pPr>
          </w:p>
        </w:tc>
      </w:tr>
    </w:tbl>
    <w:p w:rsidR="00847243" w:rsidRDefault="00847243" w:rsidP="0028603C">
      <w:pPr>
        <w:tabs>
          <w:tab w:val="left" w:pos="5040"/>
        </w:tabs>
      </w:pPr>
    </w:p>
    <w:p w:rsidR="00847243" w:rsidRDefault="00847243" w:rsidP="0028603C">
      <w:pPr>
        <w:tabs>
          <w:tab w:val="left" w:pos="5040"/>
        </w:tabs>
      </w:pPr>
    </w:p>
    <w:p w:rsidR="00FA24D1" w:rsidRPr="00A63ACE" w:rsidRDefault="00414645" w:rsidP="0028603C">
      <w:pPr>
        <w:tabs>
          <w:tab w:val="left" w:pos="5040"/>
        </w:tabs>
      </w:pPr>
      <w:r>
        <w:t>a</w:t>
      </w:r>
      <w:r w:rsidR="00A63ACE">
        <w:t xml:space="preserve">)   </w:t>
      </w:r>
      <w:r w:rsidR="00320CDE" w:rsidRPr="00E96021">
        <w:t>For the assessment methods listed in the table above,</w:t>
      </w:r>
      <w:r w:rsidR="00320CDE">
        <w:t xml:space="preserve"> w</w:t>
      </w:r>
      <w:r w:rsidR="00A63ACE">
        <w:t>hat were the results?  What changes are planned as a result of the data?</w:t>
      </w:r>
      <w:r w:rsidR="006A2AA3">
        <w:t xml:space="preserve">  How will you determine whether those changes had an impact?</w:t>
      </w:r>
    </w:p>
    <w:p w:rsidR="002374CA" w:rsidRDefault="002374CA" w:rsidP="00660080">
      <w:pPr>
        <w:spacing w:after="200" w:line="276" w:lineRule="auto"/>
      </w:pPr>
    </w:p>
    <w:p w:rsidR="00847243" w:rsidRPr="00955208" w:rsidRDefault="00A407EB" w:rsidP="00660080">
      <w:pPr>
        <w:spacing w:after="200" w:line="276" w:lineRule="auto"/>
      </w:pPr>
      <w:r w:rsidRPr="00955208">
        <w:lastRenderedPageBreak/>
        <w:t xml:space="preserve">Goals were met for all the above except for the highlighted assessment method. </w:t>
      </w:r>
      <w:r w:rsidR="00955208" w:rsidRPr="00955208">
        <w:t>We realized initial goal of 85% was unrealistic in comparison to the professional benchmark of pass rate.  Therefore we now consider an 80% or above as a realistic goal.  Data will be collected for the 2010-2011 calendar year to determine achievement.</w:t>
      </w:r>
    </w:p>
    <w:p w:rsidR="008942FA" w:rsidRDefault="00414645" w:rsidP="008942FA">
      <w:pPr>
        <w:spacing w:after="200"/>
      </w:pPr>
      <w:r>
        <w:t>b</w:t>
      </w:r>
      <w:r w:rsidR="00A63ACE">
        <w:t>)   What other changes have been made in past years as a result of assessment of program outcomes?  What evidence is there that these changes have had an impact?</w:t>
      </w:r>
    </w:p>
    <w:p w:rsidR="00847243" w:rsidRDefault="00955208" w:rsidP="008942FA">
      <w:pPr>
        <w:spacing w:after="200"/>
      </w:pPr>
      <w:r w:rsidRPr="00955208">
        <w:t xml:space="preserve">We have utilized formative evaluation to create and offer more practical applications through case studies, calculation reviews, </w:t>
      </w:r>
      <w:r w:rsidR="007E3FC4" w:rsidRPr="00955208">
        <w:t>scenarios</w:t>
      </w:r>
      <w:r w:rsidR="007E3FC4">
        <w:t>, and</w:t>
      </w:r>
      <w:r w:rsidR="00B95C25">
        <w:t xml:space="preserve"> </w:t>
      </w:r>
      <w:r w:rsidRPr="00955208">
        <w:t>mock inspections that involved student discussion prior to completing assignments and summative evaluation.</w:t>
      </w:r>
    </w:p>
    <w:p w:rsidR="00847243" w:rsidRDefault="00955208" w:rsidP="00955208">
      <w:pPr>
        <w:spacing w:after="200"/>
      </w:pPr>
      <w:r>
        <w:t>Evidence is seen by achievement of outcome goals.</w:t>
      </w:r>
    </w:p>
    <w:p w:rsidR="00847243" w:rsidRDefault="00847243" w:rsidP="00034CE6">
      <w:pPr>
        <w:tabs>
          <w:tab w:val="left" w:pos="5040"/>
        </w:tabs>
      </w:pPr>
    </w:p>
    <w:p w:rsidR="00034CE6" w:rsidRDefault="006A2AA3" w:rsidP="002374CA">
      <w:pPr>
        <w:pStyle w:val="ListParagraph"/>
        <w:numPr>
          <w:ilvl w:val="0"/>
          <w:numId w:val="5"/>
        </w:numPr>
        <w:tabs>
          <w:tab w:val="left" w:pos="5040"/>
        </w:tabs>
      </w:pPr>
      <w:r w:rsidRPr="00D57E53">
        <w:t>Describe general education changes/improvements in your program/department during this past academic year (0</w:t>
      </w:r>
      <w:r w:rsidR="00A8476F">
        <w:t>9</w:t>
      </w:r>
      <w:r w:rsidRPr="00D57E53">
        <w:t>-</w:t>
      </w:r>
      <w:r w:rsidR="00A8476F">
        <w:t>10</w:t>
      </w:r>
      <w:r w:rsidRPr="00D57E53">
        <w:t>).</w:t>
      </w:r>
    </w:p>
    <w:p w:rsidR="002374CA" w:rsidRDefault="002374CA" w:rsidP="002374CA">
      <w:pPr>
        <w:tabs>
          <w:tab w:val="left" w:pos="5040"/>
        </w:tabs>
        <w:ind w:left="360" w:hanging="360"/>
      </w:pPr>
    </w:p>
    <w:p w:rsidR="00034CE6" w:rsidRPr="00D75594" w:rsidRDefault="002F3328" w:rsidP="00034CE6">
      <w:pPr>
        <w:tabs>
          <w:tab w:val="left" w:pos="5040"/>
        </w:tabs>
      </w:pPr>
      <w:r>
        <w:t>General education</w:t>
      </w:r>
      <w:r w:rsidR="00D75594" w:rsidRPr="00D75594">
        <w:t xml:space="preserve"> outcomes</w:t>
      </w:r>
      <w:r>
        <w:t xml:space="preserve"> have been incorporated</w:t>
      </w:r>
      <w:r w:rsidR="00D75594" w:rsidRPr="00D75594">
        <w:t xml:space="preserve"> into all DIT course syllabi.</w:t>
      </w:r>
      <w:r>
        <w:t xml:space="preserve"> We continue to imbed the general education </w:t>
      </w:r>
      <w:r w:rsidR="00D75594">
        <w:t xml:space="preserve">competencies into course objectives and assignments.  </w:t>
      </w:r>
    </w:p>
    <w:p w:rsidR="00847243" w:rsidRPr="00D75594" w:rsidRDefault="00847243" w:rsidP="00034CE6">
      <w:pPr>
        <w:tabs>
          <w:tab w:val="left" w:pos="5040"/>
        </w:tabs>
        <w:rPr>
          <w:b/>
          <w:u w:val="single"/>
        </w:rPr>
      </w:pPr>
    </w:p>
    <w:p w:rsidR="00FA24D1" w:rsidRPr="00034CE6" w:rsidRDefault="00CC66AD" w:rsidP="00034CE6">
      <w:pPr>
        <w:tabs>
          <w:tab w:val="left" w:pos="5040"/>
        </w:tabs>
      </w:pPr>
      <w:r w:rsidRPr="00D708C3">
        <w:rPr>
          <w:b/>
          <w:u w:val="single"/>
        </w:rPr>
        <w:t>S</w:t>
      </w:r>
      <w:r w:rsidR="00FA24D1" w:rsidRPr="00D708C3">
        <w:rPr>
          <w:b/>
          <w:u w:val="single"/>
        </w:rPr>
        <w:t xml:space="preserve">ection IV:  </w:t>
      </w:r>
      <w:r w:rsidR="003454F6" w:rsidRPr="00A36DEE">
        <w:rPr>
          <w:b/>
          <w:u w:val="single"/>
        </w:rPr>
        <w:t>Improvement Efforts</w:t>
      </w:r>
      <w:r w:rsidR="00FA24D1" w:rsidRPr="00D708C3">
        <w:rPr>
          <w:b/>
          <w:u w:val="single"/>
        </w:rPr>
        <w:t xml:space="preserve"> for the Fiscal Year</w:t>
      </w:r>
    </w:p>
    <w:p w:rsidR="00FA24D1" w:rsidRDefault="00FA24D1" w:rsidP="0028603C">
      <w:pPr>
        <w:tabs>
          <w:tab w:val="left" w:pos="5040"/>
        </w:tabs>
      </w:pPr>
    </w:p>
    <w:p w:rsidR="00827AE5" w:rsidRDefault="001201D5" w:rsidP="00FA24D1">
      <w:pPr>
        <w:pStyle w:val="ListParagraph"/>
        <w:numPr>
          <w:ilvl w:val="0"/>
          <w:numId w:val="11"/>
        </w:numPr>
        <w:tabs>
          <w:tab w:val="left" w:pos="5040"/>
        </w:tabs>
      </w:pPr>
      <w:r w:rsidRPr="00827AE5">
        <w:rPr>
          <w:b/>
          <w:u w:val="single"/>
        </w:rPr>
        <w:t>FY 09-</w:t>
      </w:r>
      <w:r w:rsidRPr="00827AE5">
        <w:rPr>
          <w:b/>
        </w:rPr>
        <w:t>10:</w:t>
      </w:r>
      <w:r w:rsidRPr="00827AE5">
        <w:rPr>
          <w:b/>
          <w:color w:val="FF0000"/>
        </w:rPr>
        <w:t xml:space="preserve"> </w:t>
      </w:r>
      <w:r w:rsidR="00320CDE" w:rsidRPr="00A36DEE">
        <w:t xml:space="preserve">What </w:t>
      </w:r>
      <w:r w:rsidR="00963DD8" w:rsidRPr="00A36DEE">
        <w:t>other improvement efforts did the department make</w:t>
      </w:r>
      <w:r w:rsidR="00320CDE" w:rsidRPr="00A36DEE">
        <w:t xml:space="preserve"> in FY 09-10?  How successful </w:t>
      </w:r>
      <w:r w:rsidR="00963DD8" w:rsidRPr="00A36DEE">
        <w:t>were these efforts</w:t>
      </w:r>
      <w:r w:rsidR="00320CDE" w:rsidRPr="00A36DEE">
        <w:t xml:space="preserve">?  What further efforts need to be made? If your department didn’t </w:t>
      </w:r>
      <w:r w:rsidR="00963DD8" w:rsidRPr="00A36DEE">
        <w:t>make improvement efforts during the</w:t>
      </w:r>
      <w:r w:rsidR="00320CDE" w:rsidRPr="00A36DEE">
        <w:t xml:space="preserve"> fiscal year, discuss the strengths and weaknesses of the department over the last year and how the department plans to address them in the coming year.</w:t>
      </w:r>
    </w:p>
    <w:p w:rsidR="004E4BE0" w:rsidRDefault="004E4BE0" w:rsidP="00827AE5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A150E1" w:rsidP="00A150E1">
      <w:pPr>
        <w:pStyle w:val="ListParagraph"/>
        <w:numPr>
          <w:ilvl w:val="1"/>
          <w:numId w:val="25"/>
        </w:numPr>
        <w:tabs>
          <w:tab w:val="left" w:pos="5040"/>
        </w:tabs>
      </w:pPr>
      <w:r>
        <w:t xml:space="preserve"> We sought input from the Advisory Committee regarding retention and pass rate improvement.  </w:t>
      </w:r>
    </w:p>
    <w:p w:rsidR="00A150E1" w:rsidRDefault="00A150E1" w:rsidP="00A150E1">
      <w:pPr>
        <w:pStyle w:val="ListParagraph"/>
        <w:numPr>
          <w:ilvl w:val="1"/>
          <w:numId w:val="25"/>
        </w:numPr>
        <w:tabs>
          <w:tab w:val="left" w:pos="5040"/>
        </w:tabs>
      </w:pPr>
      <w:r>
        <w:t>Upon their recommendation we met with Counseling Services (Pamela Combs) to brainstorm on approaches beneficial to students in the DIT program.</w:t>
      </w:r>
    </w:p>
    <w:p w:rsidR="00A150E1" w:rsidRDefault="00A150E1" w:rsidP="00A150E1">
      <w:pPr>
        <w:pStyle w:val="ListParagraph"/>
        <w:numPr>
          <w:ilvl w:val="1"/>
          <w:numId w:val="25"/>
        </w:numPr>
        <w:tabs>
          <w:tab w:val="left" w:pos="5040"/>
        </w:tabs>
      </w:pPr>
      <w:r>
        <w:t xml:space="preserve">We developed the DIT Holistic Student Plan for Success Model to be piloted for </w:t>
      </w:r>
      <w:proofErr w:type="gramStart"/>
      <w:r>
        <w:t>Fall</w:t>
      </w:r>
      <w:proofErr w:type="gramEnd"/>
      <w:r w:rsidR="00B95C25">
        <w:t xml:space="preserve"> </w:t>
      </w:r>
      <w:r>
        <w:t xml:space="preserve">2010 cohort.  </w:t>
      </w:r>
    </w:p>
    <w:p w:rsidR="00847243" w:rsidRDefault="00847243" w:rsidP="00FA24D1">
      <w:pPr>
        <w:tabs>
          <w:tab w:val="left" w:pos="5040"/>
        </w:tabs>
        <w:ind w:left="360"/>
      </w:pPr>
    </w:p>
    <w:p w:rsidR="00FA24D1" w:rsidRDefault="001201D5" w:rsidP="00A21E6E">
      <w:pPr>
        <w:pStyle w:val="ListParagraph"/>
        <w:numPr>
          <w:ilvl w:val="0"/>
          <w:numId w:val="11"/>
        </w:numPr>
        <w:tabs>
          <w:tab w:val="left" w:pos="5040"/>
        </w:tabs>
      </w:pPr>
      <w:r w:rsidRPr="00660080">
        <w:rPr>
          <w:b/>
          <w:u w:val="single"/>
        </w:rPr>
        <w:t>FY 10-11</w:t>
      </w:r>
      <w:r w:rsidRPr="00660080">
        <w:rPr>
          <w:b/>
        </w:rPr>
        <w:t>:</w:t>
      </w:r>
      <w:r>
        <w:t xml:space="preserve"> </w:t>
      </w:r>
      <w:r w:rsidR="00FA24D1" w:rsidRPr="00A36DEE">
        <w:t xml:space="preserve">What </w:t>
      </w:r>
      <w:r w:rsidR="00963DD8" w:rsidRPr="00A36DEE">
        <w:t xml:space="preserve">improvement efforts does the department have planned </w:t>
      </w:r>
      <w:r w:rsidR="00FA24D1" w:rsidRPr="00A36DEE">
        <w:t>for FY 10-11?</w:t>
      </w:r>
      <w:r w:rsidR="00FA24D1">
        <w:t xml:space="preserve">  How will you know whether you have been successful?</w:t>
      </w:r>
    </w:p>
    <w:p w:rsidR="009D1A0A" w:rsidRDefault="009D1A0A" w:rsidP="009D1A0A">
      <w:pPr>
        <w:pStyle w:val="ListParagraph"/>
        <w:tabs>
          <w:tab w:val="left" w:pos="5040"/>
        </w:tabs>
        <w:rPr>
          <w:b/>
          <w:u w:val="single"/>
        </w:rPr>
      </w:pPr>
    </w:p>
    <w:p w:rsidR="009D1A0A" w:rsidRDefault="009D1A0A" w:rsidP="009D1A0A">
      <w:pPr>
        <w:pStyle w:val="ListParagraph"/>
        <w:numPr>
          <w:ilvl w:val="2"/>
          <w:numId w:val="25"/>
        </w:numPr>
        <w:tabs>
          <w:tab w:val="clear" w:pos="2160"/>
          <w:tab w:val="left" w:pos="5040"/>
        </w:tabs>
        <w:ind w:left="1440"/>
      </w:pPr>
      <w:r>
        <w:t>Collabor</w:t>
      </w:r>
      <w:r w:rsidR="00D75594">
        <w:t>ate with Counseling Services to</w:t>
      </w:r>
      <w:r>
        <w:t xml:space="preserve"> implement a DIT Holistic Student Plan    </w:t>
      </w:r>
    </w:p>
    <w:p w:rsidR="009D1A0A" w:rsidRDefault="009D1A0A" w:rsidP="009D1A0A">
      <w:pPr>
        <w:pStyle w:val="ListParagraph"/>
        <w:tabs>
          <w:tab w:val="left" w:pos="5040"/>
        </w:tabs>
        <w:ind w:left="1080"/>
      </w:pPr>
      <w:r>
        <w:t xml:space="preserve">      </w:t>
      </w:r>
      <w:proofErr w:type="gramStart"/>
      <w:r>
        <w:t>for</w:t>
      </w:r>
      <w:proofErr w:type="gramEnd"/>
      <w:r>
        <w:t xml:space="preserve"> Success (Fall 2010)</w:t>
      </w:r>
    </w:p>
    <w:p w:rsidR="00FA24D1" w:rsidRDefault="00AA0F97" w:rsidP="009D1A0A">
      <w:pPr>
        <w:pStyle w:val="ListParagraph"/>
        <w:numPr>
          <w:ilvl w:val="1"/>
          <w:numId w:val="25"/>
        </w:numPr>
        <w:tabs>
          <w:tab w:val="left" w:pos="5040"/>
        </w:tabs>
        <w:rPr>
          <w:rFonts w:ascii="Arial" w:hAnsi="Arial" w:cs="Arial"/>
        </w:rPr>
      </w:pPr>
      <w:r w:rsidRPr="009D1A0A">
        <w:t>Track information for student success and retention 2010-2012 cohor</w:t>
      </w:r>
      <w:r>
        <w:rPr>
          <w:rFonts w:ascii="Arial" w:hAnsi="Arial" w:cs="Arial"/>
        </w:rPr>
        <w:t>t</w:t>
      </w: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Pr="009D1A0A" w:rsidRDefault="00847243" w:rsidP="009D1A0A">
      <w:pPr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177515" w:rsidP="00FA24D1">
      <w:pPr>
        <w:pStyle w:val="ListParagraph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9.3pt;margin-top:61.4pt;width:509.45pt;height:35.55pt;z-index:251669504;mso-height-percent:200;mso-height-percent:200;mso-width-relative:margin;mso-height-relative:margin">
            <v:textbox style="mso-next-textbox:#_x0000_s1036;mso-fit-shape-to-text:t">
              <w:txbxContent>
                <w:p w:rsidR="00082354" w:rsidRDefault="00082354" w:rsidP="00847243">
                  <w:r>
                    <w:t>Questions regarding completion of the Annual Update?  Please contact the Director of Curriculum and Assessment at 512-2789 to schedule a time to review the template and ask any questions.</w:t>
                  </w:r>
                </w:p>
              </w:txbxContent>
            </v:textbox>
          </v:shape>
        </w:pict>
      </w: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p w:rsidR="00847243" w:rsidRDefault="00847243" w:rsidP="00FA24D1">
      <w:pPr>
        <w:pStyle w:val="ListParagraph"/>
        <w:tabs>
          <w:tab w:val="left" w:pos="5040"/>
        </w:tabs>
        <w:rPr>
          <w:rFonts w:ascii="Arial" w:hAnsi="Arial" w:cs="Arial"/>
        </w:rPr>
      </w:pPr>
    </w:p>
    <w:sectPr w:rsidR="00847243" w:rsidSect="00D708C3">
      <w:footerReference w:type="default" r:id="rId15"/>
      <w:pgSz w:w="12240" w:h="15840"/>
      <w:pgMar w:top="1152" w:right="1440" w:bottom="115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54" w:rsidRDefault="00082354" w:rsidP="0094204C">
      <w:r>
        <w:separator/>
      </w:r>
    </w:p>
  </w:endnote>
  <w:endnote w:type="continuationSeparator" w:id="0">
    <w:p w:rsidR="00082354" w:rsidRDefault="00082354" w:rsidP="00942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54" w:rsidRPr="00E16205" w:rsidRDefault="00082354" w:rsidP="00E16205">
    <w:pPr>
      <w:jc w:val="center"/>
      <w:rPr>
        <w:sz w:val="20"/>
        <w:szCs w:val="20"/>
      </w:rPr>
    </w:pPr>
    <w:r w:rsidRPr="00E16205">
      <w:rPr>
        <w:sz w:val="20"/>
        <w:szCs w:val="20"/>
      </w:rPr>
      <w:t xml:space="preserve">If you have questions please contact Jared Cutler, Director of Curriculum and Assessment, at 512-2789 or </w:t>
    </w:r>
    <w:hyperlink r:id="rId1" w:history="1">
      <w:r w:rsidRPr="00E16205">
        <w:rPr>
          <w:rStyle w:val="Hyperlink"/>
          <w:b/>
          <w:sz w:val="20"/>
          <w:szCs w:val="20"/>
        </w:rPr>
        <w:t>jared.cutler@sinclair.edu</w:t>
      </w:r>
    </w:hyperlink>
    <w:r w:rsidRPr="00E16205">
      <w:rPr>
        <w:sz w:val="20"/>
        <w:szCs w:val="20"/>
      </w:rPr>
      <w:t>.</w:t>
    </w:r>
  </w:p>
  <w:p w:rsidR="00082354" w:rsidRDefault="00082354">
    <w:pPr>
      <w:pStyle w:val="Footer"/>
    </w:pPr>
  </w:p>
  <w:p w:rsidR="00082354" w:rsidRDefault="0008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54" w:rsidRDefault="00082354" w:rsidP="0094204C">
      <w:r>
        <w:separator/>
      </w:r>
    </w:p>
  </w:footnote>
  <w:footnote w:type="continuationSeparator" w:id="0">
    <w:p w:rsidR="00082354" w:rsidRDefault="00082354" w:rsidP="00942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553"/>
    <w:multiLevelType w:val="hybridMultilevel"/>
    <w:tmpl w:val="9E14FAA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63293"/>
    <w:multiLevelType w:val="hybridMultilevel"/>
    <w:tmpl w:val="3D94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421C"/>
    <w:multiLevelType w:val="hybridMultilevel"/>
    <w:tmpl w:val="0C068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468F6"/>
    <w:multiLevelType w:val="hybridMultilevel"/>
    <w:tmpl w:val="55FABF96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76E5E"/>
    <w:multiLevelType w:val="hybridMultilevel"/>
    <w:tmpl w:val="D298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A751D"/>
    <w:multiLevelType w:val="hybridMultilevel"/>
    <w:tmpl w:val="303E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03E0D"/>
    <w:multiLevelType w:val="hybridMultilevel"/>
    <w:tmpl w:val="36723190"/>
    <w:lvl w:ilvl="0" w:tplc="C382E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304C4"/>
    <w:multiLevelType w:val="hybridMultilevel"/>
    <w:tmpl w:val="0D7E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D41F4"/>
    <w:multiLevelType w:val="hybridMultilevel"/>
    <w:tmpl w:val="C706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F4276"/>
    <w:multiLevelType w:val="hybridMultilevel"/>
    <w:tmpl w:val="C49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92005"/>
    <w:multiLevelType w:val="hybridMultilevel"/>
    <w:tmpl w:val="5B9CF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B7078"/>
    <w:multiLevelType w:val="hybridMultilevel"/>
    <w:tmpl w:val="F140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F4748"/>
    <w:multiLevelType w:val="hybridMultilevel"/>
    <w:tmpl w:val="44F83D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38773C8"/>
    <w:multiLevelType w:val="hybridMultilevel"/>
    <w:tmpl w:val="80FCC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A6B"/>
    <w:multiLevelType w:val="hybridMultilevel"/>
    <w:tmpl w:val="CD9C5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25F79"/>
    <w:multiLevelType w:val="hybridMultilevel"/>
    <w:tmpl w:val="CEA0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E05F86"/>
    <w:multiLevelType w:val="hybridMultilevel"/>
    <w:tmpl w:val="872A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F0256"/>
    <w:multiLevelType w:val="hybridMultilevel"/>
    <w:tmpl w:val="BDF0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E7D4C"/>
    <w:multiLevelType w:val="hybridMultilevel"/>
    <w:tmpl w:val="3C84E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86DBC"/>
    <w:multiLevelType w:val="hybridMultilevel"/>
    <w:tmpl w:val="872A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C5B69"/>
    <w:multiLevelType w:val="hybridMultilevel"/>
    <w:tmpl w:val="07246FB2"/>
    <w:lvl w:ilvl="0" w:tplc="2CB80F3E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737D67"/>
    <w:multiLevelType w:val="hybridMultilevel"/>
    <w:tmpl w:val="630E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27A12"/>
    <w:multiLevelType w:val="hybridMultilevel"/>
    <w:tmpl w:val="8B1E9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002F2"/>
    <w:multiLevelType w:val="hybridMultilevel"/>
    <w:tmpl w:val="F814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2057C"/>
    <w:multiLevelType w:val="hybridMultilevel"/>
    <w:tmpl w:val="8B1E9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92F80"/>
    <w:multiLevelType w:val="hybridMultilevel"/>
    <w:tmpl w:val="3BCA0F72"/>
    <w:lvl w:ilvl="0" w:tplc="08502C78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F22A68"/>
    <w:multiLevelType w:val="hybridMultilevel"/>
    <w:tmpl w:val="2F009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B715C2"/>
    <w:multiLevelType w:val="hybridMultilevel"/>
    <w:tmpl w:val="AEE654E8"/>
    <w:lvl w:ilvl="0" w:tplc="553E9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25"/>
  </w:num>
  <w:num w:numId="4">
    <w:abstractNumId w:val="15"/>
  </w:num>
  <w:num w:numId="5">
    <w:abstractNumId w:val="18"/>
  </w:num>
  <w:num w:numId="6">
    <w:abstractNumId w:val="13"/>
  </w:num>
  <w:num w:numId="7">
    <w:abstractNumId w:val="16"/>
  </w:num>
  <w:num w:numId="8">
    <w:abstractNumId w:val="19"/>
  </w:num>
  <w:num w:numId="9">
    <w:abstractNumId w:val="24"/>
  </w:num>
  <w:num w:numId="10">
    <w:abstractNumId w:val="22"/>
  </w:num>
  <w:num w:numId="11">
    <w:abstractNumId w:val="14"/>
  </w:num>
  <w:num w:numId="12">
    <w:abstractNumId w:val="2"/>
  </w:num>
  <w:num w:numId="13">
    <w:abstractNumId w:val="4"/>
  </w:num>
  <w:num w:numId="14">
    <w:abstractNumId w:val="23"/>
  </w:num>
  <w:num w:numId="15">
    <w:abstractNumId w:val="21"/>
  </w:num>
  <w:num w:numId="16">
    <w:abstractNumId w:val="8"/>
  </w:num>
  <w:num w:numId="17">
    <w:abstractNumId w:val="9"/>
  </w:num>
  <w:num w:numId="18">
    <w:abstractNumId w:val="17"/>
  </w:num>
  <w:num w:numId="19">
    <w:abstractNumId w:val="5"/>
  </w:num>
  <w:num w:numId="20">
    <w:abstractNumId w:val="11"/>
  </w:num>
  <w:num w:numId="21">
    <w:abstractNumId w:val="13"/>
  </w:num>
  <w:num w:numId="22">
    <w:abstractNumId w:val="6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  <w:num w:numId="26">
    <w:abstractNumId w:val="10"/>
  </w:num>
  <w:num w:numId="27">
    <w:abstractNumId w:val="26"/>
  </w:num>
  <w:num w:numId="28">
    <w:abstractNumId w:val="7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129"/>
    <w:rsid w:val="0002261E"/>
    <w:rsid w:val="000279EB"/>
    <w:rsid w:val="000337E6"/>
    <w:rsid w:val="00034CE6"/>
    <w:rsid w:val="0004381C"/>
    <w:rsid w:val="00056964"/>
    <w:rsid w:val="000616F3"/>
    <w:rsid w:val="00062829"/>
    <w:rsid w:val="00063778"/>
    <w:rsid w:val="00065129"/>
    <w:rsid w:val="00082354"/>
    <w:rsid w:val="000A4EE0"/>
    <w:rsid w:val="000D3A39"/>
    <w:rsid w:val="0010227C"/>
    <w:rsid w:val="001026AA"/>
    <w:rsid w:val="00102F1D"/>
    <w:rsid w:val="001201D5"/>
    <w:rsid w:val="00120E81"/>
    <w:rsid w:val="001240D0"/>
    <w:rsid w:val="00177515"/>
    <w:rsid w:val="00183806"/>
    <w:rsid w:val="00184AE5"/>
    <w:rsid w:val="00195B7B"/>
    <w:rsid w:val="001A1B67"/>
    <w:rsid w:val="001B6007"/>
    <w:rsid w:val="001D5757"/>
    <w:rsid w:val="001D7080"/>
    <w:rsid w:val="002108B6"/>
    <w:rsid w:val="002245AB"/>
    <w:rsid w:val="0022692B"/>
    <w:rsid w:val="002374CA"/>
    <w:rsid w:val="0025548D"/>
    <w:rsid w:val="00255C18"/>
    <w:rsid w:val="00256114"/>
    <w:rsid w:val="00265A99"/>
    <w:rsid w:val="0026791C"/>
    <w:rsid w:val="00274C3A"/>
    <w:rsid w:val="00281C63"/>
    <w:rsid w:val="0028603C"/>
    <w:rsid w:val="00293D8D"/>
    <w:rsid w:val="002C1797"/>
    <w:rsid w:val="002C56AC"/>
    <w:rsid w:val="002E175B"/>
    <w:rsid w:val="002E28B0"/>
    <w:rsid w:val="002E548B"/>
    <w:rsid w:val="002F3328"/>
    <w:rsid w:val="00303041"/>
    <w:rsid w:val="00320CDE"/>
    <w:rsid w:val="003254BC"/>
    <w:rsid w:val="00330692"/>
    <w:rsid w:val="003454F6"/>
    <w:rsid w:val="003A298D"/>
    <w:rsid w:val="003B0DD5"/>
    <w:rsid w:val="003B5176"/>
    <w:rsid w:val="003C71E1"/>
    <w:rsid w:val="00414645"/>
    <w:rsid w:val="00424E5D"/>
    <w:rsid w:val="00425F46"/>
    <w:rsid w:val="00431B2E"/>
    <w:rsid w:val="00445210"/>
    <w:rsid w:val="00461386"/>
    <w:rsid w:val="00462D00"/>
    <w:rsid w:val="004712EB"/>
    <w:rsid w:val="004719EB"/>
    <w:rsid w:val="004818E1"/>
    <w:rsid w:val="00481A7E"/>
    <w:rsid w:val="0048427F"/>
    <w:rsid w:val="00491B57"/>
    <w:rsid w:val="00495C9D"/>
    <w:rsid w:val="004A06BC"/>
    <w:rsid w:val="004A1CF0"/>
    <w:rsid w:val="004B7492"/>
    <w:rsid w:val="004C2B30"/>
    <w:rsid w:val="004D3BE1"/>
    <w:rsid w:val="004D3C8C"/>
    <w:rsid w:val="004E4BD6"/>
    <w:rsid w:val="004E4BE0"/>
    <w:rsid w:val="00512B4F"/>
    <w:rsid w:val="00516463"/>
    <w:rsid w:val="0054350A"/>
    <w:rsid w:val="00551FCC"/>
    <w:rsid w:val="00573ECD"/>
    <w:rsid w:val="00575AC1"/>
    <w:rsid w:val="005863ED"/>
    <w:rsid w:val="005A13E4"/>
    <w:rsid w:val="005B7F66"/>
    <w:rsid w:val="005C2067"/>
    <w:rsid w:val="005F7377"/>
    <w:rsid w:val="0061712A"/>
    <w:rsid w:val="006368CC"/>
    <w:rsid w:val="00640611"/>
    <w:rsid w:val="006532D6"/>
    <w:rsid w:val="006551C4"/>
    <w:rsid w:val="00660080"/>
    <w:rsid w:val="00665F10"/>
    <w:rsid w:val="0066607A"/>
    <w:rsid w:val="006835C1"/>
    <w:rsid w:val="00690A3D"/>
    <w:rsid w:val="006A2AA3"/>
    <w:rsid w:val="006B4716"/>
    <w:rsid w:val="006E3686"/>
    <w:rsid w:val="00705C5F"/>
    <w:rsid w:val="00741EE1"/>
    <w:rsid w:val="00746675"/>
    <w:rsid w:val="007825CC"/>
    <w:rsid w:val="0078669D"/>
    <w:rsid w:val="00786F00"/>
    <w:rsid w:val="007C1FEF"/>
    <w:rsid w:val="007C46D3"/>
    <w:rsid w:val="007E3FC4"/>
    <w:rsid w:val="007F66F9"/>
    <w:rsid w:val="00827AE5"/>
    <w:rsid w:val="00847243"/>
    <w:rsid w:val="008642E1"/>
    <w:rsid w:val="00877383"/>
    <w:rsid w:val="008860C1"/>
    <w:rsid w:val="00886327"/>
    <w:rsid w:val="00887582"/>
    <w:rsid w:val="008909D4"/>
    <w:rsid w:val="008942FA"/>
    <w:rsid w:val="008D06A4"/>
    <w:rsid w:val="008F0F4A"/>
    <w:rsid w:val="008F3D47"/>
    <w:rsid w:val="0094204C"/>
    <w:rsid w:val="0094373F"/>
    <w:rsid w:val="00955208"/>
    <w:rsid w:val="00963DD8"/>
    <w:rsid w:val="0099083E"/>
    <w:rsid w:val="009A69F0"/>
    <w:rsid w:val="009C1092"/>
    <w:rsid w:val="009D1A0A"/>
    <w:rsid w:val="009E2519"/>
    <w:rsid w:val="009F2769"/>
    <w:rsid w:val="00A150E1"/>
    <w:rsid w:val="00A21E6E"/>
    <w:rsid w:val="00A341DF"/>
    <w:rsid w:val="00A36DEE"/>
    <w:rsid w:val="00A404D2"/>
    <w:rsid w:val="00A407EB"/>
    <w:rsid w:val="00A516CD"/>
    <w:rsid w:val="00A56B7C"/>
    <w:rsid w:val="00A63ACE"/>
    <w:rsid w:val="00A8476F"/>
    <w:rsid w:val="00AA0F97"/>
    <w:rsid w:val="00AB1978"/>
    <w:rsid w:val="00AC0386"/>
    <w:rsid w:val="00AC62F8"/>
    <w:rsid w:val="00AE4AD2"/>
    <w:rsid w:val="00AE5F43"/>
    <w:rsid w:val="00AF6A23"/>
    <w:rsid w:val="00B00F3F"/>
    <w:rsid w:val="00B30B3A"/>
    <w:rsid w:val="00B4625A"/>
    <w:rsid w:val="00B71307"/>
    <w:rsid w:val="00B81607"/>
    <w:rsid w:val="00B8227E"/>
    <w:rsid w:val="00B95C25"/>
    <w:rsid w:val="00BC5FF1"/>
    <w:rsid w:val="00BD5994"/>
    <w:rsid w:val="00BE51FF"/>
    <w:rsid w:val="00BF44E7"/>
    <w:rsid w:val="00BF556C"/>
    <w:rsid w:val="00C5365F"/>
    <w:rsid w:val="00C56C48"/>
    <w:rsid w:val="00C62E33"/>
    <w:rsid w:val="00C63B58"/>
    <w:rsid w:val="00C7001F"/>
    <w:rsid w:val="00C71F16"/>
    <w:rsid w:val="00C86D2C"/>
    <w:rsid w:val="00C90C76"/>
    <w:rsid w:val="00CA10D7"/>
    <w:rsid w:val="00CB09E0"/>
    <w:rsid w:val="00CC66AD"/>
    <w:rsid w:val="00CC69E8"/>
    <w:rsid w:val="00CE7AFD"/>
    <w:rsid w:val="00D1311B"/>
    <w:rsid w:val="00D31DDA"/>
    <w:rsid w:val="00D57E53"/>
    <w:rsid w:val="00D60F74"/>
    <w:rsid w:val="00D632DC"/>
    <w:rsid w:val="00D708C3"/>
    <w:rsid w:val="00D75594"/>
    <w:rsid w:val="00DA5E37"/>
    <w:rsid w:val="00DC0672"/>
    <w:rsid w:val="00DD42DB"/>
    <w:rsid w:val="00E16205"/>
    <w:rsid w:val="00E17F46"/>
    <w:rsid w:val="00E501C6"/>
    <w:rsid w:val="00E54004"/>
    <w:rsid w:val="00E563C4"/>
    <w:rsid w:val="00E7049B"/>
    <w:rsid w:val="00E72299"/>
    <w:rsid w:val="00E727F2"/>
    <w:rsid w:val="00E73A43"/>
    <w:rsid w:val="00E749F1"/>
    <w:rsid w:val="00E87116"/>
    <w:rsid w:val="00E90F22"/>
    <w:rsid w:val="00E96021"/>
    <w:rsid w:val="00E97968"/>
    <w:rsid w:val="00EB3C20"/>
    <w:rsid w:val="00EC0B9E"/>
    <w:rsid w:val="00EC1EB5"/>
    <w:rsid w:val="00ED0C45"/>
    <w:rsid w:val="00EE5C90"/>
    <w:rsid w:val="00EF6E21"/>
    <w:rsid w:val="00F0239E"/>
    <w:rsid w:val="00F07EFD"/>
    <w:rsid w:val="00F1164D"/>
    <w:rsid w:val="00F1200D"/>
    <w:rsid w:val="00F154DF"/>
    <w:rsid w:val="00F1669E"/>
    <w:rsid w:val="00F27D5C"/>
    <w:rsid w:val="00F60775"/>
    <w:rsid w:val="00F60C52"/>
    <w:rsid w:val="00F7732C"/>
    <w:rsid w:val="00F81080"/>
    <w:rsid w:val="00FA02EF"/>
    <w:rsid w:val="00FA24D1"/>
    <w:rsid w:val="00FB231A"/>
    <w:rsid w:val="00FC45CA"/>
    <w:rsid w:val="00FF031C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29"/>
    <w:pPr>
      <w:ind w:left="720"/>
      <w:contextualSpacing/>
    </w:pPr>
  </w:style>
  <w:style w:type="table" w:styleId="TableGrid">
    <w:name w:val="Table Grid"/>
    <w:basedOn w:val="TableNormal"/>
    <w:rsid w:val="004D3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3C8C"/>
    <w:rPr>
      <w:strike w:val="0"/>
      <w:dstrike w:val="0"/>
      <w:color w:val="275E94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942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0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04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A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350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860C1"/>
    <w:rPr>
      <w:b/>
      <w:bCs/>
    </w:rPr>
  </w:style>
  <w:style w:type="paragraph" w:styleId="Title">
    <w:name w:val="Title"/>
    <w:basedOn w:val="Normal"/>
    <w:link w:val="TitleChar"/>
    <w:qFormat/>
    <w:rsid w:val="00E563C4"/>
    <w:pPr>
      <w:tabs>
        <w:tab w:val="left" w:pos="3960"/>
      </w:tabs>
      <w:overflowPunct w:val="0"/>
      <w:autoSpaceDE w:val="0"/>
      <w:autoSpaceDN w:val="0"/>
      <w:adjustRightInd w:val="0"/>
      <w:jc w:val="center"/>
    </w:pPr>
    <w:rPr>
      <w:rFonts w:ascii="Arial" w:hAnsi="Arial"/>
      <w:szCs w:val="20"/>
    </w:rPr>
  </w:style>
  <w:style w:type="character" w:customStyle="1" w:styleId="TitleChar">
    <w:name w:val="Title Char"/>
    <w:basedOn w:val="DefaultParagraphFont"/>
    <w:link w:val="Title"/>
    <w:rsid w:val="00E563C4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563C4"/>
    <w:pPr>
      <w:ind w:left="72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E563C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ed.cutler@sinclair.ed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69A5-F302-4E37-A725-9E5D10B4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 Community College</dc:creator>
  <cp:keywords/>
  <dc:description/>
  <cp:lastModifiedBy>Sinclair Community College</cp:lastModifiedBy>
  <cp:revision>14</cp:revision>
  <dcterms:created xsi:type="dcterms:W3CDTF">2011-03-09T20:51:00Z</dcterms:created>
  <dcterms:modified xsi:type="dcterms:W3CDTF">2011-03-29T16:03:00Z</dcterms:modified>
</cp:coreProperties>
</file>