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493339">
        <w:rPr>
          <w:rFonts w:ascii="Arial" w:hAnsi="Arial" w:cs="Arial"/>
          <w:u w:val="single"/>
        </w:rPr>
        <w:t>Real Estate</w:t>
      </w:r>
      <w:r w:rsidR="00A44902">
        <w:rPr>
          <w:rFonts w:ascii="Arial" w:hAnsi="Arial" w:cs="Arial"/>
          <w:u w:val="single"/>
        </w:rPr>
        <w:t xml:space="preserve">   Submitted 12/16/11 by RES Coordinator Lori DeWine</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5131C6" w:rsidRDefault="005131C6" w:rsidP="005131C6">
      <w:pPr>
        <w:pStyle w:val="ListParagraph"/>
        <w:numPr>
          <w:ilvl w:val="4"/>
          <w:numId w:val="5"/>
        </w:numPr>
        <w:rPr>
          <w:b/>
        </w:rPr>
      </w:pPr>
      <w:r>
        <w:rPr>
          <w:b/>
        </w:rPr>
        <w:t>Highest enrollment courses</w:t>
      </w:r>
    </w:p>
    <w:p w:rsidR="005131C6" w:rsidRDefault="005131C6" w:rsidP="005131C6">
      <w:pPr>
        <w:pStyle w:val="ListParagraph"/>
        <w:ind w:left="2160"/>
        <w:rPr>
          <w:b/>
        </w:rPr>
      </w:pPr>
    </w:p>
    <w:p w:rsidR="005864A4" w:rsidRPr="009D4970" w:rsidRDefault="00284A0A" w:rsidP="003D2587">
      <w:pPr>
        <w:pStyle w:val="ListParagraph"/>
        <w:numPr>
          <w:ilvl w:val="4"/>
          <w:numId w:val="23"/>
        </w:numPr>
        <w:rPr>
          <w:rFonts w:ascii="Arial" w:hAnsi="Arial" w:cs="Arial"/>
          <w:b/>
        </w:rPr>
      </w:pPr>
      <w:r>
        <w:rPr>
          <w:b/>
        </w:rPr>
        <w:t>A</w:t>
      </w:r>
      <w:r w:rsidR="004E47AA" w:rsidRPr="004E47AA">
        <w:rPr>
          <w:b/>
        </w:rPr>
        <w:t>ny courses that deviate</w:t>
      </w:r>
      <w:r w:rsidR="004E47AA">
        <w:rPr>
          <w:b/>
        </w:rPr>
        <w:t xml:space="preserve"> - high and low -</w:t>
      </w:r>
      <w:r w:rsidR="004E47AA" w:rsidRPr="004E47AA">
        <w:rPr>
          <w:b/>
        </w:rPr>
        <w:t xml:space="preserve"> from the typical success rate for your department</w:t>
      </w:r>
      <w:r w:rsidR="00F17C08" w:rsidRPr="004E47AA">
        <w:rPr>
          <w:b/>
        </w:rPr>
        <w:t xml:space="preserve"> </w:t>
      </w:r>
    </w:p>
    <w:p w:rsidR="00787B46" w:rsidRDefault="00787B46" w:rsidP="00787B46">
      <w:pPr>
        <w:pStyle w:val="ListParagraph"/>
        <w:ind w:left="0"/>
        <w:rPr>
          <w:rFonts w:ascii="Arial" w:hAnsi="Arial" w:cs="Arial"/>
        </w:rPr>
      </w:pPr>
    </w:p>
    <w:p w:rsidR="00787B46" w:rsidRDefault="00787B46" w:rsidP="00787B46">
      <w:pPr>
        <w:pStyle w:val="ListParagraph"/>
        <w:ind w:left="0"/>
        <w:rPr>
          <w:rFonts w:ascii="Arial" w:hAnsi="Arial" w:cs="Arial"/>
        </w:rPr>
      </w:pPr>
      <w:r>
        <w:rPr>
          <w:rFonts w:ascii="Arial" w:hAnsi="Arial" w:cs="Arial"/>
        </w:rPr>
        <w:t>Success rates overall for the program is as follows:</w:t>
      </w:r>
    </w:p>
    <w:p w:rsidR="00787B46" w:rsidRDefault="00787B46" w:rsidP="00787B46">
      <w:pPr>
        <w:pStyle w:val="ListParagraph"/>
        <w:ind w:left="0"/>
        <w:rPr>
          <w:rFonts w:ascii="Arial" w:hAnsi="Arial" w:cs="Arial"/>
        </w:rPr>
      </w:pPr>
      <w:r>
        <w:rPr>
          <w:rFonts w:ascii="Arial" w:hAnsi="Arial" w:cs="Arial"/>
        </w:rPr>
        <w:t>2008-09:     93.86</w:t>
      </w:r>
    </w:p>
    <w:p w:rsidR="00787B46" w:rsidRDefault="00787B46" w:rsidP="00787B46">
      <w:pPr>
        <w:pStyle w:val="ListParagraph"/>
        <w:ind w:left="0"/>
        <w:rPr>
          <w:rFonts w:ascii="Arial" w:hAnsi="Arial" w:cs="Arial"/>
        </w:rPr>
      </w:pPr>
      <w:r>
        <w:rPr>
          <w:rFonts w:ascii="Arial" w:hAnsi="Arial" w:cs="Arial"/>
        </w:rPr>
        <w:t>2009-10:     81.03</w:t>
      </w:r>
    </w:p>
    <w:p w:rsidR="00787B46" w:rsidRDefault="00787B46" w:rsidP="00787B46">
      <w:pPr>
        <w:pStyle w:val="ListParagraph"/>
        <w:ind w:left="0"/>
        <w:rPr>
          <w:rFonts w:ascii="Arial" w:hAnsi="Arial" w:cs="Arial"/>
        </w:rPr>
      </w:pPr>
      <w:r>
        <w:rPr>
          <w:rFonts w:ascii="Arial" w:hAnsi="Arial" w:cs="Arial"/>
        </w:rPr>
        <w:t>2010/11:      81.13</w:t>
      </w:r>
    </w:p>
    <w:p w:rsidR="00787B46" w:rsidRDefault="00787B46" w:rsidP="00787B46">
      <w:pPr>
        <w:pStyle w:val="ListParagraph"/>
        <w:ind w:left="0"/>
        <w:rPr>
          <w:rFonts w:ascii="Arial" w:hAnsi="Arial" w:cs="Arial"/>
        </w:rPr>
      </w:pPr>
      <w:r>
        <w:rPr>
          <w:rFonts w:ascii="Arial" w:hAnsi="Arial" w:cs="Arial"/>
        </w:rPr>
        <w:t xml:space="preserve"> </w:t>
      </w:r>
    </w:p>
    <w:p w:rsidR="00787B46" w:rsidRDefault="00787B46" w:rsidP="00787B46">
      <w:pPr>
        <w:pStyle w:val="ListParagraph"/>
        <w:ind w:left="0"/>
        <w:rPr>
          <w:rFonts w:ascii="Arial" w:hAnsi="Arial" w:cs="Arial"/>
        </w:rPr>
      </w:pPr>
      <w:r>
        <w:rPr>
          <w:rFonts w:ascii="Arial" w:hAnsi="Arial" w:cs="Arial"/>
        </w:rPr>
        <w:t>For only pre-license classes, they rise to:</w:t>
      </w:r>
    </w:p>
    <w:p w:rsidR="00787B46" w:rsidRDefault="00787B46" w:rsidP="00787B46">
      <w:pPr>
        <w:pStyle w:val="ListParagraph"/>
        <w:ind w:left="0"/>
        <w:rPr>
          <w:rFonts w:ascii="Arial" w:hAnsi="Arial" w:cs="Arial"/>
        </w:rPr>
      </w:pPr>
      <w:r>
        <w:rPr>
          <w:rFonts w:ascii="Arial" w:hAnsi="Arial" w:cs="Arial"/>
        </w:rPr>
        <w:t>2008-09:     89.86</w:t>
      </w:r>
    </w:p>
    <w:p w:rsidR="00787B46" w:rsidRDefault="00787B46" w:rsidP="00787B46">
      <w:pPr>
        <w:pStyle w:val="ListParagraph"/>
        <w:ind w:left="0"/>
        <w:rPr>
          <w:rFonts w:ascii="Arial" w:hAnsi="Arial" w:cs="Arial"/>
        </w:rPr>
      </w:pPr>
      <w:r>
        <w:rPr>
          <w:rFonts w:ascii="Arial" w:hAnsi="Arial" w:cs="Arial"/>
        </w:rPr>
        <w:t>2009-10:     88.53</w:t>
      </w:r>
    </w:p>
    <w:p w:rsidR="00787B46" w:rsidRDefault="00787B46" w:rsidP="00787B46">
      <w:pPr>
        <w:pStyle w:val="ListParagraph"/>
        <w:ind w:left="0"/>
        <w:rPr>
          <w:rFonts w:ascii="Arial" w:hAnsi="Arial" w:cs="Arial"/>
        </w:rPr>
      </w:pPr>
      <w:r>
        <w:rPr>
          <w:rFonts w:ascii="Arial" w:hAnsi="Arial" w:cs="Arial"/>
        </w:rPr>
        <w:t>2010/11:      88.52</w:t>
      </w:r>
    </w:p>
    <w:p w:rsidR="00787B46" w:rsidRDefault="00787B46" w:rsidP="00787B46">
      <w:pPr>
        <w:pStyle w:val="ListParagraph"/>
        <w:ind w:left="0"/>
        <w:rPr>
          <w:rFonts w:ascii="Arial" w:hAnsi="Arial" w:cs="Arial"/>
        </w:rPr>
      </w:pPr>
    </w:p>
    <w:p w:rsidR="00787B46" w:rsidRDefault="00787B46" w:rsidP="00787B46">
      <w:pPr>
        <w:pStyle w:val="ListParagraph"/>
        <w:ind w:left="0"/>
        <w:rPr>
          <w:rFonts w:ascii="Arial" w:hAnsi="Arial" w:cs="Arial"/>
        </w:rPr>
      </w:pPr>
      <w:r>
        <w:rPr>
          <w:rFonts w:ascii="Arial" w:hAnsi="Arial" w:cs="Arial"/>
        </w:rPr>
        <w:t>Lower success rates in RES 121 and RES 215 are due to grades of W, not grades of D or F. All rates are significantly higher than the college average of 71%</w:t>
      </w:r>
    </w:p>
    <w:p w:rsidR="00787B46" w:rsidRDefault="00787B46" w:rsidP="00787B46">
      <w:pPr>
        <w:pStyle w:val="ListParagraph"/>
        <w:ind w:left="0"/>
        <w:rPr>
          <w:rFonts w:ascii="Arial" w:hAnsi="Arial" w:cs="Arial"/>
        </w:rPr>
      </w:pPr>
    </w:p>
    <w:p w:rsidR="00787B46" w:rsidRDefault="00787B46" w:rsidP="00787B46">
      <w:pPr>
        <w:pStyle w:val="ListParagraph"/>
        <w:ind w:left="0"/>
        <w:rPr>
          <w:rFonts w:ascii="Arial" w:hAnsi="Arial" w:cs="Arial"/>
        </w:rPr>
      </w:pPr>
      <w:r>
        <w:rPr>
          <w:rFonts w:ascii="Arial" w:hAnsi="Arial" w:cs="Arial"/>
        </w:rPr>
        <w:t xml:space="preserve">Overall enrollment rates are based upon the 30-day FTE which is the most accurate for the pre-license courses which all run as short-term classes. </w:t>
      </w:r>
    </w:p>
    <w:p w:rsidR="00787B46" w:rsidRDefault="00787B46" w:rsidP="00787B46">
      <w:pPr>
        <w:pStyle w:val="ListParagraph"/>
        <w:ind w:left="0"/>
        <w:rPr>
          <w:rFonts w:ascii="Arial" w:hAnsi="Arial" w:cs="Arial"/>
        </w:rPr>
      </w:pPr>
      <w:r>
        <w:rPr>
          <w:rFonts w:ascii="Arial" w:hAnsi="Arial" w:cs="Arial"/>
        </w:rPr>
        <w:t>2007/08:      201.6</w:t>
      </w:r>
    </w:p>
    <w:p w:rsidR="00787B46" w:rsidRDefault="00787B46" w:rsidP="00787B46">
      <w:pPr>
        <w:pStyle w:val="ListParagraph"/>
        <w:ind w:left="0"/>
        <w:rPr>
          <w:rFonts w:ascii="Arial" w:hAnsi="Arial" w:cs="Arial"/>
        </w:rPr>
      </w:pPr>
      <w:r>
        <w:rPr>
          <w:rFonts w:ascii="Arial" w:hAnsi="Arial" w:cs="Arial"/>
        </w:rPr>
        <w:t>2008-09:     161.87</w:t>
      </w:r>
    </w:p>
    <w:p w:rsidR="00787B46" w:rsidRDefault="00787B46" w:rsidP="00787B46">
      <w:pPr>
        <w:pStyle w:val="ListParagraph"/>
        <w:ind w:left="0"/>
        <w:rPr>
          <w:rFonts w:ascii="Arial" w:hAnsi="Arial" w:cs="Arial"/>
        </w:rPr>
      </w:pPr>
      <w:r>
        <w:rPr>
          <w:rFonts w:ascii="Arial" w:hAnsi="Arial" w:cs="Arial"/>
        </w:rPr>
        <w:t>2009-10:     162.60</w:t>
      </w:r>
    </w:p>
    <w:p w:rsidR="00787B46" w:rsidRDefault="00787B46" w:rsidP="00787B46">
      <w:pPr>
        <w:pStyle w:val="ListParagraph"/>
        <w:ind w:left="0"/>
        <w:rPr>
          <w:rFonts w:ascii="Arial" w:hAnsi="Arial" w:cs="Arial"/>
        </w:rPr>
      </w:pPr>
    </w:p>
    <w:p w:rsidR="00787B46" w:rsidRDefault="00787B46" w:rsidP="00787B46">
      <w:pPr>
        <w:pStyle w:val="ListParagraph"/>
        <w:ind w:left="0"/>
        <w:rPr>
          <w:rFonts w:ascii="Arial" w:hAnsi="Arial" w:cs="Arial"/>
        </w:rPr>
      </w:pPr>
      <w:r>
        <w:rPr>
          <w:rFonts w:ascii="Arial" w:hAnsi="Arial" w:cs="Arial"/>
        </w:rPr>
        <w:t>The special topics class, RES 297, has not run the last 3 years. In 2008-09 two law adjuncts put together a course geared toward the real estate investor. It was heavily touted in all 4 pre-license classes, but enrollment did not reach a level high enough to run the class. As the real estate market improves, and enrollment increases, we should revisit this class. It should be noted that the 297 classes would potentially reach sustainable enrollment if offered with a CE component and marketed to past students and active real estate agents.</w:t>
      </w:r>
    </w:p>
    <w:p w:rsidR="00787B46" w:rsidRDefault="00787B46" w:rsidP="00787B46">
      <w:pPr>
        <w:pStyle w:val="ListParagraph"/>
        <w:ind w:left="0"/>
        <w:rPr>
          <w:rFonts w:ascii="Arial" w:hAnsi="Arial" w:cs="Arial"/>
        </w:rPr>
      </w:pPr>
    </w:p>
    <w:p w:rsidR="004E1C4B" w:rsidRDefault="004E1C4B" w:rsidP="00787B46">
      <w:pPr>
        <w:pStyle w:val="ListParagraph"/>
        <w:ind w:left="0"/>
        <w:rPr>
          <w:rFonts w:ascii="Arial" w:hAnsi="Arial" w:cs="Arial"/>
        </w:rPr>
      </w:pPr>
    </w:p>
    <w:p w:rsidR="004E1C4B" w:rsidRDefault="004E1C4B" w:rsidP="00787B46">
      <w:pPr>
        <w:pStyle w:val="ListParagraph"/>
        <w:ind w:left="0"/>
        <w:rPr>
          <w:rFonts w:ascii="Arial" w:hAnsi="Arial" w:cs="Arial"/>
        </w:rPr>
      </w:pPr>
    </w:p>
    <w:p w:rsidR="004E1C4B" w:rsidRDefault="004E1C4B" w:rsidP="00787B46">
      <w:pPr>
        <w:pStyle w:val="ListParagraph"/>
        <w:ind w:left="0"/>
        <w:rPr>
          <w:rFonts w:ascii="Arial" w:hAnsi="Arial" w:cs="Arial"/>
        </w:rPr>
      </w:pPr>
    </w:p>
    <w:p w:rsidR="009D4970" w:rsidRDefault="009D4970" w:rsidP="009D4970">
      <w:pPr>
        <w:pStyle w:val="ListParagraph"/>
        <w:rPr>
          <w:b/>
        </w:rPr>
      </w:pPr>
    </w:p>
    <w:p w:rsidR="009D4970" w:rsidRDefault="009D4970" w:rsidP="009D4970">
      <w:pPr>
        <w:pStyle w:val="ListParagraph"/>
        <w:numPr>
          <w:ilvl w:val="2"/>
          <w:numId w:val="5"/>
        </w:numPr>
        <w:rPr>
          <w:b/>
        </w:rPr>
      </w:pPr>
      <w:r>
        <w:rPr>
          <w:b/>
        </w:rPr>
        <w:t>Degree and certificate completion (where applicable)</w:t>
      </w:r>
    </w:p>
    <w:p w:rsidR="009D4970" w:rsidRDefault="009D4970" w:rsidP="009D4970">
      <w:pPr>
        <w:pStyle w:val="ListParagraph"/>
        <w:rPr>
          <w:b/>
        </w:rPr>
      </w:pPr>
    </w:p>
    <w:p w:rsidR="00787B46" w:rsidRDefault="00787B46" w:rsidP="00787B46">
      <w:pPr>
        <w:pStyle w:val="ListParagraph"/>
        <w:ind w:left="0"/>
        <w:rPr>
          <w:rFonts w:ascii="Arial" w:hAnsi="Arial" w:cs="Arial"/>
        </w:rPr>
      </w:pPr>
    </w:p>
    <w:p w:rsidR="00787B46" w:rsidRDefault="00787B46" w:rsidP="00787B46">
      <w:pPr>
        <w:pStyle w:val="ListParagraph"/>
        <w:ind w:left="0"/>
        <w:rPr>
          <w:rFonts w:ascii="Arial" w:hAnsi="Arial" w:cs="Arial"/>
        </w:rPr>
      </w:pPr>
      <w:r>
        <w:rPr>
          <w:rFonts w:ascii="Arial" w:hAnsi="Arial" w:cs="Arial"/>
        </w:rPr>
        <w:t>ii.      Certificate completion has varied with the real estate market. There was a high of 288 for the 2007-08 year. Since then it has dropped to 134 in 2008-09 and 92 in 09-10.</w:t>
      </w:r>
    </w:p>
    <w:p w:rsidR="00787B46" w:rsidRDefault="00787B46" w:rsidP="00787B46">
      <w:pPr>
        <w:pStyle w:val="ListParagraph"/>
        <w:ind w:left="0"/>
        <w:rPr>
          <w:rFonts w:ascii="Arial" w:hAnsi="Arial" w:cs="Arial"/>
        </w:rPr>
      </w:pPr>
    </w:p>
    <w:p w:rsidR="00787B46" w:rsidRDefault="00787B46" w:rsidP="00787B46">
      <w:pPr>
        <w:pStyle w:val="ListParagraph"/>
        <w:ind w:left="0"/>
        <w:rPr>
          <w:rFonts w:ascii="Arial" w:hAnsi="Arial" w:cs="Arial"/>
        </w:rPr>
      </w:pPr>
      <w:r>
        <w:rPr>
          <w:rFonts w:ascii="Arial" w:hAnsi="Arial" w:cs="Arial"/>
        </w:rPr>
        <w:t>Graduation rates have gone from 14 in 2007-08 to 7 in 2009-10 and 8 last year.</w:t>
      </w:r>
    </w:p>
    <w:p w:rsidR="00787B46" w:rsidRDefault="00787B46" w:rsidP="00787B46">
      <w:pPr>
        <w:pStyle w:val="ListParagraph"/>
        <w:ind w:left="0"/>
        <w:rPr>
          <w:rFonts w:ascii="Arial" w:hAnsi="Arial" w:cs="Arial"/>
        </w:rPr>
      </w:pPr>
    </w:p>
    <w:p w:rsidR="00787B46" w:rsidRPr="009D4970" w:rsidRDefault="00787B46" w:rsidP="009D4970">
      <w:pPr>
        <w:pStyle w:val="ListParagraph"/>
        <w:rPr>
          <w:b/>
        </w:rPr>
      </w:pPr>
    </w:p>
    <w:p w:rsidR="005131C6" w:rsidRDefault="009D4970" w:rsidP="005131C6">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284A0A" w:rsidRDefault="00284A0A" w:rsidP="005131C6">
      <w:pPr>
        <w:pStyle w:val="ListParagraph"/>
        <w:ind w:left="0"/>
        <w:rPr>
          <w:rFonts w:ascii="Arial" w:hAnsi="Arial" w:cs="Arial"/>
        </w:rPr>
      </w:pPr>
    </w:p>
    <w:p w:rsidR="00284A0A" w:rsidRDefault="00284A0A" w:rsidP="005131C6">
      <w:pPr>
        <w:pStyle w:val="ListParagraph"/>
        <w:ind w:left="0"/>
        <w:rPr>
          <w:rFonts w:ascii="Arial" w:hAnsi="Arial" w:cs="Arial"/>
        </w:rPr>
      </w:pPr>
      <w:r>
        <w:rPr>
          <w:rFonts w:ascii="Arial" w:hAnsi="Arial" w:cs="Arial"/>
        </w:rPr>
        <w:t>iii.     Demographic data has remained constant for the past 3 years. It is virtually unchanged for age, gender and race. The majority of</w:t>
      </w:r>
      <w:r w:rsidR="00AF61D3">
        <w:rPr>
          <w:rFonts w:ascii="Arial" w:hAnsi="Arial" w:cs="Arial"/>
        </w:rPr>
        <w:t xml:space="preserve"> students continue to reside in</w:t>
      </w:r>
      <w:r>
        <w:rPr>
          <w:rFonts w:ascii="Arial" w:hAnsi="Arial" w:cs="Arial"/>
        </w:rPr>
        <w:t xml:space="preserve"> Montgomery County, with the next largest segment from Greene. There has not been a marked increase in outlying counties even in light of expansion of locations in those markets.</w:t>
      </w:r>
    </w:p>
    <w:p w:rsidR="00284A0A" w:rsidRDefault="00284A0A" w:rsidP="005131C6">
      <w:pPr>
        <w:pStyle w:val="ListParagraph"/>
        <w:ind w:left="0"/>
        <w:rPr>
          <w:rFonts w:ascii="Arial" w:hAnsi="Arial" w:cs="Arial"/>
        </w:rPr>
      </w:pPr>
    </w:p>
    <w:p w:rsidR="00223924" w:rsidRDefault="00223924" w:rsidP="005131C6">
      <w:pPr>
        <w:pStyle w:val="ListParagraph"/>
        <w:ind w:left="0"/>
        <w:rPr>
          <w:rFonts w:ascii="Arial" w:hAnsi="Arial" w:cs="Arial"/>
        </w:rPr>
      </w:pPr>
      <w:r w:rsidRPr="005131C6">
        <w:rPr>
          <w:rFonts w:ascii="Arial" w:hAnsi="Arial" w:cs="Arial"/>
        </w:rPr>
        <w:t xml:space="preserve">The Dayton Area Board of Realtors conducted a survey of attendees of their 10-Hour Post-Licensure Class, </w:t>
      </w:r>
      <w:r w:rsidR="005131C6">
        <w:rPr>
          <w:rFonts w:ascii="Arial" w:hAnsi="Arial" w:cs="Arial"/>
        </w:rPr>
        <w:t xml:space="preserve">83% of which were our students, </w:t>
      </w:r>
      <w:r w:rsidRPr="005131C6">
        <w:rPr>
          <w:rFonts w:ascii="Arial" w:hAnsi="Arial" w:cs="Arial"/>
        </w:rPr>
        <w:t>and here is a summary of the results:</w:t>
      </w:r>
    </w:p>
    <w:p w:rsidR="005131C6" w:rsidRPr="005131C6" w:rsidRDefault="005131C6" w:rsidP="005131C6">
      <w:pPr>
        <w:pStyle w:val="ListParagraph"/>
        <w:ind w:left="2160"/>
        <w:rPr>
          <w:rFonts w:ascii="Arial" w:hAnsi="Arial" w:cs="Arial"/>
        </w:rPr>
      </w:pP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Dayton Area Board of REALTORS®</w:t>
      </w:r>
    </w:p>
    <w:p w:rsidR="005131C6" w:rsidRPr="00787B46" w:rsidRDefault="00223924" w:rsidP="00787B46">
      <w:pPr>
        <w:autoSpaceDE w:val="0"/>
        <w:autoSpaceDN w:val="0"/>
        <w:adjustRightInd w:val="0"/>
        <w:ind w:left="720"/>
        <w:rPr>
          <w:rFonts w:ascii="Calibri" w:eastAsiaTheme="minorHAnsi" w:hAnsi="Calibri" w:cs="Calibri"/>
          <w:sz w:val="36"/>
          <w:szCs w:val="26"/>
        </w:rPr>
      </w:pPr>
      <w:r w:rsidRPr="00787B46">
        <w:rPr>
          <w:rFonts w:ascii="Calibri" w:eastAsiaTheme="minorHAnsi" w:hAnsi="Calibri" w:cs="Calibri"/>
          <w:sz w:val="36"/>
          <w:szCs w:val="26"/>
        </w:rPr>
        <w:t>10‐Hour New Agent ANONYMOUS SURVEY</w:t>
      </w:r>
    </w:p>
    <w:p w:rsidR="005131C6" w:rsidRPr="00787B46" w:rsidRDefault="00223924" w:rsidP="00787B46">
      <w:pPr>
        <w:autoSpaceDE w:val="0"/>
        <w:autoSpaceDN w:val="0"/>
        <w:adjustRightInd w:val="0"/>
        <w:ind w:left="720"/>
        <w:rPr>
          <w:rFonts w:ascii="Calibri" w:eastAsiaTheme="minorHAnsi" w:hAnsi="Calibri" w:cs="Calibri"/>
          <w:szCs w:val="18"/>
        </w:rPr>
      </w:pPr>
      <w:r w:rsidRPr="00787B46">
        <w:rPr>
          <w:rFonts w:ascii="Calibri" w:eastAsiaTheme="minorHAnsi" w:hAnsi="Calibri" w:cs="Calibri"/>
          <w:sz w:val="28"/>
          <w:szCs w:val="20"/>
        </w:rPr>
        <w:t xml:space="preserve">Attendees </w:t>
      </w:r>
      <w:r w:rsidRPr="00787B46">
        <w:rPr>
          <w:rFonts w:ascii="Calibri" w:eastAsiaTheme="minorHAnsi" w:hAnsi="Calibri" w:cs="Calibri"/>
          <w:szCs w:val="18"/>
        </w:rPr>
        <w:t>24</w:t>
      </w:r>
    </w:p>
    <w:p w:rsidR="00223924" w:rsidRPr="00787B46" w:rsidRDefault="00223924" w:rsidP="00787B46">
      <w:pPr>
        <w:autoSpaceDE w:val="0"/>
        <w:autoSpaceDN w:val="0"/>
        <w:adjustRightInd w:val="0"/>
        <w:ind w:left="720"/>
        <w:rPr>
          <w:rFonts w:ascii="Calibri" w:eastAsiaTheme="minorHAnsi" w:hAnsi="Calibri" w:cs="Calibri"/>
          <w:sz w:val="28"/>
          <w:szCs w:val="20"/>
          <w:u w:val="single"/>
        </w:rPr>
      </w:pPr>
      <w:r w:rsidRPr="00787B46">
        <w:rPr>
          <w:rFonts w:ascii="Calibri" w:eastAsiaTheme="minorHAnsi" w:hAnsi="Calibri" w:cs="Calibri"/>
          <w:sz w:val="28"/>
          <w:szCs w:val="20"/>
          <w:u w:val="single"/>
        </w:rPr>
        <w:t>Analysis of Survey Group of October 6 &amp; 7, 2011 with 22 respondents</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41% are under the age of 35 and 68% under the age of 45.</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 xml:space="preserve">The vast majority ‐76% </w:t>
      </w:r>
      <w:proofErr w:type="gramStart"/>
      <w:r w:rsidRPr="00787B46">
        <w:rPr>
          <w:rFonts w:ascii="Calibri" w:eastAsiaTheme="minorHAnsi" w:hAnsi="Calibri" w:cs="Calibri"/>
          <w:sz w:val="28"/>
          <w:szCs w:val="20"/>
        </w:rPr>
        <w:t>are</w:t>
      </w:r>
      <w:proofErr w:type="gramEnd"/>
      <w:r w:rsidRPr="00787B46">
        <w:rPr>
          <w:rFonts w:ascii="Calibri" w:eastAsiaTheme="minorHAnsi" w:hAnsi="Calibri" w:cs="Calibri"/>
          <w:sz w:val="28"/>
          <w:szCs w:val="20"/>
        </w:rPr>
        <w:t xml:space="preserve"> active agents</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Another 14% have a suspended license‐ which means they previously missed their deadline for completing the 10‐</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Hour required class</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Average of 7 months in the business</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66% have had closed transactions</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20% work full time at real estate and have another full time job</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33% do real estate full time and have no other source of income</w:t>
      </w:r>
    </w:p>
    <w:p w:rsidR="00223924" w:rsidRPr="00787B46" w:rsidRDefault="00223924" w:rsidP="00787B46">
      <w:pPr>
        <w:autoSpaceDE w:val="0"/>
        <w:autoSpaceDN w:val="0"/>
        <w:adjustRightInd w:val="0"/>
        <w:ind w:left="720"/>
        <w:rPr>
          <w:rFonts w:ascii="Calibri-Italic" w:eastAsiaTheme="minorHAnsi" w:hAnsi="Calibri-Italic" w:cs="Calibri-Italic"/>
          <w:i/>
          <w:iCs/>
          <w:sz w:val="26"/>
          <w:szCs w:val="20"/>
        </w:rPr>
      </w:pPr>
      <w:r w:rsidRPr="00787B46">
        <w:rPr>
          <w:rFonts w:ascii="Calibri" w:eastAsiaTheme="minorHAnsi" w:hAnsi="Calibri" w:cs="Calibri"/>
          <w:sz w:val="28"/>
          <w:szCs w:val="20"/>
        </w:rPr>
        <w:t xml:space="preserve">47 % considered "full time" to be 30 hours a week </w:t>
      </w:r>
      <w:r w:rsidRPr="00787B46">
        <w:rPr>
          <w:rFonts w:ascii="Calibri-Italic" w:eastAsiaTheme="minorHAnsi" w:hAnsi="Calibri-Italic" w:cs="Calibri-Italic"/>
          <w:i/>
          <w:iCs/>
          <w:sz w:val="26"/>
          <w:szCs w:val="20"/>
        </w:rPr>
        <w:t>or less.</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On average they expect to have 9 closing in the next 12 months.</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100% use a laptop computer, 78% are on Facebook and 72% have a smart phone. 44% have their own domain name</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83% took their classes through Sinclair CC with the majority of those 74% taking them at the REALTORS® Center.</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69% passed the state exam on the first attempt.</w:t>
      </w:r>
    </w:p>
    <w:p w:rsidR="005131C6"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64% belong to a company that either provides CE classes for free or affordably.</w:t>
      </w:r>
    </w:p>
    <w:p w:rsidR="00223924" w:rsidRPr="00787B46" w:rsidRDefault="00223924" w:rsidP="00787B46">
      <w:pPr>
        <w:autoSpaceDE w:val="0"/>
        <w:autoSpaceDN w:val="0"/>
        <w:adjustRightInd w:val="0"/>
        <w:ind w:left="720"/>
        <w:rPr>
          <w:rFonts w:ascii="Calibri" w:eastAsiaTheme="minorHAnsi" w:hAnsi="Calibri" w:cs="Calibri"/>
          <w:sz w:val="28"/>
          <w:szCs w:val="20"/>
        </w:rPr>
      </w:pPr>
      <w:r w:rsidRPr="00787B46">
        <w:rPr>
          <w:rFonts w:ascii="Calibri" w:eastAsiaTheme="minorHAnsi" w:hAnsi="Calibri" w:cs="Calibri"/>
          <w:sz w:val="28"/>
          <w:szCs w:val="20"/>
        </w:rPr>
        <w:t>62% expect to be in the business for at least 10 years or more.</w:t>
      </w:r>
    </w:p>
    <w:p w:rsidR="005864A4" w:rsidRDefault="005864A4" w:rsidP="005864A4">
      <w:pPr>
        <w:rPr>
          <w:rFonts w:ascii="Arial" w:hAnsi="Arial" w:cs="Arial"/>
          <w:b/>
        </w:rPr>
      </w:pPr>
    </w:p>
    <w:p w:rsidR="00847243" w:rsidRPr="004E47AA" w:rsidRDefault="00847243" w:rsidP="00787B46">
      <w:pPr>
        <w:rPr>
          <w:b/>
        </w:rPr>
      </w:pPr>
    </w:p>
    <w:p w:rsidR="00847243" w:rsidRPr="004E47AA" w:rsidRDefault="00847243" w:rsidP="00827AE5">
      <w:pPr>
        <w:ind w:firstLine="360"/>
        <w:rPr>
          <w:b/>
        </w:rPr>
      </w:pPr>
    </w:p>
    <w:p w:rsidR="0028603C" w:rsidRPr="003A298D" w:rsidRDefault="0028603C" w:rsidP="00BA3246">
      <w:pPr>
        <w:pStyle w:val="ListParagraph"/>
        <w:numPr>
          <w:ilvl w:val="1"/>
          <w:numId w:val="5"/>
        </w:numPr>
        <w:rPr>
          <w:b/>
        </w:rPr>
      </w:pPr>
      <w:r w:rsidRPr="005864A4">
        <w:rPr>
          <w:b/>
        </w:rPr>
        <w:lastRenderedPageBreak/>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5E6288" w:rsidRDefault="005E6288" w:rsidP="00602839">
      <w:pPr>
        <w:ind w:left="720" w:firstLine="720"/>
        <w:rPr>
          <w:rFonts w:ascii="Arial" w:hAnsi="Arial" w:cs="Arial"/>
        </w:rPr>
      </w:pPr>
    </w:p>
    <w:p w:rsidR="00197831" w:rsidRDefault="005E6288" w:rsidP="00602839">
      <w:pPr>
        <w:ind w:left="720" w:firstLine="720"/>
        <w:rPr>
          <w:rFonts w:ascii="Arial" w:hAnsi="Arial" w:cs="Arial"/>
        </w:rPr>
      </w:pPr>
      <w:r>
        <w:rPr>
          <w:rFonts w:ascii="Arial" w:hAnsi="Arial" w:cs="Arial"/>
        </w:rPr>
        <w:t xml:space="preserve">Enrollment has dropped </w:t>
      </w:r>
      <w:r w:rsidR="00197831">
        <w:rPr>
          <w:rFonts w:ascii="Arial" w:hAnsi="Arial" w:cs="Arial"/>
        </w:rPr>
        <w:t>parallel to</w:t>
      </w:r>
      <w:r>
        <w:rPr>
          <w:rFonts w:ascii="Arial" w:hAnsi="Arial" w:cs="Arial"/>
        </w:rPr>
        <w:t xml:space="preserve"> the real estate market. Success rates remain high due to the strength of the adjunct faculty. Each is committed to student success, often spending time outside class mentoring students.</w:t>
      </w:r>
      <w:r w:rsidRPr="005131C6">
        <w:rPr>
          <w:rFonts w:ascii="Arial" w:hAnsi="Arial" w:cs="Arial"/>
        </w:rPr>
        <w:t xml:space="preserve"> </w:t>
      </w:r>
    </w:p>
    <w:p w:rsidR="00787B46" w:rsidRDefault="00787B46" w:rsidP="00602839">
      <w:pPr>
        <w:ind w:left="720" w:firstLine="720"/>
        <w:rPr>
          <w:rFonts w:ascii="Arial" w:hAnsi="Arial" w:cs="Arial"/>
        </w:rPr>
      </w:pPr>
    </w:p>
    <w:p w:rsidR="005E6288" w:rsidRDefault="005E6288" w:rsidP="00602839">
      <w:pPr>
        <w:ind w:left="720" w:firstLine="720"/>
        <w:rPr>
          <w:rFonts w:ascii="Arial" w:hAnsi="Arial" w:cs="Arial"/>
        </w:rPr>
      </w:pPr>
      <w:r>
        <w:rPr>
          <w:rFonts w:ascii="Arial" w:hAnsi="Arial" w:cs="Arial"/>
        </w:rPr>
        <w:t xml:space="preserve">Without the addition of </w:t>
      </w:r>
      <w:r w:rsidR="00197831">
        <w:rPr>
          <w:rFonts w:ascii="Arial" w:hAnsi="Arial" w:cs="Arial"/>
        </w:rPr>
        <w:t xml:space="preserve">the certification of continuing education credit for non- pre-license classes or state approval and our offering of distance education statewide, enrollment will continue to flow with the market. The staff will continue to work closely with Realtor associations and the Real Estate Commission to effect a change in the statute governing distance education in pre-license courses. </w:t>
      </w:r>
    </w:p>
    <w:p w:rsidR="00F1713F" w:rsidRDefault="00F1713F" w:rsidP="00602839">
      <w:pPr>
        <w:ind w:left="720" w:firstLine="720"/>
        <w:rPr>
          <w:rFonts w:ascii="Arial" w:hAnsi="Arial" w:cs="Arial"/>
        </w:rPr>
      </w:pPr>
    </w:p>
    <w:p w:rsidR="005E6288" w:rsidRDefault="00F1713F" w:rsidP="00602839">
      <w:pPr>
        <w:ind w:left="720" w:firstLine="720"/>
        <w:rPr>
          <w:rFonts w:ascii="Arial" w:hAnsi="Arial" w:cs="Arial"/>
        </w:rPr>
      </w:pPr>
      <w:r>
        <w:rPr>
          <w:rFonts w:ascii="Arial" w:hAnsi="Arial" w:cs="Arial"/>
        </w:rPr>
        <w:t>Data collection regarding socio-economic level of students, pass rate for the state exam as compared to those students from other institutions and employment statistics would aid in planning and marketing for the department.</w:t>
      </w:r>
    </w:p>
    <w:p w:rsidR="00787B46" w:rsidRDefault="00787B46" w:rsidP="00602839">
      <w:pPr>
        <w:ind w:left="720" w:firstLine="720"/>
        <w:rPr>
          <w:rFonts w:ascii="Arial" w:hAnsi="Arial" w:cs="Arial"/>
        </w:rPr>
      </w:pPr>
    </w:p>
    <w:p w:rsidR="00787B46" w:rsidRDefault="00787B46" w:rsidP="00602839">
      <w:pPr>
        <w:ind w:left="720" w:firstLine="720"/>
        <w:rPr>
          <w:rFonts w:ascii="Arial" w:hAnsi="Arial" w:cs="Arial"/>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D62E3C">
        <w:rPr>
          <w:rFonts w:ascii="Arial" w:hAnsi="Arial" w:cs="Arial"/>
        </w:rPr>
        <w:br/>
      </w:r>
      <w:r w:rsidR="00D62E3C">
        <w:rPr>
          <w:rFonts w:ascii="Arial" w:hAnsi="Arial" w:cs="Arial"/>
        </w:rPr>
        <w:br/>
      </w:r>
      <w:r w:rsidR="007E5B16" w:rsidRPr="007E5B16">
        <w:rPr>
          <w:rFonts w:ascii="Arial" w:hAnsi="Arial" w:cs="Arial"/>
        </w:rPr>
        <w:t>200</w:t>
      </w:r>
      <w:r w:rsidR="00223924">
        <w:rPr>
          <w:rFonts w:ascii="Arial" w:hAnsi="Arial" w:cs="Arial"/>
        </w:rPr>
        <w:t>3-04</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7E5B16" w:rsidRDefault="00602839" w:rsidP="007E5B16">
      <w:pPr>
        <w:pStyle w:val="ListParagraph"/>
        <w:rPr>
          <w:rFonts w:ascii="Arial" w:hAnsi="Arial" w:cs="Arial"/>
        </w:rPr>
      </w:pPr>
      <w:r>
        <w:rPr>
          <w:rFonts w:ascii="Arial" w:hAnsi="Arial" w:cs="Arial"/>
        </w:rPr>
        <w:t xml:space="preserve">The goals from the most recent program review are not </w:t>
      </w:r>
      <w:r w:rsidR="001C32C1">
        <w:rPr>
          <w:rFonts w:ascii="Arial" w:hAnsi="Arial" w:cs="Arial"/>
        </w:rPr>
        <w:t>available;</w:t>
      </w:r>
      <w:r>
        <w:rPr>
          <w:rFonts w:ascii="Arial" w:hAnsi="Arial" w:cs="Arial"/>
        </w:rPr>
        <w:t xml:space="preserve"> however</w:t>
      </w:r>
      <w:r w:rsidR="001C32C1">
        <w:rPr>
          <w:rFonts w:ascii="Arial" w:hAnsi="Arial" w:cs="Arial"/>
        </w:rPr>
        <w:t>,</w:t>
      </w:r>
      <w:r>
        <w:rPr>
          <w:rFonts w:ascii="Arial" w:hAnsi="Arial" w:cs="Arial"/>
        </w:rPr>
        <w:t xml:space="preserve"> here is a quote from the summary:</w:t>
      </w:r>
    </w:p>
    <w:p w:rsidR="004E1C4B" w:rsidRDefault="004E1C4B" w:rsidP="007E5B16">
      <w:pPr>
        <w:pStyle w:val="ListParagraph"/>
        <w:rPr>
          <w:rFonts w:ascii="Arial" w:hAnsi="Arial" w:cs="Arial"/>
        </w:rPr>
      </w:pPr>
    </w:p>
    <w:p w:rsidR="00602839" w:rsidRDefault="00602839" w:rsidP="00602839">
      <w:pPr>
        <w:pStyle w:val="ListParagraph"/>
        <w:ind w:left="1440"/>
        <w:rPr>
          <w:rFonts w:ascii="Arial" w:hAnsi="Arial" w:cs="Arial"/>
        </w:rPr>
      </w:pPr>
      <w:r>
        <w:rPr>
          <w:rFonts w:ascii="Arial" w:hAnsi="Arial" w:cs="Arial"/>
        </w:rPr>
        <w:t>"The updated degree plan for the Real Estate program reflects changes that have occurred in the industry. Two new short-term certificate options have been developed.</w:t>
      </w:r>
    </w:p>
    <w:p w:rsidR="00602839" w:rsidRDefault="00602839" w:rsidP="00602839">
      <w:pPr>
        <w:pStyle w:val="ListParagraph"/>
        <w:ind w:left="1440"/>
        <w:rPr>
          <w:rFonts w:ascii="Arial" w:hAnsi="Arial" w:cs="Arial"/>
        </w:rPr>
      </w:pPr>
    </w:p>
    <w:p w:rsidR="00602839" w:rsidRPr="007E5B16" w:rsidRDefault="00602839" w:rsidP="00602839">
      <w:pPr>
        <w:pStyle w:val="ListParagraph"/>
        <w:ind w:left="1440"/>
        <w:rPr>
          <w:rFonts w:ascii="Arial" w:hAnsi="Arial" w:cs="Arial"/>
        </w:rPr>
      </w:pPr>
      <w:r>
        <w:rPr>
          <w:rFonts w:ascii="Arial" w:hAnsi="Arial" w:cs="Arial"/>
        </w:rPr>
        <w:t xml:space="preserve">With the approval of the Division of Real Estate that 30 hours (biannually) of continuing education for licensed Realtors can be taken online, there is a new opportunity for the college aligned with its current vertical marketing strategy. In order to take advantage of this opportunity, a new faculty position will </w:t>
      </w:r>
      <w:proofErr w:type="gramStart"/>
      <w:r>
        <w:rPr>
          <w:rFonts w:ascii="Arial" w:hAnsi="Arial" w:cs="Arial"/>
        </w:rPr>
        <w:t>needed</w:t>
      </w:r>
      <w:proofErr w:type="gramEnd"/>
      <w:r>
        <w:rPr>
          <w:rFonts w:ascii="Arial" w:hAnsi="Arial" w:cs="Arial"/>
        </w:rPr>
        <w:t xml:space="preserve"> to coordinate the vertical market strategy for real estate."</w:t>
      </w:r>
    </w:p>
    <w:p w:rsidR="001C32C1" w:rsidRPr="001C32C1" w:rsidRDefault="001C32C1" w:rsidP="001C32C1">
      <w:pPr>
        <w:pStyle w:val="ListParagraph"/>
        <w:tabs>
          <w:tab w:val="left" w:pos="504"/>
        </w:tabs>
        <w:spacing w:after="120"/>
        <w:ind w:left="1440"/>
        <w:rPr>
          <w:rFonts w:ascii="Arial" w:hAnsi="Arial" w:cs="Arial"/>
        </w:rPr>
      </w:pPr>
    </w:p>
    <w:p w:rsidR="001C32C1" w:rsidRDefault="001C32C1" w:rsidP="0094204C">
      <w:pPr>
        <w:pStyle w:val="ListParagraph"/>
        <w:tabs>
          <w:tab w:val="left" w:pos="504"/>
        </w:tabs>
        <w:spacing w:after="120"/>
        <w:rPr>
          <w:sz w:val="22"/>
          <w:szCs w:val="22"/>
        </w:rPr>
      </w:pPr>
    </w:p>
    <w:p w:rsidR="005531E8" w:rsidRPr="001C32C1"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1C32C1" w:rsidRDefault="001C32C1" w:rsidP="001C32C1">
      <w:pPr>
        <w:pStyle w:val="ListParagraph"/>
        <w:tabs>
          <w:tab w:val="left" w:pos="504"/>
        </w:tabs>
        <w:spacing w:after="120"/>
      </w:pPr>
    </w:p>
    <w:p w:rsidR="001C32C1" w:rsidRPr="001C32C1" w:rsidRDefault="001C32C1" w:rsidP="001C32C1">
      <w:pPr>
        <w:pStyle w:val="ListParagraph"/>
        <w:tabs>
          <w:tab w:val="left" w:pos="504"/>
        </w:tabs>
        <w:spacing w:after="120"/>
        <w:rPr>
          <w:rFonts w:ascii="Arial" w:hAnsi="Arial" w:cs="Arial"/>
        </w:rPr>
      </w:pPr>
      <w:r w:rsidRPr="001C32C1">
        <w:rPr>
          <w:rFonts w:ascii="Arial" w:hAnsi="Arial" w:cs="Arial"/>
        </w:rPr>
        <w:t>Another quote from the summary:</w:t>
      </w:r>
    </w:p>
    <w:p w:rsidR="003C1C8E" w:rsidRDefault="003C1C8E" w:rsidP="00BF3561">
      <w:pPr>
        <w:pStyle w:val="ListParagraph"/>
      </w:pPr>
    </w:p>
    <w:p w:rsidR="001C32C1" w:rsidRPr="001C32C1" w:rsidRDefault="001C32C1" w:rsidP="001C32C1">
      <w:pPr>
        <w:pStyle w:val="ListParagraph"/>
        <w:tabs>
          <w:tab w:val="left" w:pos="504"/>
        </w:tabs>
        <w:spacing w:after="120"/>
        <w:ind w:left="1440"/>
        <w:rPr>
          <w:rFonts w:ascii="Arial" w:hAnsi="Arial" w:cs="Arial"/>
        </w:rPr>
      </w:pPr>
      <w:r w:rsidRPr="001C32C1">
        <w:rPr>
          <w:rFonts w:ascii="Arial" w:hAnsi="Arial" w:cs="Arial"/>
        </w:rPr>
        <w:t xml:space="preserve">"There was considerable discussion that exists for Sinclair to offer online real estate courses for continuing education. We will not be able to take advantage of this opportunity if the appropriate resources are not allocated in the 04-05 </w:t>
      </w:r>
      <w:proofErr w:type="gramStart"/>
      <w:r w:rsidRPr="001C32C1">
        <w:rPr>
          <w:rFonts w:ascii="Arial" w:hAnsi="Arial" w:cs="Arial"/>
        </w:rPr>
        <w:t>budget</w:t>
      </w:r>
      <w:proofErr w:type="gramEnd"/>
      <w:r w:rsidRPr="001C32C1">
        <w:rPr>
          <w:rFonts w:ascii="Arial" w:hAnsi="Arial" w:cs="Arial"/>
        </w:rPr>
        <w:t xml:space="preserve"> for personnel, curriculum development, etc. AS it stands, a tenure track position was changed to an annually contracted faculty (has not received final approval at this time). If the appropriate personnel </w:t>
      </w:r>
      <w:proofErr w:type="gramStart"/>
      <w:r w:rsidRPr="001C32C1">
        <w:rPr>
          <w:rFonts w:ascii="Arial" w:hAnsi="Arial" w:cs="Arial"/>
        </w:rPr>
        <w:t>is</w:t>
      </w:r>
      <w:proofErr w:type="gramEnd"/>
      <w:r w:rsidRPr="001C32C1">
        <w:rPr>
          <w:rFonts w:ascii="Arial" w:hAnsi="Arial" w:cs="Arial"/>
        </w:rPr>
        <w:t xml:space="preserve"> not resourced, we will not be able to pursue this opportunity. It was also noted that the college is unsure of its commitment to vertical marketing opportunities.</w:t>
      </w:r>
    </w:p>
    <w:p w:rsidR="001C32C1" w:rsidRPr="001C32C1" w:rsidRDefault="001C32C1" w:rsidP="001C32C1">
      <w:pPr>
        <w:pStyle w:val="ListParagraph"/>
        <w:tabs>
          <w:tab w:val="left" w:pos="504"/>
        </w:tabs>
        <w:spacing w:after="120"/>
        <w:ind w:left="1440"/>
        <w:rPr>
          <w:rFonts w:ascii="Arial" w:hAnsi="Arial" w:cs="Arial"/>
        </w:rPr>
      </w:pPr>
    </w:p>
    <w:p w:rsidR="001C32C1" w:rsidRDefault="001C32C1" w:rsidP="001C32C1">
      <w:pPr>
        <w:pStyle w:val="ListParagraph"/>
        <w:tabs>
          <w:tab w:val="left" w:pos="504"/>
        </w:tabs>
        <w:spacing w:after="120"/>
        <w:ind w:left="1440"/>
        <w:rPr>
          <w:rFonts w:ascii="Arial" w:hAnsi="Arial" w:cs="Arial"/>
        </w:rPr>
      </w:pPr>
      <w:r w:rsidRPr="001C32C1">
        <w:rPr>
          <w:rFonts w:ascii="Arial" w:hAnsi="Arial" w:cs="Arial"/>
        </w:rPr>
        <w:t>Given other important college-wide initiatives that will need to be resourced, such as transfer, it is understandable why vertical marketing may not be a priority at this time."</w:t>
      </w:r>
    </w:p>
    <w:p w:rsidR="001C32C1" w:rsidRDefault="001C32C1" w:rsidP="001C32C1">
      <w:pPr>
        <w:pStyle w:val="ListParagraph"/>
        <w:tabs>
          <w:tab w:val="left" w:pos="504"/>
        </w:tabs>
        <w:spacing w:after="120"/>
        <w:ind w:left="1440"/>
        <w:rPr>
          <w:rFonts w:ascii="Arial" w:hAnsi="Arial" w:cs="Arial"/>
        </w:rPr>
      </w:pPr>
    </w:p>
    <w:p w:rsidR="001C32C1" w:rsidRDefault="001C32C1" w:rsidP="001C32C1">
      <w:pPr>
        <w:pStyle w:val="ListParagraph"/>
        <w:tabs>
          <w:tab w:val="left" w:pos="504"/>
        </w:tabs>
        <w:spacing w:after="120"/>
        <w:rPr>
          <w:rFonts w:ascii="Arial" w:hAnsi="Arial" w:cs="Arial"/>
        </w:rPr>
      </w:pPr>
    </w:p>
    <w:p w:rsidR="001C32C1" w:rsidRPr="001C32C1" w:rsidRDefault="001C32C1" w:rsidP="001C32C1">
      <w:pPr>
        <w:pStyle w:val="ListParagraph"/>
        <w:tabs>
          <w:tab w:val="left" w:pos="504"/>
        </w:tabs>
        <w:spacing w:after="120"/>
        <w:rPr>
          <w:rFonts w:ascii="Arial" w:hAnsi="Arial" w:cs="Arial"/>
        </w:rPr>
      </w:pPr>
    </w:p>
    <w:p w:rsidR="00320CDE"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F86156" w:rsidRDefault="00F86156" w:rsidP="00320CDE">
      <w:pPr>
        <w:pStyle w:val="ListParagraph"/>
      </w:pPr>
    </w:p>
    <w:p w:rsidR="0048077F" w:rsidRDefault="001C32C1" w:rsidP="00320CDE">
      <w:pPr>
        <w:pStyle w:val="ListParagraph"/>
        <w:rPr>
          <w:rFonts w:ascii="Arial" w:hAnsi="Arial" w:cs="Arial"/>
        </w:rPr>
      </w:pPr>
      <w:r>
        <w:rPr>
          <w:rFonts w:ascii="Arial" w:hAnsi="Arial" w:cs="Arial"/>
        </w:rPr>
        <w:t>The situation has not changed in the RES program, and the lack of a full time presence prohibits growth.</w:t>
      </w:r>
    </w:p>
    <w:p w:rsidR="001C32C1" w:rsidRDefault="001C32C1" w:rsidP="00320CDE">
      <w:pPr>
        <w:pStyle w:val="ListParagraph"/>
        <w:rPr>
          <w:rFonts w:ascii="Arial" w:hAnsi="Arial" w:cs="Arial"/>
        </w:rPr>
      </w:pPr>
    </w:p>
    <w:p w:rsidR="001C32C1" w:rsidRDefault="00032E63" w:rsidP="00320CDE">
      <w:pPr>
        <w:pStyle w:val="ListParagraph"/>
        <w:rPr>
          <w:rFonts w:ascii="Arial" w:hAnsi="Arial" w:cs="Arial"/>
        </w:rPr>
      </w:pPr>
      <w:r>
        <w:rPr>
          <w:rFonts w:ascii="Arial" w:hAnsi="Arial" w:cs="Arial"/>
        </w:rPr>
        <w:t xml:space="preserve">The addition of certification of continuing education for our non-rpre-license RES classes would still increase enrollment and potentially graduation rates. </w:t>
      </w:r>
    </w:p>
    <w:p w:rsidR="00032E63" w:rsidRDefault="00032E63" w:rsidP="00320CDE">
      <w:pPr>
        <w:pStyle w:val="ListParagraph"/>
        <w:rPr>
          <w:rFonts w:ascii="Arial" w:hAnsi="Arial" w:cs="Arial"/>
        </w:rPr>
      </w:pPr>
    </w:p>
    <w:p w:rsidR="00032E63" w:rsidRDefault="00032E63"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48077F" w:rsidRPr="007E5B16" w:rsidRDefault="0048077F" w:rsidP="0048077F">
      <w:pPr>
        <w:pStyle w:val="ListParagraph"/>
        <w:rPr>
          <w:rFonts w:ascii="Arial" w:hAnsi="Arial" w:cs="Arial"/>
        </w:rPr>
      </w:pPr>
    </w:p>
    <w:p w:rsidR="00BA3246" w:rsidRDefault="00032E63" w:rsidP="00032E63">
      <w:pPr>
        <w:spacing w:after="200" w:line="276" w:lineRule="auto"/>
        <w:ind w:left="720"/>
        <w:rPr>
          <w:rFonts w:ascii="Arial" w:hAnsi="Arial" w:cs="Arial"/>
        </w:rPr>
      </w:pPr>
      <w:r>
        <w:rPr>
          <w:rFonts w:ascii="Arial" w:hAnsi="Arial" w:cs="Arial"/>
        </w:rPr>
        <w:t>There has not been progress towards these goals in 2010-11.</w:t>
      </w:r>
    </w:p>
    <w:p w:rsidR="00787B46" w:rsidRDefault="00787B46" w:rsidP="00032E63">
      <w:pPr>
        <w:spacing w:after="200" w:line="276" w:lineRule="auto"/>
        <w:ind w:left="720"/>
        <w:rPr>
          <w:b/>
          <w:u w:val="single"/>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493339" w:rsidRDefault="00493339" w:rsidP="00827AE5"/>
    <w:p w:rsidR="00493339" w:rsidRDefault="00493339" w:rsidP="00493339">
      <w:pPr>
        <w:rPr>
          <w:b/>
        </w:rPr>
      </w:pPr>
      <w:r w:rsidRPr="00C27F48">
        <w:rPr>
          <w:b/>
        </w:rPr>
        <w:t>RES PROGRAM OUTCOME DATA</w:t>
      </w:r>
      <w:r>
        <w:rPr>
          <w:b/>
        </w:rPr>
        <w:t xml:space="preserve"> </w:t>
      </w:r>
    </w:p>
    <w:p w:rsidR="00493339" w:rsidRDefault="00493339" w:rsidP="00493339"/>
    <w:p w:rsidR="00493339" w:rsidRDefault="00493339" w:rsidP="00493339">
      <w:r>
        <w:t xml:space="preserve">a) </w:t>
      </w:r>
      <w:r w:rsidRPr="00C27F48">
        <w:t xml:space="preserve">For the assessment methods listed in the table above, what were the results?  </w:t>
      </w:r>
    </w:p>
    <w:p w:rsidR="00493339" w:rsidRDefault="008A3CBC" w:rsidP="00493339">
      <w:r>
        <w:pict>
          <v:rect id="_x0000_i1025" style="width:0;height:1.5pt" o:hralign="center" o:hrstd="t" o:hr="t" fillcolor="#a0a0a0" stroked="f"/>
        </w:pict>
      </w:r>
    </w:p>
    <w:p w:rsidR="00493339" w:rsidRDefault="00493339" w:rsidP="00493339">
      <w:r>
        <w:t>ACCREDITATION TREND DATA:</w:t>
      </w:r>
    </w:p>
    <w:tbl>
      <w:tblPr>
        <w:tblStyle w:val="TableGrid"/>
        <w:tblW w:w="0" w:type="auto"/>
        <w:tblLook w:val="04A0"/>
      </w:tblPr>
      <w:tblGrid>
        <w:gridCol w:w="1758"/>
        <w:gridCol w:w="1263"/>
        <w:gridCol w:w="1311"/>
        <w:gridCol w:w="1311"/>
        <w:gridCol w:w="1311"/>
        <w:gridCol w:w="1311"/>
        <w:gridCol w:w="1311"/>
      </w:tblGrid>
      <w:tr w:rsidR="00493339" w:rsidRPr="00787B46" w:rsidTr="00284A0A">
        <w:tc>
          <w:tcPr>
            <w:tcW w:w="1669" w:type="dxa"/>
            <w:tcBorders>
              <w:top w:val="nil"/>
              <w:left w:val="nil"/>
              <w:right w:val="nil"/>
            </w:tcBorders>
            <w:vAlign w:val="bottom"/>
          </w:tcPr>
          <w:p w:rsidR="00493339" w:rsidRPr="00787B46" w:rsidRDefault="00493339" w:rsidP="00284A0A">
            <w:pPr>
              <w:rPr>
                <w:rFonts w:ascii="Arial" w:hAnsi="Arial" w:cs="Arial"/>
                <w:b/>
              </w:rPr>
            </w:pPr>
          </w:p>
        </w:tc>
        <w:tc>
          <w:tcPr>
            <w:tcW w:w="1287" w:type="dxa"/>
            <w:tcBorders>
              <w:top w:val="nil"/>
              <w:left w:val="nil"/>
            </w:tcBorders>
            <w:vAlign w:val="bottom"/>
          </w:tcPr>
          <w:p w:rsidR="00493339" w:rsidRPr="00787B46" w:rsidRDefault="00493339" w:rsidP="00284A0A">
            <w:pPr>
              <w:rPr>
                <w:rFonts w:ascii="Arial" w:hAnsi="Arial" w:cs="Arial"/>
                <w:sz w:val="20"/>
              </w:rPr>
            </w:pPr>
          </w:p>
        </w:tc>
        <w:tc>
          <w:tcPr>
            <w:tcW w:w="1324" w:type="dxa"/>
          </w:tcPr>
          <w:p w:rsidR="00493339" w:rsidRPr="00787B46" w:rsidRDefault="00493339" w:rsidP="00284A0A">
            <w:pPr>
              <w:rPr>
                <w:rFonts w:ascii="Arial" w:hAnsi="Arial" w:cs="Arial"/>
                <w:b/>
              </w:rPr>
            </w:pPr>
            <w:r w:rsidRPr="00787B46">
              <w:rPr>
                <w:rFonts w:ascii="Arial" w:hAnsi="Arial" w:cs="Arial"/>
                <w:b/>
              </w:rPr>
              <w:t>FY 2006-07</w:t>
            </w:r>
          </w:p>
        </w:tc>
        <w:tc>
          <w:tcPr>
            <w:tcW w:w="1324" w:type="dxa"/>
          </w:tcPr>
          <w:p w:rsidR="00493339" w:rsidRPr="00787B46" w:rsidRDefault="00493339" w:rsidP="00284A0A">
            <w:pPr>
              <w:rPr>
                <w:rFonts w:ascii="Arial" w:hAnsi="Arial" w:cs="Arial"/>
                <w:b/>
              </w:rPr>
            </w:pPr>
            <w:r w:rsidRPr="00787B46">
              <w:rPr>
                <w:rFonts w:ascii="Arial" w:hAnsi="Arial" w:cs="Arial"/>
                <w:b/>
              </w:rPr>
              <w:t>FY 2007-08</w:t>
            </w:r>
          </w:p>
        </w:tc>
        <w:tc>
          <w:tcPr>
            <w:tcW w:w="1324" w:type="dxa"/>
          </w:tcPr>
          <w:p w:rsidR="00493339" w:rsidRPr="00787B46" w:rsidRDefault="00493339" w:rsidP="00284A0A">
            <w:pPr>
              <w:rPr>
                <w:rFonts w:ascii="Arial" w:hAnsi="Arial" w:cs="Arial"/>
                <w:b/>
              </w:rPr>
            </w:pPr>
            <w:r w:rsidRPr="00787B46">
              <w:rPr>
                <w:rFonts w:ascii="Arial" w:hAnsi="Arial" w:cs="Arial"/>
                <w:b/>
              </w:rPr>
              <w:t>FY 2008-09</w:t>
            </w:r>
          </w:p>
        </w:tc>
        <w:tc>
          <w:tcPr>
            <w:tcW w:w="1324" w:type="dxa"/>
          </w:tcPr>
          <w:p w:rsidR="00493339" w:rsidRPr="00787B46" w:rsidRDefault="00493339" w:rsidP="00284A0A">
            <w:pPr>
              <w:rPr>
                <w:rFonts w:ascii="Arial" w:hAnsi="Arial" w:cs="Arial"/>
                <w:b/>
              </w:rPr>
            </w:pPr>
            <w:r w:rsidRPr="00787B46">
              <w:rPr>
                <w:rFonts w:ascii="Arial" w:hAnsi="Arial" w:cs="Arial"/>
                <w:b/>
              </w:rPr>
              <w:t>FY 2009-10</w:t>
            </w:r>
          </w:p>
        </w:tc>
        <w:tc>
          <w:tcPr>
            <w:tcW w:w="1324" w:type="dxa"/>
          </w:tcPr>
          <w:p w:rsidR="00493339" w:rsidRPr="00787B46" w:rsidRDefault="00493339" w:rsidP="00284A0A">
            <w:pPr>
              <w:rPr>
                <w:rFonts w:ascii="Arial" w:hAnsi="Arial" w:cs="Arial"/>
                <w:b/>
              </w:rPr>
            </w:pPr>
            <w:r w:rsidRPr="00787B46">
              <w:rPr>
                <w:rFonts w:ascii="Arial" w:hAnsi="Arial" w:cs="Arial"/>
                <w:b/>
              </w:rPr>
              <w:t>FY 2010-11</w:t>
            </w:r>
          </w:p>
        </w:tc>
      </w:tr>
      <w:tr w:rsidR="00493339" w:rsidRPr="00787B46" w:rsidTr="00284A0A">
        <w:tc>
          <w:tcPr>
            <w:tcW w:w="1669" w:type="dxa"/>
            <w:vAlign w:val="bottom"/>
          </w:tcPr>
          <w:p w:rsidR="00493339" w:rsidRPr="00787B46" w:rsidRDefault="00493339" w:rsidP="00284A0A">
            <w:pPr>
              <w:rPr>
                <w:rFonts w:ascii="Arial" w:hAnsi="Arial" w:cs="Arial"/>
                <w:b/>
              </w:rPr>
            </w:pPr>
            <w:r w:rsidRPr="00787B46">
              <w:rPr>
                <w:rFonts w:ascii="Arial" w:hAnsi="Arial" w:cs="Arial"/>
                <w:b/>
              </w:rPr>
              <w:t>RES Outcome</w:t>
            </w:r>
          </w:p>
        </w:tc>
        <w:tc>
          <w:tcPr>
            <w:tcW w:w="1287" w:type="dxa"/>
            <w:vAlign w:val="bottom"/>
          </w:tcPr>
          <w:p w:rsidR="00493339" w:rsidRPr="00787B46" w:rsidRDefault="00493339" w:rsidP="00284A0A">
            <w:pPr>
              <w:rPr>
                <w:rFonts w:ascii="Arial" w:hAnsi="Arial" w:cs="Arial"/>
                <w:sz w:val="20"/>
              </w:rPr>
            </w:pPr>
            <w:r w:rsidRPr="00787B46">
              <w:rPr>
                <w:rFonts w:ascii="Arial" w:hAnsi="Arial" w:cs="Arial"/>
                <w:sz w:val="20"/>
              </w:rPr>
              <w:t>Courses Evaluating This Outcome</w:t>
            </w:r>
          </w:p>
        </w:tc>
        <w:tc>
          <w:tcPr>
            <w:tcW w:w="1324" w:type="dxa"/>
          </w:tcPr>
          <w:p w:rsidR="00493339" w:rsidRPr="00787B46" w:rsidRDefault="00493339" w:rsidP="00284A0A">
            <w:pPr>
              <w:rPr>
                <w:rFonts w:ascii="Arial" w:hAnsi="Arial" w:cs="Arial"/>
                <w:sz w:val="20"/>
              </w:rPr>
            </w:pPr>
            <w:r w:rsidRPr="00787B46">
              <w:rPr>
                <w:rFonts w:ascii="Arial" w:hAnsi="Arial" w:cs="Arial"/>
                <w:sz w:val="20"/>
              </w:rPr>
              <w:t xml:space="preserve">Success Count/Total Count = </w:t>
            </w:r>
            <w:r w:rsidRPr="00787B46">
              <w:rPr>
                <w:rFonts w:ascii="Arial" w:hAnsi="Arial" w:cs="Arial"/>
                <w:b/>
                <w:sz w:val="20"/>
              </w:rPr>
              <w:t>Success Rate</w:t>
            </w:r>
          </w:p>
        </w:tc>
        <w:tc>
          <w:tcPr>
            <w:tcW w:w="1324" w:type="dxa"/>
          </w:tcPr>
          <w:p w:rsidR="00493339" w:rsidRPr="00787B46" w:rsidRDefault="00493339" w:rsidP="00284A0A">
            <w:pPr>
              <w:rPr>
                <w:rFonts w:ascii="Arial" w:hAnsi="Arial" w:cs="Arial"/>
                <w:sz w:val="20"/>
              </w:rPr>
            </w:pPr>
            <w:r w:rsidRPr="00787B46">
              <w:rPr>
                <w:rFonts w:ascii="Arial" w:hAnsi="Arial" w:cs="Arial"/>
                <w:sz w:val="20"/>
              </w:rPr>
              <w:t xml:space="preserve">Success Count/Total Count = </w:t>
            </w:r>
            <w:r w:rsidRPr="00787B46">
              <w:rPr>
                <w:rFonts w:ascii="Arial" w:hAnsi="Arial" w:cs="Arial"/>
                <w:b/>
                <w:sz w:val="20"/>
              </w:rPr>
              <w:t>Success Rate</w:t>
            </w:r>
          </w:p>
        </w:tc>
        <w:tc>
          <w:tcPr>
            <w:tcW w:w="1324" w:type="dxa"/>
          </w:tcPr>
          <w:p w:rsidR="00493339" w:rsidRPr="00787B46" w:rsidRDefault="00493339" w:rsidP="00284A0A">
            <w:pPr>
              <w:rPr>
                <w:rFonts w:ascii="Arial" w:hAnsi="Arial" w:cs="Arial"/>
                <w:sz w:val="20"/>
              </w:rPr>
            </w:pPr>
            <w:r w:rsidRPr="00787B46">
              <w:rPr>
                <w:rFonts w:ascii="Arial" w:hAnsi="Arial" w:cs="Arial"/>
                <w:sz w:val="20"/>
              </w:rPr>
              <w:t xml:space="preserve">Success Count/Total Count = </w:t>
            </w:r>
            <w:r w:rsidRPr="00787B46">
              <w:rPr>
                <w:rFonts w:ascii="Arial" w:hAnsi="Arial" w:cs="Arial"/>
                <w:b/>
                <w:sz w:val="20"/>
              </w:rPr>
              <w:t>Success Rate</w:t>
            </w:r>
          </w:p>
        </w:tc>
        <w:tc>
          <w:tcPr>
            <w:tcW w:w="1324" w:type="dxa"/>
          </w:tcPr>
          <w:p w:rsidR="00493339" w:rsidRPr="00787B46" w:rsidRDefault="00493339" w:rsidP="00284A0A">
            <w:pPr>
              <w:rPr>
                <w:rFonts w:ascii="Arial" w:hAnsi="Arial" w:cs="Arial"/>
                <w:sz w:val="20"/>
              </w:rPr>
            </w:pPr>
            <w:r w:rsidRPr="00787B46">
              <w:rPr>
                <w:rFonts w:ascii="Arial" w:hAnsi="Arial" w:cs="Arial"/>
                <w:sz w:val="20"/>
              </w:rPr>
              <w:t xml:space="preserve">Success Count/Total Count = </w:t>
            </w:r>
            <w:r w:rsidRPr="00787B46">
              <w:rPr>
                <w:rFonts w:ascii="Arial" w:hAnsi="Arial" w:cs="Arial"/>
                <w:b/>
                <w:sz w:val="20"/>
              </w:rPr>
              <w:t>Success Rate</w:t>
            </w:r>
          </w:p>
        </w:tc>
        <w:tc>
          <w:tcPr>
            <w:tcW w:w="1324" w:type="dxa"/>
          </w:tcPr>
          <w:p w:rsidR="00493339" w:rsidRPr="00787B46" w:rsidRDefault="00493339" w:rsidP="00284A0A">
            <w:pPr>
              <w:rPr>
                <w:rFonts w:ascii="Arial" w:hAnsi="Arial" w:cs="Arial"/>
                <w:sz w:val="20"/>
              </w:rPr>
            </w:pPr>
            <w:r w:rsidRPr="00787B46">
              <w:rPr>
                <w:rFonts w:ascii="Arial" w:hAnsi="Arial" w:cs="Arial"/>
                <w:sz w:val="20"/>
              </w:rPr>
              <w:t xml:space="preserve">Success Count/Total Count = </w:t>
            </w:r>
            <w:r w:rsidRPr="00787B46">
              <w:rPr>
                <w:rFonts w:ascii="Arial" w:hAnsi="Arial" w:cs="Arial"/>
                <w:b/>
                <w:sz w:val="20"/>
              </w:rPr>
              <w:t>Success Rate</w:t>
            </w:r>
          </w:p>
        </w:tc>
      </w:tr>
      <w:tr w:rsidR="00493339" w:rsidRPr="00787B46" w:rsidTr="00284A0A">
        <w:tc>
          <w:tcPr>
            <w:tcW w:w="9576" w:type="dxa"/>
            <w:gridSpan w:val="7"/>
          </w:tcPr>
          <w:p w:rsidR="00493339" w:rsidRPr="00787B46" w:rsidRDefault="00493339" w:rsidP="00284A0A">
            <w:pPr>
              <w:rPr>
                <w:rFonts w:ascii="Arial" w:hAnsi="Arial" w:cs="Arial"/>
                <w:b/>
              </w:rPr>
            </w:pPr>
          </w:p>
        </w:tc>
      </w:tr>
      <w:tr w:rsidR="00493339" w:rsidRPr="00787B46" w:rsidTr="00284A0A">
        <w:tc>
          <w:tcPr>
            <w:tcW w:w="1669" w:type="dxa"/>
          </w:tcPr>
          <w:p w:rsidR="00493339" w:rsidRPr="00787B46" w:rsidRDefault="00493339" w:rsidP="00284A0A">
            <w:pPr>
              <w:rPr>
                <w:rFonts w:ascii="Arial" w:hAnsi="Arial" w:cs="Arial"/>
              </w:rPr>
            </w:pPr>
            <w:r w:rsidRPr="00787B46">
              <w:rPr>
                <w:rFonts w:ascii="Arial" w:hAnsi="Arial" w:cs="Arial"/>
              </w:rPr>
              <w:t>1. Exhibit skills necessary to function as a real estate professional</w:t>
            </w:r>
          </w:p>
        </w:tc>
        <w:tc>
          <w:tcPr>
            <w:tcW w:w="1287" w:type="dxa"/>
          </w:tcPr>
          <w:p w:rsidR="00493339" w:rsidRPr="00787B46" w:rsidRDefault="00493339" w:rsidP="00284A0A">
            <w:pPr>
              <w:rPr>
                <w:rFonts w:ascii="Arial" w:hAnsi="Arial" w:cs="Arial"/>
              </w:rPr>
            </w:pPr>
            <w:r w:rsidRPr="00787B46">
              <w:rPr>
                <w:rFonts w:ascii="Arial" w:hAnsi="Arial" w:cs="Arial"/>
              </w:rPr>
              <w:t>RES 278</w:t>
            </w:r>
          </w:p>
        </w:tc>
        <w:tc>
          <w:tcPr>
            <w:tcW w:w="1324" w:type="dxa"/>
          </w:tcPr>
          <w:p w:rsidR="00493339" w:rsidRPr="00787B46" w:rsidRDefault="00493339" w:rsidP="00284A0A">
            <w:pPr>
              <w:rPr>
                <w:rFonts w:ascii="Arial" w:hAnsi="Arial" w:cs="Arial"/>
              </w:rPr>
            </w:pPr>
            <w:r w:rsidRPr="00787B46">
              <w:rPr>
                <w:rFonts w:ascii="Arial" w:hAnsi="Arial" w:cs="Arial"/>
              </w:rPr>
              <w:t>7/7</w:t>
            </w:r>
          </w:p>
        </w:tc>
        <w:tc>
          <w:tcPr>
            <w:tcW w:w="1324" w:type="dxa"/>
          </w:tcPr>
          <w:p w:rsidR="00493339" w:rsidRPr="00787B46" w:rsidRDefault="00493339" w:rsidP="00284A0A">
            <w:pPr>
              <w:rPr>
                <w:rFonts w:ascii="Arial" w:hAnsi="Arial" w:cs="Arial"/>
              </w:rPr>
            </w:pPr>
            <w:r w:rsidRPr="00787B46">
              <w:rPr>
                <w:rFonts w:ascii="Arial" w:hAnsi="Arial" w:cs="Arial"/>
              </w:rPr>
              <w:t>12/12</w:t>
            </w:r>
          </w:p>
        </w:tc>
        <w:tc>
          <w:tcPr>
            <w:tcW w:w="1324" w:type="dxa"/>
          </w:tcPr>
          <w:p w:rsidR="00493339" w:rsidRPr="00787B46" w:rsidRDefault="00493339" w:rsidP="00284A0A">
            <w:pPr>
              <w:rPr>
                <w:rFonts w:ascii="Arial" w:hAnsi="Arial" w:cs="Arial"/>
              </w:rPr>
            </w:pPr>
            <w:r w:rsidRPr="00787B46">
              <w:rPr>
                <w:rFonts w:ascii="Arial" w:hAnsi="Arial" w:cs="Arial"/>
              </w:rPr>
              <w:t>9/9</w:t>
            </w:r>
          </w:p>
        </w:tc>
        <w:tc>
          <w:tcPr>
            <w:tcW w:w="1324" w:type="dxa"/>
          </w:tcPr>
          <w:p w:rsidR="00493339" w:rsidRPr="00787B46" w:rsidRDefault="00493339" w:rsidP="00284A0A">
            <w:pPr>
              <w:rPr>
                <w:rFonts w:ascii="Arial" w:hAnsi="Arial" w:cs="Arial"/>
              </w:rPr>
            </w:pPr>
            <w:r w:rsidRPr="00787B46">
              <w:rPr>
                <w:rFonts w:ascii="Arial" w:hAnsi="Arial" w:cs="Arial"/>
              </w:rPr>
              <w:t>6/6</w:t>
            </w:r>
          </w:p>
        </w:tc>
        <w:tc>
          <w:tcPr>
            <w:tcW w:w="1324" w:type="dxa"/>
          </w:tcPr>
          <w:p w:rsidR="00493339" w:rsidRPr="00787B46" w:rsidRDefault="00493339" w:rsidP="00284A0A">
            <w:pPr>
              <w:rPr>
                <w:rFonts w:ascii="Arial" w:hAnsi="Arial" w:cs="Arial"/>
              </w:rPr>
            </w:pPr>
            <w:r w:rsidRPr="00787B46">
              <w:rPr>
                <w:rFonts w:ascii="Arial" w:hAnsi="Arial" w:cs="Arial"/>
              </w:rPr>
              <w:t>5/5</w:t>
            </w:r>
          </w:p>
        </w:tc>
      </w:tr>
      <w:tr w:rsidR="00493339" w:rsidRPr="00787B46" w:rsidTr="00284A0A">
        <w:tc>
          <w:tcPr>
            <w:tcW w:w="2956" w:type="dxa"/>
            <w:gridSpan w:val="2"/>
          </w:tcPr>
          <w:p w:rsidR="00493339" w:rsidRPr="00787B46" w:rsidRDefault="00493339" w:rsidP="00284A0A">
            <w:pPr>
              <w:rPr>
                <w:rFonts w:ascii="Arial" w:hAnsi="Arial" w:cs="Arial"/>
              </w:rPr>
            </w:pP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r>
      <w:tr w:rsidR="00493339" w:rsidRPr="00787B46" w:rsidTr="00284A0A">
        <w:tc>
          <w:tcPr>
            <w:tcW w:w="9576" w:type="dxa"/>
            <w:gridSpan w:val="7"/>
          </w:tcPr>
          <w:p w:rsidR="00493339" w:rsidRPr="00787B46" w:rsidRDefault="00493339" w:rsidP="00284A0A">
            <w:pPr>
              <w:rPr>
                <w:rFonts w:ascii="Arial" w:hAnsi="Arial" w:cs="Arial"/>
              </w:rPr>
            </w:pPr>
          </w:p>
        </w:tc>
      </w:tr>
      <w:tr w:rsidR="00493339" w:rsidRPr="00787B46" w:rsidTr="00284A0A">
        <w:tc>
          <w:tcPr>
            <w:tcW w:w="1669" w:type="dxa"/>
          </w:tcPr>
          <w:p w:rsidR="00493339" w:rsidRPr="00787B46" w:rsidRDefault="00493339" w:rsidP="00284A0A">
            <w:pPr>
              <w:rPr>
                <w:rFonts w:ascii="Arial" w:hAnsi="Arial" w:cs="Arial"/>
              </w:rPr>
            </w:pPr>
            <w:r w:rsidRPr="00787B46">
              <w:rPr>
                <w:rFonts w:ascii="Arial" w:hAnsi="Arial" w:cs="Arial"/>
              </w:rPr>
              <w:t>2. Exemplify a high standard of ethics as a real estate professional</w:t>
            </w:r>
          </w:p>
        </w:tc>
        <w:tc>
          <w:tcPr>
            <w:tcW w:w="1287" w:type="dxa"/>
          </w:tcPr>
          <w:p w:rsidR="00493339" w:rsidRPr="00787B46" w:rsidRDefault="00493339" w:rsidP="00284A0A">
            <w:pPr>
              <w:rPr>
                <w:rFonts w:ascii="Arial" w:hAnsi="Arial" w:cs="Arial"/>
              </w:rPr>
            </w:pPr>
            <w:r w:rsidRPr="00787B46">
              <w:rPr>
                <w:rFonts w:ascii="Arial" w:hAnsi="Arial" w:cs="Arial"/>
              </w:rPr>
              <w:t>RES 278</w:t>
            </w:r>
          </w:p>
        </w:tc>
        <w:tc>
          <w:tcPr>
            <w:tcW w:w="1324" w:type="dxa"/>
          </w:tcPr>
          <w:p w:rsidR="00493339" w:rsidRPr="00787B46" w:rsidRDefault="00493339" w:rsidP="00284A0A">
            <w:pPr>
              <w:rPr>
                <w:rFonts w:ascii="Arial" w:hAnsi="Arial" w:cs="Arial"/>
              </w:rPr>
            </w:pPr>
            <w:r w:rsidRPr="00787B46">
              <w:rPr>
                <w:rFonts w:ascii="Arial" w:hAnsi="Arial" w:cs="Arial"/>
              </w:rPr>
              <w:t>7/7</w:t>
            </w:r>
          </w:p>
        </w:tc>
        <w:tc>
          <w:tcPr>
            <w:tcW w:w="1324" w:type="dxa"/>
          </w:tcPr>
          <w:p w:rsidR="00493339" w:rsidRPr="00787B46" w:rsidRDefault="00493339" w:rsidP="00284A0A">
            <w:pPr>
              <w:rPr>
                <w:rFonts w:ascii="Arial" w:hAnsi="Arial" w:cs="Arial"/>
              </w:rPr>
            </w:pPr>
            <w:r w:rsidRPr="00787B46">
              <w:rPr>
                <w:rFonts w:ascii="Arial" w:hAnsi="Arial" w:cs="Arial"/>
              </w:rPr>
              <w:t>12/12</w:t>
            </w:r>
          </w:p>
        </w:tc>
        <w:tc>
          <w:tcPr>
            <w:tcW w:w="1324" w:type="dxa"/>
          </w:tcPr>
          <w:p w:rsidR="00493339" w:rsidRPr="00787B46" w:rsidRDefault="00493339" w:rsidP="00284A0A">
            <w:pPr>
              <w:rPr>
                <w:rFonts w:ascii="Arial" w:hAnsi="Arial" w:cs="Arial"/>
              </w:rPr>
            </w:pPr>
            <w:r w:rsidRPr="00787B46">
              <w:rPr>
                <w:rFonts w:ascii="Arial" w:hAnsi="Arial" w:cs="Arial"/>
              </w:rPr>
              <w:t>9/9</w:t>
            </w:r>
          </w:p>
        </w:tc>
        <w:tc>
          <w:tcPr>
            <w:tcW w:w="1324" w:type="dxa"/>
          </w:tcPr>
          <w:p w:rsidR="00493339" w:rsidRPr="00787B46" w:rsidRDefault="00493339" w:rsidP="00284A0A">
            <w:pPr>
              <w:rPr>
                <w:rFonts w:ascii="Arial" w:hAnsi="Arial" w:cs="Arial"/>
              </w:rPr>
            </w:pPr>
            <w:r w:rsidRPr="00787B46">
              <w:rPr>
                <w:rFonts w:ascii="Arial" w:hAnsi="Arial" w:cs="Arial"/>
              </w:rPr>
              <w:t>6/6</w:t>
            </w:r>
          </w:p>
        </w:tc>
        <w:tc>
          <w:tcPr>
            <w:tcW w:w="1324" w:type="dxa"/>
          </w:tcPr>
          <w:p w:rsidR="00493339" w:rsidRPr="00787B46" w:rsidRDefault="00493339" w:rsidP="00284A0A">
            <w:pPr>
              <w:rPr>
                <w:rFonts w:ascii="Arial" w:hAnsi="Arial" w:cs="Arial"/>
              </w:rPr>
            </w:pPr>
            <w:r w:rsidRPr="00787B46">
              <w:rPr>
                <w:rFonts w:ascii="Arial" w:hAnsi="Arial" w:cs="Arial"/>
              </w:rPr>
              <w:t>5/5</w:t>
            </w:r>
          </w:p>
        </w:tc>
      </w:tr>
      <w:tr w:rsidR="00493339" w:rsidRPr="00787B46" w:rsidTr="00284A0A">
        <w:tc>
          <w:tcPr>
            <w:tcW w:w="2956" w:type="dxa"/>
            <w:gridSpan w:val="2"/>
          </w:tcPr>
          <w:p w:rsidR="00493339" w:rsidRPr="00787B46" w:rsidRDefault="00493339" w:rsidP="00284A0A">
            <w:pPr>
              <w:rPr>
                <w:rFonts w:ascii="Arial" w:hAnsi="Arial" w:cs="Arial"/>
              </w:rPr>
            </w:pP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c>
          <w:tcPr>
            <w:tcW w:w="1324" w:type="dxa"/>
          </w:tcPr>
          <w:p w:rsidR="00493339" w:rsidRPr="00787B46" w:rsidRDefault="00493339" w:rsidP="00284A0A">
            <w:pPr>
              <w:rPr>
                <w:rFonts w:ascii="Arial" w:hAnsi="Arial" w:cs="Arial"/>
                <w:b/>
              </w:rPr>
            </w:pPr>
            <w:r w:rsidRPr="00787B46">
              <w:rPr>
                <w:rFonts w:ascii="Arial" w:hAnsi="Arial" w:cs="Arial"/>
                <w:b/>
              </w:rPr>
              <w:t>100.0%</w:t>
            </w:r>
          </w:p>
        </w:tc>
      </w:tr>
      <w:tr w:rsidR="00493339" w:rsidRPr="00787B46" w:rsidTr="00284A0A">
        <w:tc>
          <w:tcPr>
            <w:tcW w:w="9576" w:type="dxa"/>
            <w:gridSpan w:val="7"/>
          </w:tcPr>
          <w:p w:rsidR="00493339" w:rsidRPr="00787B46" w:rsidRDefault="00493339" w:rsidP="00284A0A">
            <w:pPr>
              <w:rPr>
                <w:rFonts w:ascii="Arial" w:hAnsi="Arial" w:cs="Arial"/>
              </w:rPr>
            </w:pPr>
          </w:p>
        </w:tc>
      </w:tr>
      <w:tr w:rsidR="00493339" w:rsidRPr="00787B46" w:rsidTr="00284A0A">
        <w:tc>
          <w:tcPr>
            <w:tcW w:w="1669" w:type="dxa"/>
          </w:tcPr>
          <w:p w:rsidR="00493339" w:rsidRPr="00787B46" w:rsidRDefault="00493339" w:rsidP="00284A0A">
            <w:pPr>
              <w:rPr>
                <w:rFonts w:ascii="Arial" w:hAnsi="Arial" w:cs="Arial"/>
              </w:rPr>
            </w:pPr>
            <w:r w:rsidRPr="00787B46">
              <w:rPr>
                <w:rFonts w:ascii="Arial" w:hAnsi="Arial" w:cs="Arial"/>
              </w:rPr>
              <w:t>3. Demonstrate correct and appropriate use of oral and written communication, mathematics, and computer technology in real estate activities</w:t>
            </w:r>
          </w:p>
        </w:tc>
        <w:tc>
          <w:tcPr>
            <w:tcW w:w="1287" w:type="dxa"/>
          </w:tcPr>
          <w:p w:rsidR="00493339" w:rsidRPr="00787B46" w:rsidRDefault="00493339" w:rsidP="00284A0A">
            <w:pPr>
              <w:rPr>
                <w:rFonts w:ascii="Arial" w:hAnsi="Arial" w:cs="Arial"/>
              </w:rPr>
            </w:pPr>
            <w:r w:rsidRPr="00787B46">
              <w:rPr>
                <w:rFonts w:ascii="Arial" w:hAnsi="Arial" w:cs="Arial"/>
              </w:rPr>
              <w:t>RES 215</w:t>
            </w:r>
          </w:p>
        </w:tc>
        <w:tc>
          <w:tcPr>
            <w:tcW w:w="1324" w:type="dxa"/>
          </w:tcPr>
          <w:p w:rsidR="00493339" w:rsidRPr="00787B46" w:rsidRDefault="00493339" w:rsidP="00284A0A">
            <w:pPr>
              <w:rPr>
                <w:rFonts w:ascii="Arial" w:hAnsi="Arial" w:cs="Arial"/>
              </w:rPr>
            </w:pPr>
            <w:r w:rsidRPr="00787B46">
              <w:rPr>
                <w:rFonts w:ascii="Arial" w:hAnsi="Arial" w:cs="Arial"/>
              </w:rPr>
              <w:t>8/39</w:t>
            </w:r>
          </w:p>
        </w:tc>
        <w:tc>
          <w:tcPr>
            <w:tcW w:w="1324" w:type="dxa"/>
          </w:tcPr>
          <w:p w:rsidR="00493339" w:rsidRPr="00787B46" w:rsidRDefault="00493339" w:rsidP="00284A0A">
            <w:pPr>
              <w:rPr>
                <w:rFonts w:ascii="Arial" w:hAnsi="Arial" w:cs="Arial"/>
              </w:rPr>
            </w:pPr>
            <w:r w:rsidRPr="00787B46">
              <w:rPr>
                <w:rFonts w:ascii="Arial" w:hAnsi="Arial" w:cs="Arial"/>
              </w:rPr>
              <w:t>20/31</w:t>
            </w:r>
          </w:p>
        </w:tc>
        <w:tc>
          <w:tcPr>
            <w:tcW w:w="1324" w:type="dxa"/>
          </w:tcPr>
          <w:p w:rsidR="00493339" w:rsidRPr="00787B46" w:rsidRDefault="00493339" w:rsidP="00284A0A">
            <w:pPr>
              <w:rPr>
                <w:rFonts w:ascii="Arial" w:hAnsi="Arial" w:cs="Arial"/>
              </w:rPr>
            </w:pPr>
            <w:r w:rsidRPr="00787B46">
              <w:rPr>
                <w:rFonts w:ascii="Arial" w:hAnsi="Arial" w:cs="Arial"/>
              </w:rPr>
              <w:t>16/25</w:t>
            </w:r>
          </w:p>
        </w:tc>
        <w:tc>
          <w:tcPr>
            <w:tcW w:w="1324" w:type="dxa"/>
          </w:tcPr>
          <w:p w:rsidR="00493339" w:rsidRPr="00787B46" w:rsidRDefault="00493339" w:rsidP="00284A0A">
            <w:pPr>
              <w:rPr>
                <w:rFonts w:ascii="Arial" w:hAnsi="Arial" w:cs="Arial"/>
              </w:rPr>
            </w:pPr>
            <w:r w:rsidRPr="00787B46">
              <w:rPr>
                <w:rFonts w:ascii="Arial" w:hAnsi="Arial" w:cs="Arial"/>
              </w:rPr>
              <w:t>7/11</w:t>
            </w:r>
          </w:p>
        </w:tc>
        <w:tc>
          <w:tcPr>
            <w:tcW w:w="1324" w:type="dxa"/>
          </w:tcPr>
          <w:p w:rsidR="00493339" w:rsidRPr="00787B46" w:rsidRDefault="00493339" w:rsidP="00284A0A">
            <w:pPr>
              <w:rPr>
                <w:rFonts w:ascii="Arial" w:hAnsi="Arial" w:cs="Arial"/>
              </w:rPr>
            </w:pPr>
            <w:r w:rsidRPr="00787B46">
              <w:rPr>
                <w:rFonts w:ascii="Arial" w:hAnsi="Arial" w:cs="Arial"/>
              </w:rPr>
              <w:t>7/13</w:t>
            </w:r>
          </w:p>
        </w:tc>
      </w:tr>
      <w:tr w:rsidR="00493339" w:rsidRPr="00787B46" w:rsidTr="00284A0A">
        <w:tc>
          <w:tcPr>
            <w:tcW w:w="1669" w:type="dxa"/>
          </w:tcPr>
          <w:p w:rsidR="00493339" w:rsidRPr="00787B46" w:rsidRDefault="00493339" w:rsidP="00284A0A">
            <w:pPr>
              <w:rPr>
                <w:rFonts w:ascii="Arial" w:hAnsi="Arial" w:cs="Arial"/>
              </w:rPr>
            </w:pPr>
          </w:p>
        </w:tc>
        <w:tc>
          <w:tcPr>
            <w:tcW w:w="1287" w:type="dxa"/>
          </w:tcPr>
          <w:p w:rsidR="00493339" w:rsidRPr="00787B46" w:rsidRDefault="00493339" w:rsidP="00284A0A">
            <w:pPr>
              <w:rPr>
                <w:rFonts w:ascii="Arial" w:hAnsi="Arial" w:cs="Arial"/>
              </w:rPr>
            </w:pPr>
          </w:p>
        </w:tc>
        <w:tc>
          <w:tcPr>
            <w:tcW w:w="1324" w:type="dxa"/>
          </w:tcPr>
          <w:p w:rsidR="00493339" w:rsidRPr="00787B46" w:rsidRDefault="00493339" w:rsidP="00284A0A">
            <w:pPr>
              <w:rPr>
                <w:rFonts w:ascii="Arial" w:hAnsi="Arial" w:cs="Arial"/>
                <w:b/>
              </w:rPr>
            </w:pPr>
            <w:r w:rsidRPr="00787B46">
              <w:rPr>
                <w:rFonts w:ascii="Arial" w:hAnsi="Arial" w:cs="Arial"/>
                <w:b/>
              </w:rPr>
              <w:t>46.2%</w:t>
            </w:r>
          </w:p>
        </w:tc>
        <w:tc>
          <w:tcPr>
            <w:tcW w:w="1324" w:type="dxa"/>
          </w:tcPr>
          <w:p w:rsidR="00493339" w:rsidRPr="00787B46" w:rsidRDefault="00493339" w:rsidP="00284A0A">
            <w:pPr>
              <w:rPr>
                <w:rFonts w:ascii="Arial" w:hAnsi="Arial" w:cs="Arial"/>
                <w:b/>
              </w:rPr>
            </w:pPr>
            <w:r w:rsidRPr="00787B46">
              <w:rPr>
                <w:rFonts w:ascii="Arial" w:hAnsi="Arial" w:cs="Arial"/>
                <w:b/>
              </w:rPr>
              <w:t>64.5%</w:t>
            </w:r>
          </w:p>
        </w:tc>
        <w:tc>
          <w:tcPr>
            <w:tcW w:w="1324" w:type="dxa"/>
          </w:tcPr>
          <w:p w:rsidR="00493339" w:rsidRPr="00787B46" w:rsidRDefault="00493339" w:rsidP="00284A0A">
            <w:pPr>
              <w:rPr>
                <w:rFonts w:ascii="Arial" w:hAnsi="Arial" w:cs="Arial"/>
                <w:b/>
              </w:rPr>
            </w:pPr>
            <w:r w:rsidRPr="00787B46">
              <w:rPr>
                <w:rFonts w:ascii="Arial" w:hAnsi="Arial" w:cs="Arial"/>
                <w:b/>
              </w:rPr>
              <w:t>64.0%</w:t>
            </w:r>
          </w:p>
        </w:tc>
        <w:tc>
          <w:tcPr>
            <w:tcW w:w="1324" w:type="dxa"/>
          </w:tcPr>
          <w:p w:rsidR="00493339" w:rsidRPr="00787B46" w:rsidRDefault="00493339" w:rsidP="00284A0A">
            <w:pPr>
              <w:rPr>
                <w:rFonts w:ascii="Arial" w:hAnsi="Arial" w:cs="Arial"/>
                <w:b/>
              </w:rPr>
            </w:pPr>
            <w:r w:rsidRPr="00787B46">
              <w:rPr>
                <w:rFonts w:ascii="Arial" w:hAnsi="Arial" w:cs="Arial"/>
                <w:b/>
              </w:rPr>
              <w:t>63.6%</w:t>
            </w:r>
          </w:p>
        </w:tc>
        <w:tc>
          <w:tcPr>
            <w:tcW w:w="1324" w:type="dxa"/>
          </w:tcPr>
          <w:p w:rsidR="00493339" w:rsidRPr="00787B46" w:rsidRDefault="00493339" w:rsidP="00284A0A">
            <w:pPr>
              <w:rPr>
                <w:rFonts w:ascii="Arial" w:hAnsi="Arial" w:cs="Arial"/>
                <w:b/>
              </w:rPr>
            </w:pPr>
            <w:r w:rsidRPr="00787B46">
              <w:rPr>
                <w:rFonts w:ascii="Arial" w:hAnsi="Arial" w:cs="Arial"/>
                <w:b/>
              </w:rPr>
              <w:t>53.9%</w:t>
            </w:r>
          </w:p>
        </w:tc>
      </w:tr>
      <w:tr w:rsidR="00493339" w:rsidRPr="00787B46" w:rsidTr="00284A0A">
        <w:tc>
          <w:tcPr>
            <w:tcW w:w="9576" w:type="dxa"/>
            <w:gridSpan w:val="7"/>
          </w:tcPr>
          <w:p w:rsidR="00493339" w:rsidRPr="00787B46" w:rsidRDefault="00493339" w:rsidP="00284A0A">
            <w:pPr>
              <w:rPr>
                <w:rFonts w:ascii="Arial" w:hAnsi="Arial" w:cs="Arial"/>
              </w:rPr>
            </w:pPr>
          </w:p>
        </w:tc>
      </w:tr>
    </w:tbl>
    <w:p w:rsidR="00493339" w:rsidRDefault="00493339" w:rsidP="00493339"/>
    <w:p w:rsidR="004E1C4B" w:rsidRDefault="004E1C4B" w:rsidP="00493339"/>
    <w:p w:rsidR="004E1C4B" w:rsidRDefault="004E1C4B" w:rsidP="00493339"/>
    <w:p w:rsidR="00493339" w:rsidRDefault="00493339" w:rsidP="00493339">
      <w:r>
        <w:t>b)</w:t>
      </w:r>
      <w:r>
        <w:tab/>
        <w:t xml:space="preserve">Were changes planned as a result of the data?  If so, what were those changes? </w:t>
      </w:r>
    </w:p>
    <w:p w:rsidR="00787B46" w:rsidRDefault="00787B46" w:rsidP="00493339">
      <w:pPr>
        <w:ind w:left="720"/>
      </w:pPr>
    </w:p>
    <w:p w:rsidR="00493339" w:rsidRPr="00787B46" w:rsidRDefault="00493339" w:rsidP="00493339">
      <w:pPr>
        <w:ind w:left="720"/>
        <w:rPr>
          <w:rFonts w:ascii="Arial" w:hAnsi="Arial" w:cs="Arial"/>
        </w:rPr>
      </w:pPr>
      <w:r w:rsidRPr="00787B46">
        <w:rPr>
          <w:rFonts w:ascii="Arial" w:hAnsi="Arial" w:cs="Arial"/>
        </w:rPr>
        <w:t xml:space="preserve">1) RES Program Outcome: Exhibit skills necessary to function as a real estate professional. </w:t>
      </w:r>
    </w:p>
    <w:p w:rsidR="00493339" w:rsidRPr="00787B46" w:rsidRDefault="00493339" w:rsidP="00493339">
      <w:pPr>
        <w:ind w:left="720"/>
        <w:rPr>
          <w:rFonts w:ascii="Arial" w:hAnsi="Arial" w:cs="Arial"/>
        </w:rPr>
      </w:pPr>
      <w:r w:rsidRPr="00787B46">
        <w:rPr>
          <w:rFonts w:ascii="Arial" w:hAnsi="Arial" w:cs="Arial"/>
        </w:rPr>
        <w:t>This program outcome is evaluated in RES 278, Real Estate Capstone. Cumulative course student success rates during the past five fiscal years (2006-07 through 2010-11) calculate to 100% each year. This success rate indicates that this program outcome is being met effectively.</w:t>
      </w:r>
    </w:p>
    <w:p w:rsidR="00493339" w:rsidRPr="00787B46" w:rsidRDefault="00493339" w:rsidP="00493339">
      <w:pPr>
        <w:rPr>
          <w:rFonts w:ascii="Arial" w:hAnsi="Arial" w:cs="Arial"/>
        </w:rPr>
      </w:pPr>
    </w:p>
    <w:p w:rsidR="00493339" w:rsidRPr="00787B46" w:rsidRDefault="00493339" w:rsidP="00493339">
      <w:pPr>
        <w:ind w:left="720"/>
        <w:rPr>
          <w:rFonts w:ascii="Arial" w:hAnsi="Arial" w:cs="Arial"/>
        </w:rPr>
      </w:pPr>
      <w:r w:rsidRPr="00787B46">
        <w:rPr>
          <w:rFonts w:ascii="Arial" w:hAnsi="Arial" w:cs="Arial"/>
        </w:rPr>
        <w:t xml:space="preserve">2) RES Program Outcome: Exemplify a high standard of ethics as a real estate professional. </w:t>
      </w:r>
    </w:p>
    <w:p w:rsidR="00493339" w:rsidRPr="00787B46" w:rsidRDefault="00493339" w:rsidP="00493339">
      <w:pPr>
        <w:ind w:left="720"/>
        <w:rPr>
          <w:rFonts w:ascii="Arial" w:hAnsi="Arial" w:cs="Arial"/>
        </w:rPr>
      </w:pPr>
      <w:r w:rsidRPr="00787B46">
        <w:rPr>
          <w:rFonts w:ascii="Arial" w:hAnsi="Arial" w:cs="Arial"/>
        </w:rPr>
        <w:t>This program outcome is evaluated in RES 278, Real Estate Capstone. Cumulative course student success rates during the past five fiscal years (2006-07 through 2010-11) calculate to 100% each year. This success rate indicates that this program outcome is being met effectively.</w:t>
      </w:r>
    </w:p>
    <w:p w:rsidR="00493339" w:rsidRPr="00787B46" w:rsidRDefault="00493339" w:rsidP="00493339">
      <w:pPr>
        <w:rPr>
          <w:rFonts w:ascii="Arial" w:hAnsi="Arial" w:cs="Arial"/>
        </w:rPr>
      </w:pPr>
    </w:p>
    <w:p w:rsidR="00493339" w:rsidRPr="00787B46" w:rsidRDefault="00493339" w:rsidP="00493339">
      <w:pPr>
        <w:ind w:left="720"/>
        <w:rPr>
          <w:rFonts w:ascii="Arial" w:hAnsi="Arial" w:cs="Arial"/>
        </w:rPr>
      </w:pPr>
      <w:r w:rsidRPr="00787B46">
        <w:rPr>
          <w:rFonts w:ascii="Arial" w:hAnsi="Arial" w:cs="Arial"/>
        </w:rPr>
        <w:t xml:space="preserve">3) RES Program Outcome: Demonstrate correct and appropriate use of oral and written communication, mathematics, and computer technology in real estate activities. </w:t>
      </w:r>
    </w:p>
    <w:p w:rsidR="00493339" w:rsidRPr="00787B46" w:rsidRDefault="00493339" w:rsidP="00493339">
      <w:pPr>
        <w:ind w:left="720"/>
        <w:rPr>
          <w:rFonts w:ascii="Arial" w:hAnsi="Arial" w:cs="Arial"/>
        </w:rPr>
      </w:pPr>
      <w:r w:rsidRPr="00787B46">
        <w:rPr>
          <w:rFonts w:ascii="Arial" w:hAnsi="Arial" w:cs="Arial"/>
        </w:rPr>
        <w:t>This program outcome is evaluated in RES 215, Real Estate Investing. Cumulative course student success rates during the past five fiscal years (2006-07 through 2010-11) calculate to 46.2%, 64.5%, 64.0%, 63.6%, &amp; 53.9%, respectively, in this course. This student success rate indicates that this program outcome is not being met effectively. The instructor has identified the lack of adequate math skills in students taking this course as one obstacle to completion rates. The course will be examined for improvements during semester curriculum revision. It also appears that this program outcome is too broadly written and should be revised to make the outcome more readily measurable.</w:t>
      </w:r>
    </w:p>
    <w:p w:rsidR="0069298C" w:rsidRDefault="0069298C" w:rsidP="00BF3561">
      <w:pPr>
        <w:pStyle w:val="ListParagraph"/>
        <w:tabs>
          <w:tab w:val="left" w:pos="5040"/>
        </w:tabs>
      </w:pPr>
    </w:p>
    <w:p w:rsidR="00E47C9E" w:rsidRDefault="00E47C9E">
      <w:pPr>
        <w:pStyle w:val="ListParagraph"/>
        <w:tabs>
          <w:tab w:val="left" w:pos="5040"/>
        </w:tabs>
      </w:pPr>
    </w:p>
    <w:p w:rsidR="00787B46" w:rsidRDefault="00787B46">
      <w:pPr>
        <w:pStyle w:val="ListParagraph"/>
        <w:tabs>
          <w:tab w:val="left" w:pos="5040"/>
        </w:tabs>
      </w:pPr>
    </w:p>
    <w:p w:rsidR="00787B46" w:rsidRPr="00BF3561" w:rsidRDefault="00787B46">
      <w:pPr>
        <w:pStyle w:val="ListParagraph"/>
        <w:tabs>
          <w:tab w:val="left" w:pos="5040"/>
        </w:tabs>
      </w:pPr>
    </w:p>
    <w:p w:rsidR="00585AE0" w:rsidRDefault="00585AE0" w:rsidP="00034CE6">
      <w:pPr>
        <w:tabs>
          <w:tab w:val="left" w:pos="5040"/>
        </w:tabs>
      </w:pP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197831" w:rsidRDefault="001201D5" w:rsidP="00FA24D1">
      <w:pPr>
        <w:pStyle w:val="ListParagraph"/>
        <w:numPr>
          <w:ilvl w:val="0"/>
          <w:numId w:val="11"/>
        </w:numPr>
        <w:tabs>
          <w:tab w:val="left" w:pos="5040"/>
        </w:tabs>
      </w:pPr>
      <w:r w:rsidRPr="00787B46">
        <w:rPr>
          <w:b/>
          <w:u w:val="single"/>
        </w:rPr>
        <w:t xml:space="preserve">FY </w:t>
      </w:r>
      <w:r w:rsidR="005F2BA2" w:rsidRPr="00787B46">
        <w:rPr>
          <w:b/>
          <w:u w:val="single"/>
        </w:rPr>
        <w:t>10</w:t>
      </w:r>
      <w:r w:rsidRPr="00787B46">
        <w:rPr>
          <w:b/>
          <w:u w:val="single"/>
        </w:rPr>
        <w:t>-</w:t>
      </w:r>
      <w:r w:rsidR="005F2BA2" w:rsidRPr="00787B46">
        <w:rPr>
          <w:b/>
          <w:u w:val="single"/>
        </w:rPr>
        <w:t>11</w:t>
      </w:r>
      <w:r w:rsidRPr="00787B46">
        <w:rPr>
          <w:b/>
        </w:rPr>
        <w:t>:</w:t>
      </w:r>
      <w:r w:rsidRPr="00787B46">
        <w:rPr>
          <w:b/>
          <w:color w:val="FF0000"/>
        </w:rPr>
        <w:t xml:space="preserve"> </w:t>
      </w:r>
      <w:r w:rsidR="00320CDE" w:rsidRPr="00A36DEE">
        <w:t xml:space="preserve">What </w:t>
      </w:r>
      <w:r w:rsidR="00963DD8" w:rsidRPr="00A36DEE">
        <w:t>other improvement efforts did the department make</w:t>
      </w:r>
      <w:r w:rsidR="00320CDE" w:rsidRPr="00A36DEE">
        <w:t xml:space="preserve"> in FY </w:t>
      </w:r>
      <w:r w:rsidR="005F2BA2">
        <w:t>10</w:t>
      </w:r>
      <w:r w:rsidR="00320CDE" w:rsidRPr="00A36DEE">
        <w:t>-1</w:t>
      </w:r>
      <w:r w:rsidR="005F2BA2">
        <w:t>1</w:t>
      </w:r>
      <w:r w:rsidR="00320CDE" w:rsidRPr="00A36DEE">
        <w:t xml:space="preserve">?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787B46" w:rsidRDefault="00787B46" w:rsidP="00827AE5">
      <w:pPr>
        <w:pStyle w:val="ListParagraph"/>
        <w:tabs>
          <w:tab w:val="left" w:pos="5040"/>
        </w:tabs>
        <w:rPr>
          <w:rFonts w:ascii="Arial" w:hAnsi="Arial" w:cs="Arial"/>
        </w:rPr>
      </w:pPr>
    </w:p>
    <w:p w:rsidR="00787B46" w:rsidRDefault="00787B46" w:rsidP="00827AE5">
      <w:pPr>
        <w:pStyle w:val="ListParagraph"/>
        <w:tabs>
          <w:tab w:val="left" w:pos="5040"/>
        </w:tabs>
        <w:rPr>
          <w:rFonts w:ascii="Arial" w:hAnsi="Arial" w:cs="Arial"/>
        </w:rPr>
      </w:pPr>
    </w:p>
    <w:p w:rsidR="00FA24D1" w:rsidRDefault="00197831" w:rsidP="00827AE5">
      <w:pPr>
        <w:pStyle w:val="ListParagraph"/>
        <w:tabs>
          <w:tab w:val="left" w:pos="5040"/>
        </w:tabs>
        <w:rPr>
          <w:rFonts w:ascii="Arial" w:hAnsi="Arial" w:cs="Arial"/>
        </w:rPr>
      </w:pPr>
      <w:r>
        <w:rPr>
          <w:rFonts w:ascii="Arial" w:hAnsi="Arial" w:cs="Arial"/>
        </w:rPr>
        <w:t xml:space="preserve">Education and information regarding the use of ANGEL and other multi-media is offered at each adjunct meeting. All staff will have completed online certification by the end of </w:t>
      </w:r>
      <w:proofErr w:type="gramStart"/>
      <w:r>
        <w:rPr>
          <w:rFonts w:ascii="Arial" w:hAnsi="Arial" w:cs="Arial"/>
        </w:rPr>
        <w:t>Fall</w:t>
      </w:r>
      <w:proofErr w:type="gramEnd"/>
      <w:r>
        <w:rPr>
          <w:rFonts w:ascii="Arial" w:hAnsi="Arial" w:cs="Arial"/>
        </w:rPr>
        <w:t xml:space="preserve"> 2012. A lack of an "online" compliment to</w:t>
      </w:r>
      <w:r w:rsidR="00F1713F">
        <w:rPr>
          <w:rFonts w:ascii="Arial" w:hAnsi="Arial" w:cs="Arial"/>
        </w:rPr>
        <w:t xml:space="preserve"> </w:t>
      </w:r>
      <w:r>
        <w:rPr>
          <w:rFonts w:ascii="Arial" w:hAnsi="Arial" w:cs="Arial"/>
        </w:rPr>
        <w:t>some of our courses has been a concern.</w:t>
      </w:r>
    </w:p>
    <w:p w:rsidR="00197831" w:rsidRDefault="00197831" w:rsidP="00827AE5">
      <w:pPr>
        <w:pStyle w:val="ListParagraph"/>
        <w:tabs>
          <w:tab w:val="left" w:pos="5040"/>
        </w:tabs>
        <w:rPr>
          <w:rFonts w:ascii="Arial" w:hAnsi="Arial" w:cs="Arial"/>
        </w:rPr>
      </w:pPr>
    </w:p>
    <w:p w:rsidR="00197831" w:rsidRDefault="00197831" w:rsidP="00827AE5">
      <w:pPr>
        <w:pStyle w:val="ListParagraph"/>
        <w:tabs>
          <w:tab w:val="left" w:pos="5040"/>
        </w:tabs>
        <w:rPr>
          <w:rFonts w:ascii="Arial" w:hAnsi="Arial" w:cs="Arial"/>
        </w:rPr>
      </w:pPr>
      <w:r>
        <w:rPr>
          <w:rFonts w:ascii="Arial" w:hAnsi="Arial" w:cs="Arial"/>
        </w:rPr>
        <w:t>Collaboration between instructors has begun so that courses which have had the same adjunct teaching for many years can be effectively covered in the case of a change in staff or of an emergency. The adjuncts are enthusiastic about this plan.</w:t>
      </w:r>
    </w:p>
    <w:p w:rsidR="00197831" w:rsidRDefault="00197831" w:rsidP="00827AE5">
      <w:pPr>
        <w:pStyle w:val="ListParagraph"/>
        <w:tabs>
          <w:tab w:val="left" w:pos="5040"/>
        </w:tabs>
        <w:rPr>
          <w:rFonts w:ascii="Arial" w:hAnsi="Arial" w:cs="Arial"/>
        </w:rPr>
      </w:pPr>
    </w:p>
    <w:p w:rsidR="00197831" w:rsidRDefault="00197831" w:rsidP="00827AE5">
      <w:pPr>
        <w:pStyle w:val="ListParagraph"/>
        <w:tabs>
          <w:tab w:val="left" w:pos="5040"/>
        </w:tabs>
        <w:rPr>
          <w:rFonts w:ascii="Arial" w:hAnsi="Arial" w:cs="Arial"/>
        </w:rPr>
      </w:pPr>
      <w:r>
        <w:rPr>
          <w:rFonts w:ascii="Arial" w:hAnsi="Arial" w:cs="Arial"/>
        </w:rPr>
        <w:t xml:space="preserve">The advisory board has imposed as new, </w:t>
      </w:r>
      <w:r w:rsidR="00F1713F">
        <w:rPr>
          <w:rFonts w:ascii="Arial" w:hAnsi="Arial" w:cs="Arial"/>
        </w:rPr>
        <w:t>stricter</w:t>
      </w:r>
      <w:r>
        <w:rPr>
          <w:rFonts w:ascii="Arial" w:hAnsi="Arial" w:cs="Arial"/>
        </w:rPr>
        <w:t xml:space="preserve"> grading system and clarification of the honor code within the department which will be implemented </w:t>
      </w:r>
      <w:proofErr w:type="gramStart"/>
      <w:r>
        <w:rPr>
          <w:rFonts w:ascii="Arial" w:hAnsi="Arial" w:cs="Arial"/>
        </w:rPr>
        <w:t>Fall</w:t>
      </w:r>
      <w:proofErr w:type="gramEnd"/>
      <w:r>
        <w:rPr>
          <w:rFonts w:ascii="Arial" w:hAnsi="Arial" w:cs="Arial"/>
        </w:rPr>
        <w:t xml:space="preserve"> 2012.</w:t>
      </w:r>
    </w:p>
    <w:p w:rsidR="00197831" w:rsidRDefault="00197831" w:rsidP="00827AE5">
      <w:pPr>
        <w:pStyle w:val="ListParagraph"/>
        <w:tabs>
          <w:tab w:val="left" w:pos="5040"/>
        </w:tabs>
        <w:rPr>
          <w:rFonts w:ascii="Arial" w:hAnsi="Arial" w:cs="Arial"/>
        </w:rPr>
      </w:pPr>
    </w:p>
    <w:p w:rsidR="00847243" w:rsidRDefault="00197831" w:rsidP="00197831">
      <w:pPr>
        <w:pStyle w:val="ListParagraph"/>
        <w:tabs>
          <w:tab w:val="left" w:pos="5040"/>
        </w:tabs>
      </w:pPr>
      <w:r>
        <w:rPr>
          <w:rFonts w:ascii="Arial" w:hAnsi="Arial" w:cs="Arial"/>
        </w:rPr>
        <w:t xml:space="preserve"> </w:t>
      </w:r>
    </w:p>
    <w:p w:rsidR="00FA24D1" w:rsidRDefault="001201D5" w:rsidP="00A21E6E">
      <w:pPr>
        <w:pStyle w:val="ListParagraph"/>
        <w:numPr>
          <w:ilvl w:val="0"/>
          <w:numId w:val="11"/>
        </w:numPr>
        <w:tabs>
          <w:tab w:val="left" w:pos="5040"/>
        </w:tabs>
      </w:pPr>
      <w:r w:rsidRPr="00660080">
        <w:rPr>
          <w:b/>
          <w:u w:val="single"/>
        </w:rPr>
        <w:t>FY 1</w:t>
      </w:r>
      <w:r w:rsidR="005F2BA2">
        <w:rPr>
          <w:b/>
          <w:u w:val="single"/>
        </w:rPr>
        <w:t>1</w:t>
      </w:r>
      <w:r w:rsidRPr="00660080">
        <w:rPr>
          <w:b/>
          <w:u w:val="single"/>
        </w:rPr>
        <w:t>-1</w:t>
      </w:r>
      <w:r w:rsidR="005F2BA2">
        <w:rPr>
          <w:b/>
          <w:u w:val="single"/>
        </w:rPr>
        <w:t>2</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w:t>
      </w:r>
      <w:r w:rsidR="005F2BA2">
        <w:t>1</w:t>
      </w:r>
      <w:r w:rsidR="00FA24D1" w:rsidRPr="00A36DEE">
        <w:t>-1</w:t>
      </w:r>
      <w:r w:rsidR="005F2BA2">
        <w:t>2</w:t>
      </w:r>
      <w:r w:rsidR="00FA24D1" w:rsidRPr="00A36DEE">
        <w:t>?</w:t>
      </w:r>
      <w:r w:rsidR="00FA24D1">
        <w:t xml:space="preserve">  How will you know whether you have been successful?</w:t>
      </w:r>
    </w:p>
    <w:p w:rsidR="00FA24D1" w:rsidRDefault="008A3CBC" w:rsidP="00FA24D1">
      <w:pPr>
        <w:pStyle w:val="ListParagraph"/>
        <w:tabs>
          <w:tab w:val="left" w:pos="5040"/>
        </w:tabs>
        <w:rPr>
          <w:rFonts w:ascii="Arial" w:hAnsi="Arial" w:cs="Arial"/>
        </w:rPr>
      </w:pPr>
      <w:r w:rsidRPr="00C63945">
        <w:rPr>
          <w:rFonts w:ascii="Arial" w:hAnsi="Arial" w:cs="Arial"/>
        </w:rPr>
        <w:fldChar w:fldCharType="begin">
          <w:ffData>
            <w:name w:val="Text6"/>
            <w:enabled/>
            <w:calcOnExit w:val="0"/>
            <w:textInput/>
          </w:ffData>
        </w:fldChar>
      </w:r>
      <w:r w:rsidR="00FA24D1"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FA24D1" w:rsidRPr="00C63945">
        <w:rPr>
          <w:rFonts w:ascii="Arial" w:hAnsi="Arial" w:cs="Arial"/>
          <w:noProof/>
        </w:rPr>
        <w:t> </w:t>
      </w:r>
      <w:r w:rsidR="00FA24D1" w:rsidRPr="00C63945">
        <w:rPr>
          <w:rFonts w:ascii="Arial" w:hAnsi="Arial" w:cs="Arial"/>
          <w:noProof/>
        </w:rPr>
        <w:t> </w:t>
      </w:r>
      <w:r w:rsidR="00FA24D1" w:rsidRPr="00C63945">
        <w:rPr>
          <w:rFonts w:ascii="Arial" w:hAnsi="Arial" w:cs="Arial"/>
          <w:noProof/>
        </w:rPr>
        <w:t> </w:t>
      </w:r>
      <w:r w:rsidR="00FA24D1" w:rsidRPr="00C63945">
        <w:rPr>
          <w:rFonts w:ascii="Arial" w:hAnsi="Arial" w:cs="Arial"/>
          <w:noProof/>
        </w:rPr>
        <w:t> </w:t>
      </w:r>
      <w:r w:rsidR="00FA24D1" w:rsidRPr="00C63945">
        <w:rPr>
          <w:rFonts w:ascii="Arial" w:hAnsi="Arial" w:cs="Arial"/>
          <w:noProof/>
        </w:rPr>
        <w:t> </w:t>
      </w:r>
      <w:r w:rsidRPr="00C63945">
        <w:rPr>
          <w:rFonts w:ascii="Arial" w:hAnsi="Arial" w:cs="Arial"/>
        </w:rPr>
        <w:fldChar w:fldCharType="end"/>
      </w:r>
    </w:p>
    <w:p w:rsidR="00847243" w:rsidRDefault="00847243" w:rsidP="00FA24D1">
      <w:pPr>
        <w:pStyle w:val="ListParagraph"/>
        <w:tabs>
          <w:tab w:val="left" w:pos="5040"/>
        </w:tabs>
        <w:rPr>
          <w:rFonts w:ascii="Arial" w:hAnsi="Arial" w:cs="Arial"/>
        </w:rPr>
      </w:pPr>
    </w:p>
    <w:p w:rsidR="00847243" w:rsidRDefault="00197831" w:rsidP="00FA24D1">
      <w:pPr>
        <w:pStyle w:val="ListParagraph"/>
        <w:tabs>
          <w:tab w:val="left" w:pos="5040"/>
        </w:tabs>
        <w:rPr>
          <w:rFonts w:ascii="Arial" w:hAnsi="Arial" w:cs="Arial"/>
        </w:rPr>
      </w:pPr>
      <w:r>
        <w:rPr>
          <w:rFonts w:ascii="Arial" w:hAnsi="Arial" w:cs="Arial"/>
        </w:rPr>
        <w:t xml:space="preserve">Detailed syllabi and lesson plans will be compiled so that new instructors can step in as needed. </w:t>
      </w:r>
    </w:p>
    <w:p w:rsidR="00F1713F" w:rsidRDefault="00F1713F" w:rsidP="00FA24D1">
      <w:pPr>
        <w:pStyle w:val="ListParagraph"/>
        <w:tabs>
          <w:tab w:val="left" w:pos="5040"/>
        </w:tabs>
        <w:rPr>
          <w:rFonts w:ascii="Arial" w:hAnsi="Arial" w:cs="Arial"/>
        </w:rPr>
      </w:pPr>
    </w:p>
    <w:p w:rsidR="00F1713F" w:rsidRDefault="00F1713F" w:rsidP="00FA24D1">
      <w:pPr>
        <w:pStyle w:val="ListParagraph"/>
        <w:tabs>
          <w:tab w:val="left" w:pos="5040"/>
        </w:tabs>
        <w:rPr>
          <w:rFonts w:ascii="Arial" w:hAnsi="Arial" w:cs="Arial"/>
        </w:rPr>
      </w:pPr>
      <w:r>
        <w:rPr>
          <w:rFonts w:ascii="Arial" w:hAnsi="Arial" w:cs="Arial"/>
        </w:rPr>
        <w:t>Continued interaction with local and state Realtor associations will be needed to facilitate approval and implementation of a distance component to the program.</w:t>
      </w:r>
    </w:p>
    <w:p w:rsidR="00F1713F" w:rsidRDefault="00F1713F" w:rsidP="00FA24D1">
      <w:pPr>
        <w:pStyle w:val="ListParagraph"/>
        <w:tabs>
          <w:tab w:val="left" w:pos="5040"/>
        </w:tabs>
        <w:rPr>
          <w:rFonts w:ascii="Arial" w:hAnsi="Arial" w:cs="Arial"/>
        </w:rPr>
      </w:pPr>
    </w:p>
    <w:p w:rsidR="00F1713F" w:rsidRDefault="00F1713F" w:rsidP="00FA24D1">
      <w:pPr>
        <w:pStyle w:val="ListParagraph"/>
        <w:tabs>
          <w:tab w:val="left" w:pos="5040"/>
        </w:tabs>
        <w:rPr>
          <w:rFonts w:ascii="Arial" w:hAnsi="Arial" w:cs="Arial"/>
        </w:rPr>
      </w:pPr>
      <w:r>
        <w:rPr>
          <w:rFonts w:ascii="Arial" w:hAnsi="Arial" w:cs="Arial"/>
        </w:rPr>
        <w:t>Class surveys will need to be made available earlier so that instructors teaching short-term classes will regularly participate.</w:t>
      </w:r>
    </w:p>
    <w:p w:rsidR="00F1713F" w:rsidRDefault="00F1713F" w:rsidP="00FA24D1">
      <w:pPr>
        <w:pStyle w:val="ListParagraph"/>
        <w:tabs>
          <w:tab w:val="left" w:pos="5040"/>
        </w:tabs>
        <w:rPr>
          <w:rFonts w:ascii="Arial" w:hAnsi="Arial" w:cs="Arial"/>
        </w:rPr>
      </w:pPr>
    </w:p>
    <w:p w:rsidR="00F1713F" w:rsidRDefault="00F1713F" w:rsidP="00FA24D1">
      <w:pPr>
        <w:pStyle w:val="ListParagraph"/>
        <w:tabs>
          <w:tab w:val="left" w:pos="5040"/>
        </w:tabs>
        <w:rPr>
          <w:rFonts w:ascii="Arial" w:hAnsi="Arial" w:cs="Arial"/>
        </w:rPr>
      </w:pPr>
      <w:r>
        <w:rPr>
          <w:rFonts w:ascii="Arial" w:hAnsi="Arial" w:cs="Arial"/>
        </w:rPr>
        <w:t>Success will be evident with delivered syllabi, completed class surveys and a change in statute to allow distance education in pre-license classes.</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A3CBC"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5E6288" w:rsidRDefault="005E6288"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9"/>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288" w:rsidRDefault="005E6288" w:rsidP="0094204C">
      <w:r>
        <w:separator/>
      </w:r>
    </w:p>
  </w:endnote>
  <w:endnote w:type="continuationSeparator" w:id="0">
    <w:p w:rsidR="005E6288" w:rsidRDefault="005E6288"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88" w:rsidRPr="00E16205" w:rsidRDefault="005E6288"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5E6288" w:rsidRDefault="005E6288">
    <w:pPr>
      <w:pStyle w:val="Footer"/>
    </w:pPr>
  </w:p>
  <w:p w:rsidR="005E6288" w:rsidRDefault="005E6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288" w:rsidRDefault="005E6288" w:rsidP="0094204C">
      <w:r>
        <w:separator/>
      </w:r>
    </w:p>
  </w:footnote>
  <w:footnote w:type="continuationSeparator" w:id="0">
    <w:p w:rsidR="005E6288" w:rsidRDefault="005E6288"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98721B"/>
    <w:multiLevelType w:val="hybridMultilevel"/>
    <w:tmpl w:val="71EE4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25FA3"/>
    <w:multiLevelType w:val="hybridMultilevel"/>
    <w:tmpl w:val="E8C43314"/>
    <w:lvl w:ilvl="0" w:tplc="B492E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155F2"/>
    <w:multiLevelType w:val="hybridMultilevel"/>
    <w:tmpl w:val="DB66633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777D80"/>
    <w:multiLevelType w:val="hybridMultilevel"/>
    <w:tmpl w:val="F9AAACF4"/>
    <w:lvl w:ilvl="0" w:tplc="ABF66F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29C3F7F"/>
    <w:multiLevelType w:val="hybridMultilevel"/>
    <w:tmpl w:val="71EE4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3C10697"/>
    <w:multiLevelType w:val="hybridMultilevel"/>
    <w:tmpl w:val="E8C43314"/>
    <w:lvl w:ilvl="0" w:tplc="B492E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0"/>
  </w:num>
  <w:num w:numId="3">
    <w:abstractNumId w:val="26"/>
  </w:num>
  <w:num w:numId="4">
    <w:abstractNumId w:val="12"/>
  </w:num>
  <w:num w:numId="5">
    <w:abstractNumId w:val="15"/>
  </w:num>
  <w:num w:numId="6">
    <w:abstractNumId w:val="10"/>
  </w:num>
  <w:num w:numId="7">
    <w:abstractNumId w:val="13"/>
  </w:num>
  <w:num w:numId="8">
    <w:abstractNumId w:val="16"/>
  </w:num>
  <w:num w:numId="9">
    <w:abstractNumId w:val="25"/>
  </w:num>
  <w:num w:numId="10">
    <w:abstractNumId w:val="22"/>
  </w:num>
  <w:num w:numId="11">
    <w:abstractNumId w:val="11"/>
  </w:num>
  <w:num w:numId="12">
    <w:abstractNumId w:val="2"/>
  </w:num>
  <w:num w:numId="13">
    <w:abstractNumId w:val="4"/>
  </w:num>
  <w:num w:numId="14">
    <w:abstractNumId w:val="23"/>
  </w:num>
  <w:num w:numId="15">
    <w:abstractNumId w:val="19"/>
  </w:num>
  <w:num w:numId="16">
    <w:abstractNumId w:val="6"/>
  </w:num>
  <w:num w:numId="17">
    <w:abstractNumId w:val="8"/>
  </w:num>
  <w:num w:numId="18">
    <w:abstractNumId w:val="14"/>
  </w:num>
  <w:num w:numId="19">
    <w:abstractNumId w:val="5"/>
  </w:num>
  <w:num w:numId="20">
    <w:abstractNumId w:val="9"/>
  </w:num>
  <w:num w:numId="21">
    <w:abstractNumId w:val="10"/>
  </w:num>
  <w:num w:numId="22">
    <w:abstractNumId w:val="24"/>
  </w:num>
  <w:num w:numId="23">
    <w:abstractNumId w:val="7"/>
  </w:num>
  <w:num w:numId="24">
    <w:abstractNumId w:val="27"/>
  </w:num>
  <w:num w:numId="25">
    <w:abstractNumId w:val="27"/>
    <w:lvlOverride w:ilvl="0">
      <w:lvl w:ilvl="0" w:tplc="B492EB2E">
        <w:start w:val="1"/>
        <w:numFmt w:val="decimal"/>
        <w:lvlText w:val="%1."/>
        <w:lvlJc w:val="left"/>
        <w:pPr>
          <w:ind w:left="144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abstractNumId w:val="20"/>
  </w:num>
  <w:num w:numId="27">
    <w:abstractNumId w:val="1"/>
  </w:num>
  <w:num w:numId="28">
    <w:abstractNumId w:val="21"/>
  </w:num>
  <w:num w:numId="29">
    <w:abstractNumId w:val="3"/>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2E63"/>
    <w:rsid w:val="000337E6"/>
    <w:rsid w:val="00034CE6"/>
    <w:rsid w:val="00036DF9"/>
    <w:rsid w:val="00056964"/>
    <w:rsid w:val="000616F3"/>
    <w:rsid w:val="00063778"/>
    <w:rsid w:val="00065129"/>
    <w:rsid w:val="000A4EE0"/>
    <w:rsid w:val="000B0D23"/>
    <w:rsid w:val="000B6524"/>
    <w:rsid w:val="000D3A39"/>
    <w:rsid w:val="000E4EFE"/>
    <w:rsid w:val="0010227C"/>
    <w:rsid w:val="001026AA"/>
    <w:rsid w:val="00115194"/>
    <w:rsid w:val="001201D5"/>
    <w:rsid w:val="00120E81"/>
    <w:rsid w:val="001240D0"/>
    <w:rsid w:val="00183806"/>
    <w:rsid w:val="00184AE5"/>
    <w:rsid w:val="00195B7B"/>
    <w:rsid w:val="00197831"/>
    <w:rsid w:val="001A1B67"/>
    <w:rsid w:val="001B6007"/>
    <w:rsid w:val="001C32C1"/>
    <w:rsid w:val="001D5757"/>
    <w:rsid w:val="001D7080"/>
    <w:rsid w:val="001E7137"/>
    <w:rsid w:val="00223924"/>
    <w:rsid w:val="002245AB"/>
    <w:rsid w:val="0022692B"/>
    <w:rsid w:val="00250C33"/>
    <w:rsid w:val="0025548D"/>
    <w:rsid w:val="00255C18"/>
    <w:rsid w:val="00256114"/>
    <w:rsid w:val="00265A99"/>
    <w:rsid w:val="00266F2F"/>
    <w:rsid w:val="0026791C"/>
    <w:rsid w:val="00281C63"/>
    <w:rsid w:val="00284A0A"/>
    <w:rsid w:val="0028603C"/>
    <w:rsid w:val="002926B0"/>
    <w:rsid w:val="00293D8D"/>
    <w:rsid w:val="002C1797"/>
    <w:rsid w:val="002C56AC"/>
    <w:rsid w:val="002D2748"/>
    <w:rsid w:val="002E175B"/>
    <w:rsid w:val="002E28B0"/>
    <w:rsid w:val="002E548B"/>
    <w:rsid w:val="00303041"/>
    <w:rsid w:val="0030733F"/>
    <w:rsid w:val="00320CDE"/>
    <w:rsid w:val="003233E7"/>
    <w:rsid w:val="003254BC"/>
    <w:rsid w:val="00330692"/>
    <w:rsid w:val="003454F6"/>
    <w:rsid w:val="003604B3"/>
    <w:rsid w:val="003739A5"/>
    <w:rsid w:val="003A298D"/>
    <w:rsid w:val="003A5675"/>
    <w:rsid w:val="003B5176"/>
    <w:rsid w:val="003C1C8E"/>
    <w:rsid w:val="003C1F37"/>
    <w:rsid w:val="003D2587"/>
    <w:rsid w:val="00414645"/>
    <w:rsid w:val="00424E5D"/>
    <w:rsid w:val="00425F46"/>
    <w:rsid w:val="00461386"/>
    <w:rsid w:val="00462D00"/>
    <w:rsid w:val="004712EB"/>
    <w:rsid w:val="0048077F"/>
    <w:rsid w:val="004818E1"/>
    <w:rsid w:val="00481A7E"/>
    <w:rsid w:val="0048427F"/>
    <w:rsid w:val="00493339"/>
    <w:rsid w:val="00495C9D"/>
    <w:rsid w:val="004B7492"/>
    <w:rsid w:val="004C2B30"/>
    <w:rsid w:val="004D3BE1"/>
    <w:rsid w:val="004D3C8C"/>
    <w:rsid w:val="004E1C4B"/>
    <w:rsid w:val="004E47AA"/>
    <w:rsid w:val="004E4BD6"/>
    <w:rsid w:val="004F41D5"/>
    <w:rsid w:val="005131C6"/>
    <w:rsid w:val="00516463"/>
    <w:rsid w:val="0054350A"/>
    <w:rsid w:val="005531E8"/>
    <w:rsid w:val="005546C3"/>
    <w:rsid w:val="00573ECD"/>
    <w:rsid w:val="00585AE0"/>
    <w:rsid w:val="005863ED"/>
    <w:rsid w:val="005864A4"/>
    <w:rsid w:val="005E6288"/>
    <w:rsid w:val="005F2BA2"/>
    <w:rsid w:val="005F7377"/>
    <w:rsid w:val="00602839"/>
    <w:rsid w:val="0061712A"/>
    <w:rsid w:val="006368CC"/>
    <w:rsid w:val="00640611"/>
    <w:rsid w:val="006532D6"/>
    <w:rsid w:val="0065453B"/>
    <w:rsid w:val="006551C4"/>
    <w:rsid w:val="006559C7"/>
    <w:rsid w:val="00660080"/>
    <w:rsid w:val="0066607A"/>
    <w:rsid w:val="006835C1"/>
    <w:rsid w:val="00690A3D"/>
    <w:rsid w:val="0069298C"/>
    <w:rsid w:val="00696F9A"/>
    <w:rsid w:val="006A2AA3"/>
    <w:rsid w:val="006E3686"/>
    <w:rsid w:val="00746675"/>
    <w:rsid w:val="007825CC"/>
    <w:rsid w:val="0078669D"/>
    <w:rsid w:val="00786F00"/>
    <w:rsid w:val="00787B46"/>
    <w:rsid w:val="007C1FEF"/>
    <w:rsid w:val="007C46D3"/>
    <w:rsid w:val="007E5B16"/>
    <w:rsid w:val="007F66F9"/>
    <w:rsid w:val="008056C5"/>
    <w:rsid w:val="00821011"/>
    <w:rsid w:val="00827AE5"/>
    <w:rsid w:val="00847243"/>
    <w:rsid w:val="008631EA"/>
    <w:rsid w:val="008642E1"/>
    <w:rsid w:val="00875A7C"/>
    <w:rsid w:val="00877383"/>
    <w:rsid w:val="008860C1"/>
    <w:rsid w:val="008909D4"/>
    <w:rsid w:val="008942FA"/>
    <w:rsid w:val="00897A68"/>
    <w:rsid w:val="008A2925"/>
    <w:rsid w:val="008A3CBC"/>
    <w:rsid w:val="008B10D5"/>
    <w:rsid w:val="008F3D47"/>
    <w:rsid w:val="0094204C"/>
    <w:rsid w:val="00963DD8"/>
    <w:rsid w:val="009A69F0"/>
    <w:rsid w:val="009C1092"/>
    <w:rsid w:val="009D4970"/>
    <w:rsid w:val="009E2519"/>
    <w:rsid w:val="009F2769"/>
    <w:rsid w:val="00A21E6E"/>
    <w:rsid w:val="00A341DF"/>
    <w:rsid w:val="00A36DEE"/>
    <w:rsid w:val="00A44902"/>
    <w:rsid w:val="00A6078F"/>
    <w:rsid w:val="00A63ACE"/>
    <w:rsid w:val="00A8476F"/>
    <w:rsid w:val="00A9687E"/>
    <w:rsid w:val="00AC0386"/>
    <w:rsid w:val="00AC62F8"/>
    <w:rsid w:val="00AE4AD2"/>
    <w:rsid w:val="00AE5F43"/>
    <w:rsid w:val="00AF61D3"/>
    <w:rsid w:val="00AF6A23"/>
    <w:rsid w:val="00B27095"/>
    <w:rsid w:val="00B44B23"/>
    <w:rsid w:val="00B4625A"/>
    <w:rsid w:val="00B608D5"/>
    <w:rsid w:val="00B71307"/>
    <w:rsid w:val="00B81607"/>
    <w:rsid w:val="00B8227E"/>
    <w:rsid w:val="00BA3246"/>
    <w:rsid w:val="00BC5FF1"/>
    <w:rsid w:val="00BD4A21"/>
    <w:rsid w:val="00BE51FF"/>
    <w:rsid w:val="00BF3561"/>
    <w:rsid w:val="00BF556C"/>
    <w:rsid w:val="00C5365F"/>
    <w:rsid w:val="00C56C48"/>
    <w:rsid w:val="00C63B58"/>
    <w:rsid w:val="00C7001F"/>
    <w:rsid w:val="00C71F16"/>
    <w:rsid w:val="00C800A9"/>
    <w:rsid w:val="00C80222"/>
    <w:rsid w:val="00C86D2C"/>
    <w:rsid w:val="00C90C76"/>
    <w:rsid w:val="00CA10D7"/>
    <w:rsid w:val="00CB09E0"/>
    <w:rsid w:val="00CC66AD"/>
    <w:rsid w:val="00CC69E8"/>
    <w:rsid w:val="00CE06A2"/>
    <w:rsid w:val="00D31DDA"/>
    <w:rsid w:val="00D44D7D"/>
    <w:rsid w:val="00D54428"/>
    <w:rsid w:val="00D57E53"/>
    <w:rsid w:val="00D60F74"/>
    <w:rsid w:val="00D62E3C"/>
    <w:rsid w:val="00D632DC"/>
    <w:rsid w:val="00D708C3"/>
    <w:rsid w:val="00D9644A"/>
    <w:rsid w:val="00DA5E37"/>
    <w:rsid w:val="00DC0672"/>
    <w:rsid w:val="00DD42DB"/>
    <w:rsid w:val="00DF5973"/>
    <w:rsid w:val="00E03FF9"/>
    <w:rsid w:val="00E12E4F"/>
    <w:rsid w:val="00E16205"/>
    <w:rsid w:val="00E25ACC"/>
    <w:rsid w:val="00E47C9E"/>
    <w:rsid w:val="00E501C6"/>
    <w:rsid w:val="00E53EE2"/>
    <w:rsid w:val="00E7049B"/>
    <w:rsid w:val="00E727F2"/>
    <w:rsid w:val="00E73A43"/>
    <w:rsid w:val="00E749F1"/>
    <w:rsid w:val="00E7725D"/>
    <w:rsid w:val="00E87116"/>
    <w:rsid w:val="00E90F22"/>
    <w:rsid w:val="00E96021"/>
    <w:rsid w:val="00E97968"/>
    <w:rsid w:val="00EB3C20"/>
    <w:rsid w:val="00EC0B9E"/>
    <w:rsid w:val="00EC1EB5"/>
    <w:rsid w:val="00ED0C45"/>
    <w:rsid w:val="00ED4142"/>
    <w:rsid w:val="00EF6E21"/>
    <w:rsid w:val="00F0239E"/>
    <w:rsid w:val="00F07EFD"/>
    <w:rsid w:val="00F1164D"/>
    <w:rsid w:val="00F1200D"/>
    <w:rsid w:val="00F154DF"/>
    <w:rsid w:val="00F16CB2"/>
    <w:rsid w:val="00F1713F"/>
    <w:rsid w:val="00F17C08"/>
    <w:rsid w:val="00F27D5C"/>
    <w:rsid w:val="00F60C52"/>
    <w:rsid w:val="00F81080"/>
    <w:rsid w:val="00F86156"/>
    <w:rsid w:val="00FA24D1"/>
    <w:rsid w:val="00FB231A"/>
    <w:rsid w:val="00FC1435"/>
    <w:rsid w:val="00FC45CA"/>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4EDC-737C-4E1C-AF88-A4189E74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4</cp:revision>
  <dcterms:created xsi:type="dcterms:W3CDTF">2011-12-16T22:41:00Z</dcterms:created>
  <dcterms:modified xsi:type="dcterms:W3CDTF">2011-12-16T22:49:00Z</dcterms:modified>
</cp:coreProperties>
</file>