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77C" w:rsidRPr="00F60941" w:rsidRDefault="0054777C" w:rsidP="0054777C">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54777C" w:rsidRDefault="0054777C" w:rsidP="0054777C">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w:t>
      </w:r>
      <w:r w:rsidR="00B055DC">
        <w:rPr>
          <w:rFonts w:ascii="Arial" w:hAnsi="Arial" w:cs="Arial"/>
          <w:b/>
          <w:color w:val="000000" w:themeColor="text1"/>
        </w:rPr>
        <w:t>3</w:t>
      </w:r>
      <w:r>
        <w:rPr>
          <w:rFonts w:ascii="Arial" w:hAnsi="Arial" w:cs="Arial"/>
          <w:b/>
          <w:color w:val="000000" w:themeColor="text1"/>
        </w:rPr>
        <w:t>-1</w:t>
      </w:r>
      <w:r w:rsidR="00B055DC">
        <w:rPr>
          <w:rFonts w:ascii="Arial" w:hAnsi="Arial" w:cs="Arial"/>
          <w:b/>
          <w:color w:val="000000" w:themeColor="text1"/>
        </w:rPr>
        <w:t>4</w:t>
      </w:r>
    </w:p>
    <w:p w:rsidR="0054777C" w:rsidRDefault="0054777C" w:rsidP="0054777C">
      <w:pPr>
        <w:jc w:val="center"/>
        <w:rPr>
          <w:rFonts w:ascii="Arial" w:hAnsi="Arial" w:cs="Arial"/>
          <w:b/>
          <w:color w:val="000000" w:themeColor="text1"/>
        </w:rPr>
      </w:pPr>
    </w:p>
    <w:p w:rsidR="0054777C" w:rsidRPr="00CD2613" w:rsidRDefault="0054777C" w:rsidP="0054777C">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B055DC">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0410 - Accounting</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sidRPr="00B43DE0">
        <w:rPr>
          <w:rFonts w:ascii="Arial" w:hAnsi="Arial" w:cs="Arial"/>
          <w:b/>
          <w:color w:val="000000" w:themeColor="text1"/>
          <w:u w:val="single"/>
        </w:rPr>
        <w:t>Year of Last Program Review:</w:t>
      </w:r>
      <w:r>
        <w:rPr>
          <w:rFonts w:ascii="Arial" w:hAnsi="Arial" w:cs="Arial"/>
          <w:color w:val="000000" w:themeColor="text1"/>
          <w:u w:val="single"/>
        </w:rPr>
        <w:t xml:space="preserve"> </w:t>
      </w:r>
      <w:r>
        <w:rPr>
          <w:rFonts w:ascii="Arial" w:hAnsi="Arial" w:cs="Arial"/>
          <w:color w:val="000000" w:themeColor="text1"/>
        </w:rPr>
        <w:t xml:space="preserve">  FY 20</w:t>
      </w:r>
      <w:r w:rsidR="00637591">
        <w:rPr>
          <w:rFonts w:ascii="Arial" w:hAnsi="Arial" w:cs="Arial"/>
          <w:color w:val="000000" w:themeColor="text1"/>
        </w:rPr>
        <w:t>08</w:t>
      </w:r>
      <w:r>
        <w:rPr>
          <w:rFonts w:ascii="Arial" w:hAnsi="Arial" w:cs="Arial"/>
          <w:color w:val="000000" w:themeColor="text1"/>
        </w:rPr>
        <w:t>-</w:t>
      </w:r>
      <w:r w:rsidR="006B0168">
        <w:rPr>
          <w:rFonts w:ascii="Arial" w:hAnsi="Arial" w:cs="Arial"/>
          <w:color w:val="000000" w:themeColor="text1"/>
        </w:rPr>
        <w:t>20</w:t>
      </w:r>
      <w:r w:rsidR="00637591">
        <w:rPr>
          <w:rFonts w:ascii="Arial" w:hAnsi="Arial" w:cs="Arial"/>
          <w:color w:val="000000" w:themeColor="text1"/>
        </w:rPr>
        <w:t>09</w:t>
      </w:r>
    </w:p>
    <w:p w:rsidR="009A2F4E" w:rsidRPr="009A2F4E" w:rsidRDefault="009A2F4E" w:rsidP="001026AA">
      <w:pPr>
        <w:tabs>
          <w:tab w:val="left" w:pos="7920"/>
        </w:tabs>
        <w:spacing w:after="240"/>
        <w:rPr>
          <w:rFonts w:ascii="Arial" w:hAnsi="Arial" w:cs="Arial"/>
          <w:color w:val="000000" w:themeColor="text1"/>
        </w:rPr>
      </w:pPr>
      <w:r w:rsidRPr="00B43DE0">
        <w:rPr>
          <w:rFonts w:ascii="Arial" w:hAnsi="Arial" w:cs="Arial"/>
          <w:b/>
          <w:color w:val="000000" w:themeColor="text1"/>
          <w:u w:val="single"/>
        </w:rPr>
        <w:t>Year of Next Program Review:</w:t>
      </w:r>
      <w:r w:rsidRPr="00B43DE0">
        <w:rPr>
          <w:rFonts w:ascii="Arial" w:hAnsi="Arial" w:cs="Arial"/>
          <w:b/>
          <w:color w:val="000000" w:themeColor="text1"/>
        </w:rPr>
        <w:t xml:space="preserve">  </w:t>
      </w:r>
      <w:r>
        <w:rPr>
          <w:rFonts w:ascii="Arial" w:hAnsi="Arial" w:cs="Arial"/>
          <w:color w:val="000000" w:themeColor="text1"/>
        </w:rPr>
        <w:t>FY 20</w:t>
      </w:r>
      <w:r w:rsidR="00637591">
        <w:rPr>
          <w:rFonts w:ascii="Arial" w:hAnsi="Arial" w:cs="Arial"/>
          <w:color w:val="000000" w:themeColor="text1"/>
        </w:rPr>
        <w:t>15</w:t>
      </w:r>
      <w:r>
        <w:rPr>
          <w:rFonts w:ascii="Arial" w:hAnsi="Arial" w:cs="Arial"/>
          <w:color w:val="000000" w:themeColor="text1"/>
        </w:rPr>
        <w:t>-201</w:t>
      </w:r>
      <w:r w:rsidR="006375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noProof/>
        </w:rPr>
      </w:pPr>
    </w:p>
    <w:p w:rsidR="00637591" w:rsidRDefault="00637591" w:rsidP="00585766">
      <w:pPr>
        <w:rPr>
          <w:rFonts w:ascii="Arial" w:hAnsi="Arial" w:cs="Arial"/>
          <w:noProof/>
          <w:color w:val="000000" w:themeColor="text1"/>
        </w:rPr>
      </w:pPr>
    </w:p>
    <w:p w:rsidR="00637591" w:rsidRDefault="00D67139" w:rsidP="00585766">
      <w:pPr>
        <w:rPr>
          <w:rFonts w:ascii="Arial" w:hAnsi="Arial" w:cs="Arial"/>
          <w:color w:val="000000" w:themeColor="text1"/>
        </w:rPr>
      </w:pPr>
      <w:r>
        <w:rPr>
          <w:noProof/>
        </w:rPr>
        <w:drawing>
          <wp:inline distT="0" distB="0" distL="0" distR="0" wp14:anchorId="5FFA8428" wp14:editId="0C7EB844">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Default="00585766" w:rsidP="008258D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0447FF" w:rsidRPr="008258DA" w:rsidRDefault="000447FF" w:rsidP="008258DA">
      <w:pPr>
        <w:rPr>
          <w:rFonts w:ascii="Arial" w:hAnsi="Arial" w:cs="Arial"/>
          <w:color w:val="000000" w:themeColor="text1"/>
        </w:rPr>
      </w:pPr>
    </w:p>
    <w:p w:rsidR="004F2F1C" w:rsidRDefault="0010140A" w:rsidP="000447FF">
      <w:pPr>
        <w:rPr>
          <w:rFonts w:ascii="Arial" w:hAnsi="Arial" w:cs="Arial"/>
          <w:color w:val="000000" w:themeColor="text1"/>
        </w:rPr>
      </w:pPr>
      <w:r>
        <w:rPr>
          <w:rFonts w:ascii="Arial" w:hAnsi="Arial" w:cs="Arial"/>
          <w:color w:val="000000" w:themeColor="text1"/>
        </w:rPr>
        <w:t>The AY 12-13 saw a</w:t>
      </w:r>
      <w:r w:rsidR="004F2F1C">
        <w:rPr>
          <w:rFonts w:ascii="Arial" w:hAnsi="Arial" w:cs="Arial"/>
          <w:color w:val="000000" w:themeColor="text1"/>
        </w:rPr>
        <w:t xml:space="preserve"> slight de</w:t>
      </w:r>
      <w:r>
        <w:rPr>
          <w:rFonts w:ascii="Arial" w:hAnsi="Arial" w:cs="Arial"/>
          <w:color w:val="000000" w:themeColor="text1"/>
        </w:rPr>
        <w:t xml:space="preserve">crease in the number of students completing a degree or certificate. This was due in part to the </w:t>
      </w:r>
      <w:r w:rsidR="004F2F1C">
        <w:rPr>
          <w:rFonts w:ascii="Arial" w:hAnsi="Arial" w:cs="Arial"/>
          <w:color w:val="000000" w:themeColor="text1"/>
        </w:rPr>
        <w:t>improvement in the economy, slowing down student degree completion.</w:t>
      </w:r>
    </w:p>
    <w:p w:rsidR="004F2F1C" w:rsidRDefault="004F2F1C" w:rsidP="000447FF">
      <w:pPr>
        <w:rPr>
          <w:rFonts w:ascii="Arial" w:hAnsi="Arial" w:cs="Arial"/>
          <w:color w:val="000000" w:themeColor="text1"/>
        </w:rPr>
      </w:pPr>
    </w:p>
    <w:p w:rsidR="000447FF" w:rsidRPr="000447FF" w:rsidRDefault="0010140A" w:rsidP="000447FF">
      <w:pPr>
        <w:rPr>
          <w:rFonts w:ascii="Arial" w:hAnsi="Arial" w:cs="Arial"/>
          <w:color w:val="000000" w:themeColor="text1"/>
        </w:rPr>
      </w:pPr>
      <w:r>
        <w:rPr>
          <w:rFonts w:ascii="Arial" w:hAnsi="Arial" w:cs="Arial"/>
          <w:color w:val="000000" w:themeColor="text1"/>
        </w:rPr>
        <w:t xml:space="preserve">During the AY 12-13, the Accounting Department provided students with transitions courses, the course as it was in the quarter system, to allow </w:t>
      </w:r>
      <w:r w:rsidR="002D668C">
        <w:rPr>
          <w:rFonts w:ascii="Arial" w:hAnsi="Arial" w:cs="Arial"/>
          <w:color w:val="000000" w:themeColor="text1"/>
        </w:rPr>
        <w:t xml:space="preserve">students close to completing their quarter system degree </w:t>
      </w:r>
      <w:r>
        <w:rPr>
          <w:rFonts w:ascii="Arial" w:hAnsi="Arial" w:cs="Arial"/>
          <w:color w:val="000000" w:themeColor="text1"/>
        </w:rPr>
        <w:t xml:space="preserve">an opportunity to finish their degree or </w:t>
      </w:r>
      <w:r w:rsidR="002D668C">
        <w:rPr>
          <w:rFonts w:ascii="Arial" w:hAnsi="Arial" w:cs="Arial"/>
          <w:color w:val="000000" w:themeColor="text1"/>
        </w:rPr>
        <w:t xml:space="preserve">certificate. The ACC.AAS degree, quarter system degree, </w:t>
      </w:r>
      <w:r>
        <w:rPr>
          <w:rFonts w:ascii="Arial" w:hAnsi="Arial" w:cs="Arial"/>
          <w:color w:val="000000" w:themeColor="text1"/>
        </w:rPr>
        <w:t xml:space="preserve">had six students complete in FA12, seven </w:t>
      </w:r>
      <w:r w:rsidR="002D668C">
        <w:rPr>
          <w:rFonts w:ascii="Arial" w:hAnsi="Arial" w:cs="Arial"/>
          <w:color w:val="000000" w:themeColor="text1"/>
        </w:rPr>
        <w:t>students complete in SP13, and one</w:t>
      </w:r>
      <w:r>
        <w:rPr>
          <w:rFonts w:ascii="Arial" w:hAnsi="Arial" w:cs="Arial"/>
          <w:color w:val="000000" w:themeColor="text1"/>
        </w:rPr>
        <w:t xml:space="preserve"> student complete in SU1</w:t>
      </w:r>
      <w:r w:rsidR="002D668C">
        <w:rPr>
          <w:rFonts w:ascii="Arial" w:hAnsi="Arial" w:cs="Arial"/>
          <w:color w:val="000000" w:themeColor="text1"/>
        </w:rPr>
        <w:t>3</w:t>
      </w:r>
      <w:r>
        <w:rPr>
          <w:rFonts w:ascii="Arial" w:hAnsi="Arial" w:cs="Arial"/>
          <w:color w:val="000000" w:themeColor="text1"/>
        </w:rPr>
        <w:t xml:space="preserve"> for a total </w:t>
      </w:r>
      <w:r>
        <w:rPr>
          <w:rFonts w:ascii="Arial" w:hAnsi="Arial" w:cs="Arial"/>
          <w:color w:val="000000" w:themeColor="text1"/>
        </w:rPr>
        <w:lastRenderedPageBreak/>
        <w:t xml:space="preserve">of 14 graduates. </w:t>
      </w:r>
      <w:r w:rsidR="002D668C">
        <w:rPr>
          <w:rFonts w:ascii="Arial" w:hAnsi="Arial" w:cs="Arial"/>
          <w:color w:val="000000" w:themeColor="text1"/>
        </w:rPr>
        <w:t xml:space="preserve">The TAXP.STC certificate, quarter system certificate, had one student complete in FA12. Some students moved from the quarter system degree to the semester system degree in order to facilitate a timely completion. </w:t>
      </w:r>
      <w:r>
        <w:rPr>
          <w:rFonts w:ascii="Arial" w:hAnsi="Arial" w:cs="Arial"/>
          <w:color w:val="000000" w:themeColor="text1"/>
        </w:rPr>
        <w:t>The ACC.S.AAS degree</w:t>
      </w:r>
      <w:r w:rsidR="002D668C">
        <w:rPr>
          <w:rFonts w:ascii="Arial" w:hAnsi="Arial" w:cs="Arial"/>
          <w:color w:val="000000" w:themeColor="text1"/>
        </w:rPr>
        <w:t>, semester system degree,</w:t>
      </w:r>
      <w:r>
        <w:rPr>
          <w:rFonts w:ascii="Arial" w:hAnsi="Arial" w:cs="Arial"/>
          <w:color w:val="000000" w:themeColor="text1"/>
        </w:rPr>
        <w:t xml:space="preserve"> had one student complete in FA12, nineteen students complete in SP13, and two students complete in SU13 for a total of 22 graduates. The TAXP.S.STC certificate</w:t>
      </w:r>
      <w:r w:rsidR="002D668C">
        <w:rPr>
          <w:rFonts w:ascii="Arial" w:hAnsi="Arial" w:cs="Arial"/>
          <w:color w:val="000000" w:themeColor="text1"/>
        </w:rPr>
        <w:t>, semester system certificate, had one student complete in FA</w:t>
      </w:r>
      <w:r>
        <w:rPr>
          <w:rFonts w:ascii="Arial" w:hAnsi="Arial" w:cs="Arial"/>
          <w:color w:val="000000" w:themeColor="text1"/>
        </w:rPr>
        <w:t xml:space="preserve">12, and ten students complete in SP13 for a total of </w:t>
      </w:r>
      <w:r w:rsidR="002D668C">
        <w:rPr>
          <w:rFonts w:ascii="Arial" w:hAnsi="Arial" w:cs="Arial"/>
          <w:color w:val="000000" w:themeColor="text1"/>
        </w:rPr>
        <w:t>11 completers.</w:t>
      </w:r>
    </w:p>
    <w:p w:rsidR="00B055DC" w:rsidRDefault="00B055DC">
      <w:pPr>
        <w:spacing w:after="200" w:line="276" w:lineRule="auto"/>
        <w:rPr>
          <w:rFonts w:ascii="Arial" w:hAnsi="Arial" w:cs="Arial"/>
          <w:b/>
          <w:color w:val="000000" w:themeColor="text1"/>
        </w:rPr>
      </w:pPr>
    </w:p>
    <w:p w:rsidR="00585766"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B055DC" w:rsidRPr="001D3E1D" w:rsidRDefault="00B055DC" w:rsidP="001D3E1D">
      <w:pPr>
        <w:rPr>
          <w:rFonts w:ascii="Arial" w:hAnsi="Arial" w:cs="Arial"/>
          <w:b/>
          <w:color w:val="000000" w:themeColor="text1"/>
        </w:rPr>
      </w:pPr>
    </w:p>
    <w:p w:rsidR="00585766" w:rsidRDefault="009A4106" w:rsidP="00585766">
      <w:pPr>
        <w:rPr>
          <w:rFonts w:ascii="Arial" w:hAnsi="Arial" w:cs="Arial"/>
          <w:color w:val="000000" w:themeColor="text1"/>
        </w:rPr>
      </w:pPr>
      <w:r>
        <w:rPr>
          <w:noProof/>
        </w:rPr>
        <w:drawing>
          <wp:inline distT="0" distB="0" distL="0" distR="0" wp14:anchorId="7485AF72" wp14:editId="21641821">
            <wp:extent cx="6391275" cy="26193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47FF" w:rsidRDefault="000447FF" w:rsidP="000447FF">
      <w:pPr>
        <w:spacing w:after="200" w:line="276" w:lineRule="auto"/>
        <w:rPr>
          <w:rFonts w:ascii="Arial" w:hAnsi="Arial" w:cs="Arial"/>
          <w:i/>
          <w:color w:val="000000" w:themeColor="text1"/>
        </w:rPr>
      </w:pPr>
    </w:p>
    <w:p w:rsidR="001D736E" w:rsidRPr="00B93382" w:rsidRDefault="001D3E1D" w:rsidP="000447FF">
      <w:pPr>
        <w:spacing w:after="200" w:line="276" w:lineRule="auto"/>
        <w:rPr>
          <w:rFonts w:ascii="Arial" w:hAnsi="Arial" w:cs="Arial"/>
          <w:i/>
          <w:color w:val="000000" w:themeColor="text1"/>
        </w:rPr>
      </w:pPr>
      <w:r w:rsidRPr="00B93382">
        <w:rPr>
          <w:rFonts w:ascii="Arial" w:hAnsi="Arial" w:cs="Arial"/>
          <w:i/>
          <w:color w:val="000000" w:themeColor="text1"/>
        </w:rPr>
        <w:t>Please provide an interpretation and analysis of the Course Success Trend Data (Raw Data is located in Appendix A)</w:t>
      </w:r>
      <w:r w:rsidR="00A201E2" w:rsidRPr="00B93382">
        <w:rPr>
          <w:rFonts w:ascii="Arial" w:hAnsi="Arial" w:cs="Arial"/>
          <w:i/>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2A5CDA" w:rsidRDefault="002A5CDA" w:rsidP="000447FF">
      <w:pPr>
        <w:rPr>
          <w:rFonts w:ascii="Arial" w:hAnsi="Arial" w:cs="Arial"/>
          <w:color w:val="000000" w:themeColor="text1"/>
        </w:rPr>
      </w:pPr>
      <w:r>
        <w:rPr>
          <w:rFonts w:ascii="Arial" w:hAnsi="Arial" w:cs="Arial"/>
          <w:color w:val="000000" w:themeColor="text1"/>
        </w:rPr>
        <w:t>The data above for FY 07-08 through FY11-12 is based on a quarter system of 4 quarters with approximately 12 weeks in a quarter. The data above for FY 12-13 is based on a semester system of 2 semesters of 16 weeks with a shortened summer term of 12 weeks.</w:t>
      </w:r>
    </w:p>
    <w:p w:rsidR="00974411" w:rsidRDefault="001B16D8" w:rsidP="000447FF">
      <w:pPr>
        <w:rPr>
          <w:rFonts w:ascii="Arial" w:hAnsi="Arial" w:cs="Arial"/>
          <w:color w:val="000000" w:themeColor="text1"/>
        </w:rPr>
      </w:pPr>
      <w:r>
        <w:rPr>
          <w:rFonts w:ascii="Arial" w:hAnsi="Arial" w:cs="Arial"/>
          <w:color w:val="000000" w:themeColor="text1"/>
        </w:rPr>
        <w:t xml:space="preserve">The overall Accounting Department success rate based on the chart above shows a decrease from a 5-year average on quarters of 66.14% to 62.1% average for the first year on the semester system or a drop of approximately 6%. The Business and Public Services overall success rate based on the chart above shows a decrease from a 5-year average on quarters of 72.22% to 67.9% average for the first year on the semester system or a drop of approximately 6%. The </w:t>
      </w:r>
      <w:proofErr w:type="spellStart"/>
      <w:r>
        <w:rPr>
          <w:rFonts w:ascii="Arial" w:hAnsi="Arial" w:cs="Arial"/>
          <w:color w:val="000000" w:themeColor="text1"/>
        </w:rPr>
        <w:t>collegewide</w:t>
      </w:r>
      <w:proofErr w:type="spellEnd"/>
      <w:r>
        <w:rPr>
          <w:rFonts w:ascii="Arial" w:hAnsi="Arial" w:cs="Arial"/>
          <w:color w:val="000000" w:themeColor="text1"/>
        </w:rPr>
        <w:t xml:space="preserve"> success rate based on the chart above shows a decrease from a 5-year average on quarters of </w:t>
      </w:r>
      <w:r w:rsidR="00AA7335">
        <w:rPr>
          <w:rFonts w:ascii="Arial" w:hAnsi="Arial" w:cs="Arial"/>
          <w:color w:val="000000" w:themeColor="text1"/>
        </w:rPr>
        <w:t xml:space="preserve">70.5% to 67.8% average for the first year on the semester system or a drop of approximately 4%. </w:t>
      </w:r>
    </w:p>
    <w:p w:rsidR="00974411" w:rsidRDefault="00974411" w:rsidP="000447FF">
      <w:pPr>
        <w:rPr>
          <w:rFonts w:ascii="Arial" w:hAnsi="Arial" w:cs="Arial"/>
          <w:color w:val="000000" w:themeColor="text1"/>
        </w:rPr>
      </w:pPr>
      <w:r>
        <w:rPr>
          <w:rFonts w:ascii="Arial" w:hAnsi="Arial" w:cs="Arial"/>
          <w:color w:val="000000" w:themeColor="text1"/>
        </w:rPr>
        <w:lastRenderedPageBreak/>
        <w:t xml:space="preserve">The Accounting Department has four TAG (Transfer Assurance Guide) courses that follow a state mandated curriculum. </w:t>
      </w:r>
      <w:r w:rsidR="00AA7335">
        <w:rPr>
          <w:rFonts w:ascii="Arial" w:hAnsi="Arial" w:cs="Arial"/>
          <w:color w:val="000000" w:themeColor="text1"/>
        </w:rPr>
        <w:t xml:space="preserve">Analysis of the data </w:t>
      </w:r>
      <w:r>
        <w:rPr>
          <w:rFonts w:ascii="Arial" w:hAnsi="Arial" w:cs="Arial"/>
          <w:color w:val="000000" w:themeColor="text1"/>
        </w:rPr>
        <w:t>of those four TAG courses reflects:</w:t>
      </w:r>
    </w:p>
    <w:p w:rsidR="00974411" w:rsidRDefault="00AA7335" w:rsidP="000447FF">
      <w:pPr>
        <w:rPr>
          <w:rFonts w:ascii="Arial" w:hAnsi="Arial" w:cs="Arial"/>
          <w:color w:val="000000" w:themeColor="text1"/>
        </w:rPr>
      </w:pPr>
      <w:r>
        <w:rPr>
          <w:rFonts w:ascii="Arial" w:hAnsi="Arial" w:cs="Arial"/>
          <w:color w:val="000000" w:themeColor="text1"/>
        </w:rPr>
        <w:t>ACC1210, Principles of Fin</w:t>
      </w:r>
      <w:r w:rsidR="00D216E6">
        <w:rPr>
          <w:rFonts w:ascii="Arial" w:hAnsi="Arial" w:cs="Arial"/>
          <w:color w:val="000000" w:themeColor="text1"/>
        </w:rPr>
        <w:t xml:space="preserve">ancial Accounting, a TAG course and </w:t>
      </w:r>
      <w:r>
        <w:rPr>
          <w:rFonts w:ascii="Arial" w:hAnsi="Arial" w:cs="Arial"/>
          <w:color w:val="000000" w:themeColor="text1"/>
        </w:rPr>
        <w:t xml:space="preserve">the </w:t>
      </w:r>
      <w:r w:rsidR="00D216E6">
        <w:rPr>
          <w:rFonts w:ascii="Arial" w:hAnsi="Arial" w:cs="Arial"/>
          <w:color w:val="000000" w:themeColor="text1"/>
        </w:rPr>
        <w:t xml:space="preserve">course with the </w:t>
      </w:r>
      <w:r>
        <w:rPr>
          <w:rFonts w:ascii="Arial" w:hAnsi="Arial" w:cs="Arial"/>
          <w:color w:val="000000" w:themeColor="text1"/>
        </w:rPr>
        <w:t xml:space="preserve">highest enrollment in the Accounting Department, had an overall success rate of </w:t>
      </w:r>
      <w:r w:rsidR="008131BA">
        <w:rPr>
          <w:rFonts w:ascii="Arial" w:hAnsi="Arial" w:cs="Arial"/>
          <w:color w:val="000000" w:themeColor="text1"/>
        </w:rPr>
        <w:t>53.9% for the first year on the semester system compared to a 5-year average on quarters of 56.78% or a drop of approximately 5%.</w:t>
      </w:r>
      <w:r w:rsidR="00BE5B2C">
        <w:rPr>
          <w:rFonts w:ascii="Arial" w:hAnsi="Arial" w:cs="Arial"/>
          <w:color w:val="000000" w:themeColor="text1"/>
        </w:rPr>
        <w:t xml:space="preserve"> This course was redesigned during the AY 11-12 for delivery during AY 12-13. The redesign used a contextual approach instead of a lecture based approach to spend more time in the classroom on activities to reinforce the concepts from the textbook. This approach did not appear to improve student success overall. However, it is difficult to determine the extent of any impact this had since the move to semesters seems to have had a negative impact on student success overall.</w:t>
      </w:r>
    </w:p>
    <w:p w:rsidR="00D216E6" w:rsidRDefault="008131BA" w:rsidP="000447FF">
      <w:pPr>
        <w:rPr>
          <w:rFonts w:ascii="Arial" w:hAnsi="Arial" w:cs="Arial"/>
          <w:color w:val="000000" w:themeColor="text1"/>
        </w:rPr>
      </w:pPr>
      <w:r>
        <w:rPr>
          <w:rFonts w:ascii="Arial" w:hAnsi="Arial" w:cs="Arial"/>
          <w:color w:val="000000" w:themeColor="text1"/>
        </w:rPr>
        <w:t>ACC 1220, Principles of Managerial Accounting, a TAG course, showed an overall success rate of 68.6% for the first year on the semester system compared to an overall success rate of 73% on quarters or a drop of approximately 6%.</w:t>
      </w:r>
    </w:p>
    <w:p w:rsidR="00D216E6" w:rsidRDefault="00D216E6" w:rsidP="000447FF">
      <w:pPr>
        <w:rPr>
          <w:rFonts w:ascii="Arial" w:hAnsi="Arial" w:cs="Arial"/>
          <w:color w:val="000000" w:themeColor="text1"/>
        </w:rPr>
      </w:pPr>
      <w:r>
        <w:rPr>
          <w:rFonts w:ascii="Arial" w:hAnsi="Arial" w:cs="Arial"/>
          <w:color w:val="000000" w:themeColor="text1"/>
        </w:rPr>
        <w:t>ECO 2160, Principles of Macroeconomics, had an overall success rate of 55.8% for the first year on the semester system compared to a 5-year average on quarters of 56.96% or a drop of approximately 2%.</w:t>
      </w:r>
    </w:p>
    <w:p w:rsidR="00D216E6" w:rsidRDefault="00D216E6" w:rsidP="000447FF">
      <w:pPr>
        <w:rPr>
          <w:rFonts w:ascii="Arial" w:hAnsi="Arial" w:cs="Arial"/>
          <w:color w:val="000000" w:themeColor="text1"/>
        </w:rPr>
      </w:pPr>
      <w:r>
        <w:rPr>
          <w:rFonts w:ascii="Arial" w:hAnsi="Arial" w:cs="Arial"/>
          <w:color w:val="000000" w:themeColor="text1"/>
        </w:rPr>
        <w:t xml:space="preserve">ECO 2180, Principles of Microeconomics, had an overall success rate of </w:t>
      </w:r>
      <w:r w:rsidR="002A5CDA">
        <w:rPr>
          <w:rFonts w:ascii="Arial" w:hAnsi="Arial" w:cs="Arial"/>
          <w:color w:val="000000" w:themeColor="text1"/>
        </w:rPr>
        <w:t>54</w:t>
      </w:r>
      <w:r>
        <w:rPr>
          <w:rFonts w:ascii="Arial" w:hAnsi="Arial" w:cs="Arial"/>
          <w:color w:val="000000" w:themeColor="text1"/>
        </w:rPr>
        <w:t>.</w:t>
      </w:r>
      <w:r w:rsidR="002A5CDA">
        <w:rPr>
          <w:rFonts w:ascii="Arial" w:hAnsi="Arial" w:cs="Arial"/>
          <w:color w:val="000000" w:themeColor="text1"/>
        </w:rPr>
        <w:t>9</w:t>
      </w:r>
      <w:r>
        <w:rPr>
          <w:rFonts w:ascii="Arial" w:hAnsi="Arial" w:cs="Arial"/>
          <w:color w:val="000000" w:themeColor="text1"/>
        </w:rPr>
        <w:t>% for the first year on the semester system compared to a 5-year overage on quarters of 58.28</w:t>
      </w:r>
      <w:r w:rsidR="00BE5B2C">
        <w:rPr>
          <w:rFonts w:ascii="Arial" w:hAnsi="Arial" w:cs="Arial"/>
          <w:color w:val="000000" w:themeColor="text1"/>
        </w:rPr>
        <w:t>% an increase of approximately 6</w:t>
      </w:r>
      <w:r>
        <w:rPr>
          <w:rFonts w:ascii="Arial" w:hAnsi="Arial" w:cs="Arial"/>
          <w:color w:val="000000" w:themeColor="text1"/>
        </w:rPr>
        <w:t xml:space="preserve"> %. </w:t>
      </w:r>
    </w:p>
    <w:p w:rsidR="001D3E1D" w:rsidRDefault="00D216E6" w:rsidP="000447FF">
      <w:pPr>
        <w:rPr>
          <w:rFonts w:ascii="Arial" w:hAnsi="Arial" w:cs="Arial"/>
          <w:color w:val="000000" w:themeColor="text1"/>
        </w:rPr>
      </w:pPr>
      <w:r>
        <w:rPr>
          <w:rFonts w:ascii="Arial" w:hAnsi="Arial" w:cs="Arial"/>
          <w:color w:val="000000" w:themeColor="text1"/>
        </w:rPr>
        <w:t xml:space="preserve">In the upper level accounting courses, </w:t>
      </w:r>
      <w:r w:rsidR="00974411">
        <w:rPr>
          <w:rFonts w:ascii="Arial" w:hAnsi="Arial" w:cs="Arial"/>
          <w:color w:val="000000" w:themeColor="text1"/>
        </w:rPr>
        <w:t xml:space="preserve">ACC2321, Federal Taxation, showed a decrease in success from a 5-year average of 65.44% to 44.2% for the first year on the semester system. The overall success rate for the online sections </w:t>
      </w:r>
      <w:r>
        <w:rPr>
          <w:rFonts w:ascii="Arial" w:hAnsi="Arial" w:cs="Arial"/>
          <w:color w:val="000000" w:themeColor="text1"/>
        </w:rPr>
        <w:t xml:space="preserve">during the first year on semesters </w:t>
      </w:r>
      <w:r w:rsidR="00974411">
        <w:rPr>
          <w:rFonts w:ascii="Arial" w:hAnsi="Arial" w:cs="Arial"/>
          <w:color w:val="000000" w:themeColor="text1"/>
        </w:rPr>
        <w:t xml:space="preserve">was 30.85% as compared to 72.73% for the face-to-face sections. </w:t>
      </w:r>
    </w:p>
    <w:p w:rsidR="00974411" w:rsidRDefault="00974411" w:rsidP="000447FF">
      <w:pPr>
        <w:rPr>
          <w:rFonts w:ascii="Arial" w:hAnsi="Arial" w:cs="Arial"/>
          <w:color w:val="000000" w:themeColor="text1"/>
        </w:rPr>
      </w:pPr>
      <w:r>
        <w:rPr>
          <w:rFonts w:ascii="Arial" w:hAnsi="Arial" w:cs="Arial"/>
          <w:color w:val="000000" w:themeColor="text1"/>
        </w:rPr>
        <w:t xml:space="preserve">The </w:t>
      </w:r>
      <w:r w:rsidR="002A5CDA">
        <w:rPr>
          <w:rFonts w:ascii="Arial" w:hAnsi="Arial" w:cs="Arial"/>
          <w:color w:val="000000" w:themeColor="text1"/>
        </w:rPr>
        <w:t>remainder</w:t>
      </w:r>
      <w:r>
        <w:rPr>
          <w:rFonts w:ascii="Arial" w:hAnsi="Arial" w:cs="Arial"/>
          <w:color w:val="000000" w:themeColor="text1"/>
        </w:rPr>
        <w:t xml:space="preserve"> of the upper level</w:t>
      </w:r>
      <w:r w:rsidR="002A5CDA">
        <w:rPr>
          <w:rFonts w:ascii="Arial" w:hAnsi="Arial" w:cs="Arial"/>
          <w:color w:val="000000" w:themeColor="text1"/>
        </w:rPr>
        <w:t xml:space="preserve"> accounting courses remain</w:t>
      </w:r>
      <w:r>
        <w:rPr>
          <w:rFonts w:ascii="Arial" w:hAnsi="Arial" w:cs="Arial"/>
          <w:color w:val="000000" w:themeColor="text1"/>
        </w:rPr>
        <w:t xml:space="preserve"> at an average success rate of 75% or higher</w:t>
      </w:r>
      <w:r w:rsidR="00E84E1D">
        <w:rPr>
          <w:rFonts w:ascii="Arial" w:hAnsi="Arial" w:cs="Arial"/>
          <w:color w:val="000000" w:themeColor="text1"/>
        </w:rPr>
        <w:t xml:space="preserve"> which is above the minimum 70% performance level for accounting majors.</w:t>
      </w:r>
    </w:p>
    <w:p w:rsidR="008258DA" w:rsidRDefault="008258DA" w:rsidP="008258DA">
      <w:pPr>
        <w:rPr>
          <w:rFonts w:ascii="Arial" w:hAnsi="Arial" w:cs="Arial"/>
          <w:color w:val="000000" w:themeColor="text1"/>
        </w:rPr>
      </w:pPr>
    </w:p>
    <w:tbl>
      <w:tblPr>
        <w:tblW w:w="9648" w:type="dxa"/>
        <w:tblLook w:val="04A0" w:firstRow="1" w:lastRow="0" w:firstColumn="1" w:lastColumn="0" w:noHBand="0" w:noVBand="1"/>
      </w:tblPr>
      <w:tblGrid>
        <w:gridCol w:w="1908"/>
        <w:gridCol w:w="1080"/>
        <w:gridCol w:w="1080"/>
        <w:gridCol w:w="1080"/>
        <w:gridCol w:w="1080"/>
        <w:gridCol w:w="1170"/>
        <w:gridCol w:w="1170"/>
        <w:gridCol w:w="1080"/>
      </w:tblGrid>
      <w:tr w:rsidR="008131BA" w:rsidRPr="008131BA" w:rsidTr="00532A26">
        <w:trPr>
          <w:trHeight w:val="525"/>
        </w:trPr>
        <w:tc>
          <w:tcPr>
            <w:tcW w:w="9648" w:type="dxa"/>
            <w:gridSpan w:val="8"/>
            <w:tcBorders>
              <w:top w:val="nil"/>
              <w:left w:val="nil"/>
              <w:bottom w:val="nil"/>
              <w:right w:val="nil"/>
            </w:tcBorders>
            <w:shd w:val="clear" w:color="auto" w:fill="auto"/>
            <w:noWrap/>
            <w:vAlign w:val="bottom"/>
            <w:hideMark/>
          </w:tcPr>
          <w:p w:rsidR="008131BA" w:rsidRPr="008131BA" w:rsidRDefault="008131BA" w:rsidP="008131BA">
            <w:pPr>
              <w:jc w:val="center"/>
              <w:rPr>
                <w:rFonts w:ascii="Calibri" w:hAnsi="Calibri"/>
                <w:b/>
                <w:bCs/>
                <w:color w:val="000000"/>
                <w:sz w:val="28"/>
                <w:szCs w:val="28"/>
              </w:rPr>
            </w:pPr>
            <w:r w:rsidRPr="008131BA">
              <w:rPr>
                <w:rFonts w:ascii="Calibri" w:hAnsi="Calibri"/>
                <w:b/>
                <w:bCs/>
                <w:color w:val="000000"/>
                <w:sz w:val="28"/>
                <w:szCs w:val="28"/>
              </w:rPr>
              <w:t>Accounting and Economics Principle Classes Success Rates</w:t>
            </w:r>
          </w:p>
        </w:tc>
      </w:tr>
      <w:tr w:rsidR="008131BA" w:rsidRPr="008131BA" w:rsidTr="00532A26">
        <w:trPr>
          <w:trHeight w:val="300"/>
        </w:trPr>
        <w:tc>
          <w:tcPr>
            <w:tcW w:w="1908" w:type="dxa"/>
            <w:tcBorders>
              <w:top w:val="nil"/>
              <w:left w:val="nil"/>
              <w:bottom w:val="nil"/>
              <w:right w:val="nil"/>
            </w:tcBorders>
            <w:shd w:val="clear" w:color="auto" w:fill="auto"/>
            <w:noWrap/>
            <w:vAlign w:val="bottom"/>
            <w:hideMark/>
          </w:tcPr>
          <w:p w:rsidR="008131BA" w:rsidRPr="008131BA" w:rsidRDefault="008131BA" w:rsidP="008131BA">
            <w:pPr>
              <w:rPr>
                <w:rFonts w:ascii="Calibri" w:hAnsi="Calibri"/>
                <w:b/>
                <w:bCs/>
                <w:color w:val="000000"/>
                <w:sz w:val="22"/>
                <w:szCs w:val="22"/>
              </w:rPr>
            </w:pP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b/>
                <w:bCs/>
                <w:color w:val="000000"/>
                <w:sz w:val="22"/>
                <w:szCs w:val="22"/>
              </w:rPr>
            </w:pPr>
            <w:r w:rsidRPr="008131BA">
              <w:rPr>
                <w:rFonts w:ascii="Calibri" w:hAnsi="Calibri"/>
                <w:b/>
                <w:bCs/>
                <w:color w:val="000000"/>
                <w:sz w:val="22"/>
                <w:szCs w:val="22"/>
              </w:rPr>
              <w:t>FY 06-07</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b/>
                <w:bCs/>
                <w:color w:val="000000"/>
                <w:sz w:val="22"/>
                <w:szCs w:val="22"/>
              </w:rPr>
            </w:pPr>
            <w:r w:rsidRPr="008131BA">
              <w:rPr>
                <w:rFonts w:ascii="Calibri" w:hAnsi="Calibri"/>
                <w:b/>
                <w:bCs/>
                <w:color w:val="000000"/>
                <w:sz w:val="22"/>
                <w:szCs w:val="22"/>
              </w:rPr>
              <w:t>FY 07-08</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b/>
                <w:bCs/>
                <w:color w:val="000000"/>
                <w:sz w:val="22"/>
                <w:szCs w:val="22"/>
              </w:rPr>
            </w:pPr>
            <w:r w:rsidRPr="008131BA">
              <w:rPr>
                <w:rFonts w:ascii="Calibri" w:hAnsi="Calibri"/>
                <w:b/>
                <w:bCs/>
                <w:color w:val="000000"/>
                <w:sz w:val="22"/>
                <w:szCs w:val="22"/>
              </w:rPr>
              <w:t>FY 08-09</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b/>
                <w:bCs/>
                <w:color w:val="000000"/>
                <w:sz w:val="22"/>
                <w:szCs w:val="22"/>
              </w:rPr>
            </w:pPr>
            <w:r w:rsidRPr="008131BA">
              <w:rPr>
                <w:rFonts w:ascii="Calibri" w:hAnsi="Calibri"/>
                <w:b/>
                <w:bCs/>
                <w:color w:val="000000"/>
                <w:sz w:val="22"/>
                <w:szCs w:val="22"/>
              </w:rPr>
              <w:t>FY 09-10</w:t>
            </w:r>
          </w:p>
        </w:tc>
        <w:tc>
          <w:tcPr>
            <w:tcW w:w="117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b/>
                <w:bCs/>
                <w:color w:val="000000"/>
                <w:sz w:val="22"/>
                <w:szCs w:val="22"/>
              </w:rPr>
            </w:pPr>
            <w:r w:rsidRPr="008131BA">
              <w:rPr>
                <w:rFonts w:ascii="Calibri" w:hAnsi="Calibri"/>
                <w:b/>
                <w:bCs/>
                <w:color w:val="000000"/>
                <w:sz w:val="22"/>
                <w:szCs w:val="22"/>
              </w:rPr>
              <w:t>FY 10-11</w:t>
            </w:r>
          </w:p>
        </w:tc>
        <w:tc>
          <w:tcPr>
            <w:tcW w:w="117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b/>
                <w:bCs/>
                <w:color w:val="000000"/>
                <w:sz w:val="22"/>
                <w:szCs w:val="22"/>
              </w:rPr>
            </w:pPr>
            <w:r w:rsidRPr="008131BA">
              <w:rPr>
                <w:rFonts w:ascii="Calibri" w:hAnsi="Calibri"/>
                <w:b/>
                <w:bCs/>
                <w:color w:val="000000"/>
                <w:sz w:val="22"/>
                <w:szCs w:val="22"/>
              </w:rPr>
              <w:t>FY 11-12</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b/>
                <w:bCs/>
                <w:color w:val="000000"/>
                <w:sz w:val="22"/>
                <w:szCs w:val="22"/>
              </w:rPr>
            </w:pPr>
            <w:r w:rsidRPr="008131BA">
              <w:rPr>
                <w:rFonts w:ascii="Calibri" w:hAnsi="Calibri"/>
                <w:b/>
                <w:bCs/>
                <w:color w:val="000000"/>
                <w:sz w:val="22"/>
                <w:szCs w:val="22"/>
              </w:rPr>
              <w:t>FY 12-13</w:t>
            </w:r>
          </w:p>
        </w:tc>
      </w:tr>
      <w:tr w:rsidR="008131BA" w:rsidRPr="008131BA" w:rsidTr="00532A26">
        <w:trPr>
          <w:trHeight w:val="300"/>
        </w:trPr>
        <w:tc>
          <w:tcPr>
            <w:tcW w:w="1908" w:type="dxa"/>
            <w:tcBorders>
              <w:top w:val="nil"/>
              <w:left w:val="nil"/>
              <w:bottom w:val="nil"/>
              <w:right w:val="nil"/>
            </w:tcBorders>
            <w:shd w:val="clear" w:color="auto" w:fill="auto"/>
            <w:noWrap/>
            <w:vAlign w:val="bottom"/>
            <w:hideMark/>
          </w:tcPr>
          <w:p w:rsidR="008131BA" w:rsidRPr="008131BA" w:rsidRDefault="008131BA" w:rsidP="008131BA">
            <w:pPr>
              <w:rPr>
                <w:rFonts w:ascii="Calibri" w:hAnsi="Calibri"/>
                <w:color w:val="000000"/>
                <w:sz w:val="22"/>
                <w:szCs w:val="22"/>
              </w:rPr>
            </w:pPr>
            <w:r w:rsidRPr="008131BA">
              <w:rPr>
                <w:rFonts w:ascii="Calibri" w:hAnsi="Calibri"/>
                <w:color w:val="000000"/>
                <w:sz w:val="22"/>
                <w:szCs w:val="22"/>
              </w:rPr>
              <w:t>ACC121/ACC1210</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52.9%</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53.9%</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55.3%</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56.3%</w:t>
            </w:r>
          </w:p>
        </w:tc>
        <w:tc>
          <w:tcPr>
            <w:tcW w:w="117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57.5%</w:t>
            </w:r>
          </w:p>
        </w:tc>
        <w:tc>
          <w:tcPr>
            <w:tcW w:w="117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60.9%</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53.9%</w:t>
            </w:r>
          </w:p>
        </w:tc>
      </w:tr>
      <w:tr w:rsidR="008131BA" w:rsidRPr="008131BA" w:rsidTr="00532A26">
        <w:trPr>
          <w:trHeight w:val="300"/>
        </w:trPr>
        <w:tc>
          <w:tcPr>
            <w:tcW w:w="1908" w:type="dxa"/>
            <w:tcBorders>
              <w:top w:val="nil"/>
              <w:left w:val="nil"/>
              <w:bottom w:val="nil"/>
              <w:right w:val="nil"/>
            </w:tcBorders>
            <w:shd w:val="clear" w:color="auto" w:fill="auto"/>
            <w:noWrap/>
            <w:vAlign w:val="bottom"/>
            <w:hideMark/>
          </w:tcPr>
          <w:p w:rsidR="008131BA" w:rsidRPr="008131BA" w:rsidRDefault="008131BA" w:rsidP="008131BA">
            <w:pPr>
              <w:rPr>
                <w:rFonts w:ascii="Calibri" w:hAnsi="Calibri"/>
                <w:color w:val="000000"/>
                <w:sz w:val="22"/>
                <w:szCs w:val="22"/>
              </w:rPr>
            </w:pPr>
            <w:r w:rsidRPr="008131BA">
              <w:rPr>
                <w:rFonts w:ascii="Calibri" w:hAnsi="Calibri"/>
                <w:color w:val="000000"/>
                <w:sz w:val="22"/>
                <w:szCs w:val="22"/>
              </w:rPr>
              <w:t>ACC122/ACC1220</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78.6%</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71.7%</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68.8%</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75.8%</w:t>
            </w:r>
          </w:p>
        </w:tc>
        <w:tc>
          <w:tcPr>
            <w:tcW w:w="117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75.4%</w:t>
            </w:r>
          </w:p>
        </w:tc>
        <w:tc>
          <w:tcPr>
            <w:tcW w:w="117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73.3%</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68.6%</w:t>
            </w:r>
          </w:p>
        </w:tc>
      </w:tr>
      <w:tr w:rsidR="008131BA" w:rsidRPr="008131BA" w:rsidTr="00532A26">
        <w:trPr>
          <w:trHeight w:val="300"/>
        </w:trPr>
        <w:tc>
          <w:tcPr>
            <w:tcW w:w="1908" w:type="dxa"/>
            <w:tcBorders>
              <w:top w:val="nil"/>
              <w:left w:val="nil"/>
              <w:bottom w:val="nil"/>
              <w:right w:val="nil"/>
            </w:tcBorders>
            <w:shd w:val="clear" w:color="auto" w:fill="auto"/>
            <w:noWrap/>
            <w:vAlign w:val="bottom"/>
            <w:hideMark/>
          </w:tcPr>
          <w:p w:rsidR="008131BA" w:rsidRPr="008131BA" w:rsidRDefault="008131BA" w:rsidP="008131BA">
            <w:pPr>
              <w:rPr>
                <w:rFonts w:ascii="Calibri" w:hAnsi="Calibri"/>
                <w:color w:val="000000"/>
                <w:sz w:val="22"/>
                <w:szCs w:val="22"/>
              </w:rPr>
            </w:pPr>
            <w:r w:rsidRPr="008131BA">
              <w:rPr>
                <w:rFonts w:ascii="Calibri" w:hAnsi="Calibri"/>
                <w:color w:val="000000"/>
                <w:sz w:val="22"/>
                <w:szCs w:val="22"/>
              </w:rPr>
              <w:t>ECO216/ECO2160</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56.7%</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52.7%</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58.7%</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57.8%</w:t>
            </w:r>
          </w:p>
        </w:tc>
        <w:tc>
          <w:tcPr>
            <w:tcW w:w="117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55.6%</w:t>
            </w:r>
          </w:p>
        </w:tc>
        <w:tc>
          <w:tcPr>
            <w:tcW w:w="117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60.0%</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55.8%</w:t>
            </w:r>
          </w:p>
        </w:tc>
      </w:tr>
      <w:tr w:rsidR="008131BA" w:rsidRPr="008131BA" w:rsidTr="00532A26">
        <w:trPr>
          <w:trHeight w:val="300"/>
        </w:trPr>
        <w:tc>
          <w:tcPr>
            <w:tcW w:w="1908" w:type="dxa"/>
            <w:tcBorders>
              <w:top w:val="nil"/>
              <w:left w:val="nil"/>
              <w:bottom w:val="nil"/>
              <w:right w:val="nil"/>
            </w:tcBorders>
            <w:shd w:val="clear" w:color="auto" w:fill="auto"/>
            <w:noWrap/>
            <w:vAlign w:val="bottom"/>
            <w:hideMark/>
          </w:tcPr>
          <w:p w:rsidR="008131BA" w:rsidRPr="008131BA" w:rsidRDefault="008131BA" w:rsidP="008131BA">
            <w:pPr>
              <w:rPr>
                <w:rFonts w:ascii="Calibri" w:hAnsi="Calibri"/>
                <w:color w:val="000000"/>
                <w:sz w:val="22"/>
                <w:szCs w:val="22"/>
              </w:rPr>
            </w:pPr>
            <w:r w:rsidRPr="008131BA">
              <w:rPr>
                <w:rFonts w:ascii="Calibri" w:hAnsi="Calibri"/>
                <w:color w:val="000000"/>
                <w:sz w:val="22"/>
                <w:szCs w:val="22"/>
              </w:rPr>
              <w:t>ECO218/ECO2180</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64.5%</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62.9%</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63.3%</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57.9%</w:t>
            </w:r>
          </w:p>
        </w:tc>
        <w:tc>
          <w:tcPr>
            <w:tcW w:w="117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54.5%</w:t>
            </w:r>
          </w:p>
        </w:tc>
        <w:tc>
          <w:tcPr>
            <w:tcW w:w="117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52.8%</w:t>
            </w:r>
          </w:p>
        </w:tc>
        <w:tc>
          <w:tcPr>
            <w:tcW w:w="1080" w:type="dxa"/>
            <w:tcBorders>
              <w:top w:val="nil"/>
              <w:left w:val="nil"/>
              <w:bottom w:val="nil"/>
              <w:right w:val="nil"/>
            </w:tcBorders>
            <w:shd w:val="clear" w:color="auto" w:fill="auto"/>
            <w:noWrap/>
            <w:vAlign w:val="bottom"/>
            <w:hideMark/>
          </w:tcPr>
          <w:p w:rsidR="008131BA" w:rsidRPr="008131BA" w:rsidRDefault="008131BA" w:rsidP="008131BA">
            <w:pPr>
              <w:jc w:val="right"/>
              <w:rPr>
                <w:rFonts w:ascii="Calibri" w:hAnsi="Calibri"/>
                <w:color w:val="000000"/>
                <w:sz w:val="22"/>
                <w:szCs w:val="22"/>
              </w:rPr>
            </w:pPr>
            <w:r w:rsidRPr="008131BA">
              <w:rPr>
                <w:rFonts w:ascii="Calibri" w:hAnsi="Calibri"/>
                <w:color w:val="000000"/>
                <w:sz w:val="22"/>
                <w:szCs w:val="22"/>
              </w:rPr>
              <w:t>59.2%</w:t>
            </w:r>
          </w:p>
        </w:tc>
      </w:tr>
    </w:tbl>
    <w:p w:rsidR="008258DA" w:rsidRDefault="008258DA" w:rsidP="008258DA">
      <w:pPr>
        <w:rPr>
          <w:rFonts w:ascii="Arial" w:hAnsi="Arial" w:cs="Arial"/>
          <w:color w:val="000000" w:themeColor="text1"/>
        </w:rPr>
      </w:pPr>
    </w:p>
    <w:p w:rsidR="0037786D" w:rsidRPr="00B93382" w:rsidRDefault="001D3E1D" w:rsidP="008258DA">
      <w:pPr>
        <w:rPr>
          <w:rFonts w:ascii="Arial" w:hAnsi="Arial" w:cs="Arial"/>
          <w:i/>
          <w:color w:val="000000" w:themeColor="text1"/>
        </w:rPr>
      </w:pPr>
      <w:r w:rsidRPr="00B93382">
        <w:rPr>
          <w:rFonts w:ascii="Arial" w:hAnsi="Arial" w:cs="Arial"/>
          <w:i/>
          <w:color w:val="000000" w:themeColor="text1"/>
        </w:rPr>
        <w:t>Please provide a</w:t>
      </w:r>
      <w:r w:rsidR="00CD2613" w:rsidRPr="00B93382">
        <w:rPr>
          <w:rFonts w:ascii="Arial" w:hAnsi="Arial" w:cs="Arial"/>
          <w:i/>
          <w:color w:val="000000" w:themeColor="text1"/>
        </w:rPr>
        <w:t>ny additional data</w:t>
      </w:r>
      <w:r w:rsidRPr="00B93382">
        <w:rPr>
          <w:rFonts w:ascii="Arial" w:hAnsi="Arial" w:cs="Arial"/>
          <w:i/>
          <w:color w:val="000000" w:themeColor="text1"/>
        </w:rPr>
        <w:t xml:space="preserve"> and analysis</w:t>
      </w:r>
      <w:r w:rsidR="00CD2613" w:rsidRPr="00B93382">
        <w:rPr>
          <w:rFonts w:ascii="Arial" w:hAnsi="Arial" w:cs="Arial"/>
          <w:i/>
          <w:color w:val="000000" w:themeColor="text1"/>
        </w:rPr>
        <w:t xml:space="preserve"> that illustrates what is going on in the </w:t>
      </w:r>
      <w:r w:rsidR="001C42D0" w:rsidRPr="00B93382">
        <w:rPr>
          <w:rFonts w:ascii="Arial" w:hAnsi="Arial" w:cs="Arial"/>
          <w:i/>
          <w:color w:val="000000" w:themeColor="text1"/>
        </w:rPr>
        <w:t xml:space="preserve">department </w:t>
      </w:r>
      <w:r w:rsidR="00CD2613" w:rsidRPr="00B93382">
        <w:rPr>
          <w:rFonts w:ascii="Arial" w:hAnsi="Arial" w:cs="Arial"/>
          <w:i/>
          <w:color w:val="000000" w:themeColor="text1"/>
        </w:rPr>
        <w:t>(examples might include</w:t>
      </w:r>
      <w:r w:rsidR="00F37373" w:rsidRPr="00B93382">
        <w:rPr>
          <w:rFonts w:ascii="Arial" w:hAnsi="Arial" w:cs="Arial"/>
          <w:i/>
          <w:color w:val="000000" w:themeColor="text1"/>
        </w:rPr>
        <w:t xml:space="preserve"> accreditation data</w:t>
      </w:r>
      <w:r w:rsidR="001D736E" w:rsidRPr="00B93382">
        <w:rPr>
          <w:rFonts w:ascii="Arial" w:hAnsi="Arial" w:cs="Arial"/>
          <w:i/>
          <w:color w:val="000000" w:themeColor="text1"/>
        </w:rPr>
        <w:t xml:space="preserve">, </w:t>
      </w:r>
      <w:r w:rsidR="001C42D0" w:rsidRPr="00B93382">
        <w:rPr>
          <w:rFonts w:ascii="Arial" w:hAnsi="Arial" w:cs="Arial"/>
          <w:i/>
          <w:color w:val="000000" w:themeColor="text1"/>
        </w:rPr>
        <w:t xml:space="preserve">program data, </w:t>
      </w:r>
      <w:r w:rsidR="008B52A0" w:rsidRPr="00B93382">
        <w:rPr>
          <w:rFonts w:ascii="Arial" w:hAnsi="Arial" w:cs="Arial"/>
          <w:i/>
          <w:color w:val="000000" w:themeColor="text1"/>
        </w:rPr>
        <w:t xml:space="preserve">benchmark data from national exams, </w:t>
      </w:r>
      <w:r w:rsidR="00CD2613" w:rsidRPr="00B93382">
        <w:rPr>
          <w:rFonts w:ascii="Arial" w:hAnsi="Arial" w:cs="Arial"/>
          <w:i/>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326281" w:rsidRDefault="00486741" w:rsidP="00326281">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26281">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26281">
        <w:rPr>
          <w:rFonts w:ascii="Arial" w:hAnsi="Arial" w:cs="Arial"/>
          <w:color w:val="000000" w:themeColor="text1"/>
        </w:rPr>
        <w:t> </w:t>
      </w:r>
      <w:r w:rsidR="00326281">
        <w:rPr>
          <w:rFonts w:ascii="Arial" w:hAnsi="Arial" w:cs="Arial"/>
          <w:color w:val="000000" w:themeColor="text1"/>
        </w:rPr>
        <w:t> </w:t>
      </w:r>
      <w:r w:rsidR="00326281">
        <w:rPr>
          <w:rFonts w:ascii="Arial" w:hAnsi="Arial" w:cs="Arial"/>
          <w:color w:val="000000" w:themeColor="text1"/>
        </w:rPr>
        <w:t> </w:t>
      </w:r>
      <w:r w:rsidR="00326281">
        <w:rPr>
          <w:rFonts w:ascii="Arial" w:hAnsi="Arial" w:cs="Arial"/>
          <w:color w:val="000000" w:themeColor="text1"/>
        </w:rPr>
        <w:t> </w:t>
      </w:r>
      <w:r w:rsidR="00326281">
        <w:rPr>
          <w:rFonts w:ascii="Arial" w:hAnsi="Arial" w:cs="Arial"/>
          <w:color w:val="000000" w:themeColor="text1"/>
        </w:rPr>
        <w:t> </w:t>
      </w:r>
      <w:r>
        <w:rPr>
          <w:rFonts w:ascii="Arial" w:hAnsi="Arial" w:cs="Arial"/>
          <w:color w:val="000000" w:themeColor="text1"/>
        </w:rPr>
        <w:fldChar w:fldCharType="end"/>
      </w:r>
    </w:p>
    <w:p w:rsidR="00326281" w:rsidRDefault="00326281" w:rsidP="00377D40">
      <w:pPr>
        <w:spacing w:after="200" w:line="276" w:lineRule="auto"/>
        <w:rPr>
          <w:rFonts w:ascii="Arial" w:hAnsi="Arial" w:cs="Arial"/>
          <w:color w:val="000000" w:themeColor="text1"/>
        </w:rPr>
        <w:sectPr w:rsidR="00326281"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887"/>
        <w:gridCol w:w="6653"/>
      </w:tblGrid>
      <w:tr w:rsidR="004C52FC" w:rsidTr="00532A26">
        <w:trPr>
          <w:trHeight w:val="466"/>
          <w:tblHeader/>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88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53"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326281" w:rsidTr="00532A26">
        <w:trPr>
          <w:trHeight w:val="1399"/>
        </w:trPr>
        <w:tc>
          <w:tcPr>
            <w:tcW w:w="3690" w:type="dxa"/>
          </w:tcPr>
          <w:p w:rsidR="00326281" w:rsidRPr="0037786D" w:rsidRDefault="00326281" w:rsidP="00753F94">
            <w:pPr>
              <w:rPr>
                <w:rFonts w:ascii="Arial" w:hAnsi="Arial" w:cs="Arial"/>
                <w:color w:val="000000" w:themeColor="text1"/>
              </w:rPr>
            </w:pPr>
            <w:r>
              <w:rPr>
                <w:rFonts w:ascii="Arial" w:hAnsi="Arial" w:cs="Arial"/>
              </w:rPr>
              <w:t>We are investigating the concept of hybrid courses for the economic and accounting principles courses.</w:t>
            </w:r>
          </w:p>
        </w:tc>
        <w:tc>
          <w:tcPr>
            <w:tcW w:w="2887" w:type="dxa"/>
          </w:tcPr>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F2F1C">
              <w:fldChar w:fldCharType="begin">
                <w:ffData>
                  <w:name w:val=""/>
                  <w:enabled/>
                  <w:calcOnExit w:val="0"/>
                  <w:checkBox>
                    <w:sizeAuto/>
                    <w:default w:val="1"/>
                  </w:checkBox>
                </w:ffData>
              </w:fldChar>
            </w:r>
            <w:r w:rsidR="004F2F1C">
              <w:instrText xml:space="preserve"> FORMCHECKBOX </w:instrText>
            </w:r>
            <w:r w:rsidR="002B5CAA">
              <w:fldChar w:fldCharType="separate"/>
            </w:r>
            <w:r w:rsidR="004F2F1C">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bookmarkStart w:id="0" w:name="Check1"/>
            <w:r w:rsidR="00486741">
              <w:fldChar w:fldCharType="begin">
                <w:ffData>
                  <w:name w:val="Check1"/>
                  <w:enabled/>
                  <w:calcOnExit w:val="0"/>
                  <w:checkBox>
                    <w:sizeAuto/>
                    <w:default w:val="0"/>
                  </w:checkBox>
                </w:ffData>
              </w:fldChar>
            </w:r>
            <w:r w:rsidR="00DC75CD">
              <w:instrText xml:space="preserve"> FORMCHECKBOX </w:instrText>
            </w:r>
            <w:r w:rsidR="002B5CAA">
              <w:fldChar w:fldCharType="separate"/>
            </w:r>
            <w:r w:rsidR="00486741">
              <w:fldChar w:fldCharType="end"/>
            </w:r>
            <w:bookmarkEnd w:id="0"/>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2B5CAA">
              <w:fldChar w:fldCharType="separate"/>
            </w:r>
            <w:r w:rsidR="00486741">
              <w:fldChar w:fldCharType="end"/>
            </w:r>
          </w:p>
        </w:tc>
        <w:tc>
          <w:tcPr>
            <w:tcW w:w="6653" w:type="dxa"/>
          </w:tcPr>
          <w:p w:rsidR="00326281" w:rsidRPr="0037786D" w:rsidRDefault="004F2F1C" w:rsidP="00A64E44">
            <w:pPr>
              <w:pStyle w:val="ListParagraph"/>
              <w:ind w:left="0"/>
              <w:rPr>
                <w:rFonts w:ascii="Arial" w:hAnsi="Arial" w:cs="Arial"/>
                <w:color w:val="000000" w:themeColor="text1"/>
              </w:rPr>
            </w:pPr>
            <w:r>
              <w:rPr>
                <w:rFonts w:ascii="Arial" w:hAnsi="Arial" w:cs="Arial"/>
                <w:color w:val="000000" w:themeColor="text1"/>
              </w:rPr>
              <w:t xml:space="preserve">EC0 2160 and 2180 have been developed and implemented as hybrids effective SP13. With a recent change in the textbook and the development of the Survey of Accounting course to be delivered in FA 14, </w:t>
            </w:r>
            <w:r w:rsidR="00A64E44">
              <w:rPr>
                <w:rFonts w:ascii="Arial" w:hAnsi="Arial" w:cs="Arial"/>
                <w:color w:val="000000" w:themeColor="text1"/>
              </w:rPr>
              <w:t xml:space="preserve">development of </w:t>
            </w:r>
            <w:r>
              <w:rPr>
                <w:rFonts w:ascii="Arial" w:hAnsi="Arial" w:cs="Arial"/>
                <w:color w:val="000000" w:themeColor="text1"/>
              </w:rPr>
              <w:t>ACC1210 as a hybrid</w:t>
            </w:r>
            <w:r w:rsidR="00A64E44">
              <w:rPr>
                <w:rFonts w:ascii="Arial" w:hAnsi="Arial" w:cs="Arial"/>
                <w:color w:val="000000" w:themeColor="text1"/>
              </w:rPr>
              <w:t xml:space="preserve"> is still a goal to be completed in the future.</w:t>
            </w:r>
            <w:r>
              <w:rPr>
                <w:rFonts w:ascii="Arial" w:hAnsi="Arial" w:cs="Arial"/>
                <w:color w:val="000000" w:themeColor="text1"/>
              </w:rPr>
              <w:t xml:space="preserve"> </w:t>
            </w:r>
          </w:p>
        </w:tc>
      </w:tr>
      <w:tr w:rsidR="00326281" w:rsidTr="00532A26">
        <w:trPr>
          <w:trHeight w:val="1399"/>
        </w:trPr>
        <w:tc>
          <w:tcPr>
            <w:tcW w:w="3690" w:type="dxa"/>
          </w:tcPr>
          <w:p w:rsidR="00326281" w:rsidRPr="0037786D" w:rsidRDefault="00326281" w:rsidP="0094204C">
            <w:pPr>
              <w:pStyle w:val="ListParagraph"/>
              <w:ind w:left="0"/>
              <w:rPr>
                <w:rFonts w:ascii="Arial" w:hAnsi="Arial" w:cs="Arial"/>
                <w:color w:val="000000" w:themeColor="text1"/>
              </w:rPr>
            </w:pPr>
            <w:r w:rsidRPr="00D807AB">
              <w:rPr>
                <w:rFonts w:ascii="Arial" w:hAnsi="Arial" w:cs="Arial"/>
              </w:rPr>
              <w:t xml:space="preserve">Retention in </w:t>
            </w:r>
            <w:r>
              <w:rPr>
                <w:rFonts w:ascii="Arial" w:hAnsi="Arial" w:cs="Arial"/>
              </w:rPr>
              <w:t>Principles of Financial Accounting (ACC 121</w:t>
            </w:r>
            <w:r w:rsidR="00F92784">
              <w:rPr>
                <w:rFonts w:ascii="Arial" w:hAnsi="Arial" w:cs="Arial"/>
              </w:rPr>
              <w:t>0</w:t>
            </w:r>
            <w:r>
              <w:rPr>
                <w:rFonts w:ascii="Arial" w:hAnsi="Arial" w:cs="Arial"/>
              </w:rPr>
              <w:t>) and Principles of Macroeconomics (ECO 216</w:t>
            </w:r>
            <w:r w:rsidR="00F92784">
              <w:rPr>
                <w:rFonts w:ascii="Arial" w:hAnsi="Arial" w:cs="Arial"/>
              </w:rPr>
              <w:t>0</w:t>
            </w:r>
            <w:r>
              <w:rPr>
                <w:rFonts w:ascii="Arial" w:hAnsi="Arial" w:cs="Arial"/>
              </w:rPr>
              <w:t>)</w:t>
            </w:r>
            <w:r w:rsidRPr="00D807AB">
              <w:rPr>
                <w:rFonts w:ascii="Arial" w:hAnsi="Arial" w:cs="Arial"/>
              </w:rPr>
              <w:t xml:space="preserve"> continues to be a concern for the department</w:t>
            </w:r>
            <w:r>
              <w:rPr>
                <w:rFonts w:ascii="Arial" w:hAnsi="Arial" w:cs="Arial"/>
              </w:rPr>
              <w:t>.</w:t>
            </w:r>
          </w:p>
        </w:tc>
        <w:tc>
          <w:tcPr>
            <w:tcW w:w="2887" w:type="dxa"/>
          </w:tcPr>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9A1BF5">
              <w:fldChar w:fldCharType="begin">
                <w:ffData>
                  <w:name w:val=""/>
                  <w:enabled/>
                  <w:calcOnExit w:val="0"/>
                  <w:checkBox>
                    <w:sizeAuto/>
                    <w:default w:val="1"/>
                  </w:checkBox>
                </w:ffData>
              </w:fldChar>
            </w:r>
            <w:r w:rsidR="009A1BF5">
              <w:instrText xml:space="preserve"> FORMCHECKBOX </w:instrText>
            </w:r>
            <w:r w:rsidR="002B5CAA">
              <w:fldChar w:fldCharType="separate"/>
            </w:r>
            <w:r w:rsidR="009A1BF5">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86741">
              <w:fldChar w:fldCharType="begin">
                <w:ffData>
                  <w:name w:val="Check1"/>
                  <w:enabled/>
                  <w:calcOnExit w:val="0"/>
                  <w:checkBox>
                    <w:sizeAuto/>
                    <w:default w:val="0"/>
                  </w:checkBox>
                </w:ffData>
              </w:fldChar>
            </w:r>
            <w:r>
              <w:instrText xml:space="preserve"> FORMCHECKBOX </w:instrText>
            </w:r>
            <w:r w:rsidR="002B5CAA">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2B5CAA">
              <w:fldChar w:fldCharType="separate"/>
            </w:r>
            <w:r w:rsidR="00486741">
              <w:fldChar w:fldCharType="end"/>
            </w:r>
          </w:p>
        </w:tc>
        <w:tc>
          <w:tcPr>
            <w:tcW w:w="6653" w:type="dxa"/>
          </w:tcPr>
          <w:p w:rsidR="00675C00" w:rsidRPr="00554D3E" w:rsidRDefault="009A1BF5" w:rsidP="00554D3E">
            <w:pPr>
              <w:rPr>
                <w:rFonts w:ascii="Arial" w:hAnsi="Arial" w:cs="Arial"/>
                <w:color w:val="000000" w:themeColor="text1"/>
              </w:rPr>
            </w:pPr>
            <w:r>
              <w:rPr>
                <w:rFonts w:ascii="Arial" w:hAnsi="Arial" w:cs="Arial"/>
                <w:color w:val="000000" w:themeColor="text1"/>
              </w:rPr>
              <w:t xml:space="preserve">The department is in the process of creating and offering a Survey of Accounting course </w:t>
            </w:r>
            <w:r w:rsidR="00532A26">
              <w:rPr>
                <w:rFonts w:ascii="Arial" w:hAnsi="Arial" w:cs="Arial"/>
                <w:color w:val="000000" w:themeColor="text1"/>
              </w:rPr>
              <w:t xml:space="preserve">(first offering in Fall 14) </w:t>
            </w:r>
            <w:r>
              <w:rPr>
                <w:rFonts w:ascii="Arial" w:hAnsi="Arial" w:cs="Arial"/>
                <w:color w:val="000000" w:themeColor="text1"/>
              </w:rPr>
              <w:t>that could be taken by non-accounting majors instead of the ACC1210 TAG course. Students who intend to go on to a four year university would be advised to take ACC1210 instead of the Survey course.</w:t>
            </w:r>
          </w:p>
        </w:tc>
      </w:tr>
      <w:tr w:rsidR="00326281" w:rsidTr="00532A26">
        <w:trPr>
          <w:trHeight w:val="1101"/>
        </w:trPr>
        <w:tc>
          <w:tcPr>
            <w:tcW w:w="3690" w:type="dxa"/>
          </w:tcPr>
          <w:p w:rsidR="00326281" w:rsidRPr="0037786D" w:rsidRDefault="00326281" w:rsidP="0094204C">
            <w:pPr>
              <w:pStyle w:val="ListParagraph"/>
              <w:ind w:left="0"/>
              <w:rPr>
                <w:rFonts w:ascii="Arial" w:hAnsi="Arial" w:cs="Arial"/>
                <w:color w:val="000000" w:themeColor="text1"/>
              </w:rPr>
            </w:pPr>
            <w:r>
              <w:rPr>
                <w:rFonts w:ascii="Arial" w:hAnsi="Arial" w:cs="Arial"/>
              </w:rPr>
              <w:t xml:space="preserve">A </w:t>
            </w:r>
            <w:r w:rsidRPr="00D807AB">
              <w:rPr>
                <w:rFonts w:ascii="Arial" w:hAnsi="Arial" w:cs="Arial"/>
              </w:rPr>
              <w:t>long-standing view of the department has been the need for an accounting and economics resource lab that is effectively staffed with personnel qualified to assist at-risk stude</w:t>
            </w:r>
            <w:r>
              <w:rPr>
                <w:rFonts w:ascii="Arial" w:hAnsi="Arial" w:cs="Arial"/>
              </w:rPr>
              <w:t>nts.</w:t>
            </w:r>
          </w:p>
        </w:tc>
        <w:tc>
          <w:tcPr>
            <w:tcW w:w="2887" w:type="dxa"/>
          </w:tcPr>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86741">
              <w:fldChar w:fldCharType="begin">
                <w:ffData>
                  <w:name w:val=""/>
                  <w:enabled/>
                  <w:calcOnExit w:val="0"/>
                  <w:checkBox>
                    <w:sizeAuto/>
                    <w:default w:val="0"/>
                  </w:checkBox>
                </w:ffData>
              </w:fldChar>
            </w:r>
            <w:r w:rsidR="00A4491A">
              <w:instrText xml:space="preserve"> FORMCHECKBOX </w:instrText>
            </w:r>
            <w:r w:rsidR="002B5CAA">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86741">
              <w:fldChar w:fldCharType="begin">
                <w:ffData>
                  <w:name w:val=""/>
                  <w:enabled/>
                  <w:calcOnExit w:val="0"/>
                  <w:checkBox>
                    <w:sizeAuto/>
                    <w:default w:val="1"/>
                  </w:checkBox>
                </w:ffData>
              </w:fldChar>
            </w:r>
            <w:r w:rsidR="00A4491A">
              <w:instrText xml:space="preserve"> FORMCHECKBOX </w:instrText>
            </w:r>
            <w:r w:rsidR="002B5CAA">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2B5CAA">
              <w:fldChar w:fldCharType="separate"/>
            </w:r>
            <w:r w:rsidR="00486741">
              <w:fldChar w:fldCharType="end"/>
            </w:r>
          </w:p>
        </w:tc>
        <w:tc>
          <w:tcPr>
            <w:tcW w:w="6653" w:type="dxa"/>
          </w:tcPr>
          <w:p w:rsidR="00326281" w:rsidRPr="0037786D" w:rsidRDefault="00A4491A" w:rsidP="00A505B9">
            <w:pPr>
              <w:pStyle w:val="ListParagraph"/>
              <w:ind w:left="0"/>
              <w:rPr>
                <w:rFonts w:ascii="Arial" w:hAnsi="Arial" w:cs="Arial"/>
                <w:color w:val="000000" w:themeColor="text1"/>
              </w:rPr>
            </w:pPr>
            <w:r>
              <w:rPr>
                <w:rFonts w:ascii="Arial" w:hAnsi="Arial" w:cs="Arial"/>
                <w:color w:val="000000" w:themeColor="text1"/>
              </w:rPr>
              <w:t xml:space="preserve">Working with Tutorial Services we have staffed the former accounting lab (5213) with tutors to assist accounting and economics principle students. </w:t>
            </w:r>
          </w:p>
        </w:tc>
      </w:tr>
      <w:tr w:rsidR="00326281" w:rsidTr="00532A26">
        <w:trPr>
          <w:trHeight w:val="1101"/>
        </w:trPr>
        <w:tc>
          <w:tcPr>
            <w:tcW w:w="3690" w:type="dxa"/>
          </w:tcPr>
          <w:p w:rsidR="00326281" w:rsidRPr="0037786D" w:rsidRDefault="00326281" w:rsidP="0094204C">
            <w:pPr>
              <w:pStyle w:val="ListParagraph"/>
              <w:ind w:left="0"/>
              <w:rPr>
                <w:rFonts w:ascii="Arial" w:hAnsi="Arial" w:cs="Arial"/>
                <w:color w:val="000000" w:themeColor="text1"/>
              </w:rPr>
            </w:pPr>
            <w:r>
              <w:rPr>
                <w:rFonts w:ascii="Arial" w:hAnsi="Arial" w:cs="Arial"/>
              </w:rPr>
              <w:t>The incorporation of International Financial Accounting Standards (IFRS) into the upper level courses and, potentially, the introductory classes, too.</w:t>
            </w:r>
          </w:p>
        </w:tc>
        <w:tc>
          <w:tcPr>
            <w:tcW w:w="2887" w:type="dxa"/>
          </w:tcPr>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8367B">
              <w:fldChar w:fldCharType="begin">
                <w:ffData>
                  <w:name w:val=""/>
                  <w:enabled/>
                  <w:calcOnExit w:val="0"/>
                  <w:checkBox>
                    <w:sizeAuto/>
                    <w:default w:val="0"/>
                  </w:checkBox>
                </w:ffData>
              </w:fldChar>
            </w:r>
            <w:r w:rsidR="0068367B">
              <w:instrText xml:space="preserve"> FORMCHECKBOX </w:instrText>
            </w:r>
            <w:r w:rsidR="002B5CAA">
              <w:fldChar w:fldCharType="separate"/>
            </w:r>
            <w:r w:rsidR="0068367B">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8367B">
              <w:fldChar w:fldCharType="begin">
                <w:ffData>
                  <w:name w:val=""/>
                  <w:enabled/>
                  <w:calcOnExit w:val="0"/>
                  <w:checkBox>
                    <w:sizeAuto/>
                    <w:default w:val="1"/>
                  </w:checkBox>
                </w:ffData>
              </w:fldChar>
            </w:r>
            <w:r w:rsidR="0068367B">
              <w:instrText xml:space="preserve"> FORMCHECKBOX </w:instrText>
            </w:r>
            <w:r w:rsidR="002B5CAA">
              <w:fldChar w:fldCharType="separate"/>
            </w:r>
            <w:r w:rsidR="0068367B">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2B5CAA">
              <w:fldChar w:fldCharType="separate"/>
            </w:r>
            <w:r w:rsidR="00486741">
              <w:fldChar w:fldCharType="end"/>
            </w:r>
          </w:p>
        </w:tc>
        <w:tc>
          <w:tcPr>
            <w:tcW w:w="6653" w:type="dxa"/>
          </w:tcPr>
          <w:p w:rsidR="00326281" w:rsidRPr="0037786D" w:rsidRDefault="0068367B" w:rsidP="00A4491A">
            <w:pPr>
              <w:pStyle w:val="ListParagraph"/>
              <w:ind w:left="0"/>
              <w:rPr>
                <w:rFonts w:ascii="Arial" w:hAnsi="Arial" w:cs="Arial"/>
                <w:color w:val="000000" w:themeColor="text1"/>
              </w:rPr>
            </w:pPr>
            <w:r>
              <w:rPr>
                <w:rFonts w:ascii="Arial" w:hAnsi="Arial" w:cs="Arial"/>
                <w:color w:val="000000" w:themeColor="text1"/>
              </w:rPr>
              <w:t>IFRS, though slow to be fully implemented in the US, has been incorporated into our upper level accounting courses. As more of IFRS is approved for the US we will continue to incorporate it into our courses as appropriate.</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895"/>
        <w:gridCol w:w="2610"/>
        <w:gridCol w:w="6383"/>
      </w:tblGrid>
      <w:tr w:rsidR="004C52FC" w:rsidRPr="0037786D" w:rsidTr="009254F0">
        <w:trPr>
          <w:tblHeader/>
        </w:trPr>
        <w:tc>
          <w:tcPr>
            <w:tcW w:w="3895"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61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383"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26281" w:rsidRPr="0037786D" w:rsidTr="009254F0">
        <w:tc>
          <w:tcPr>
            <w:tcW w:w="3895" w:type="dxa"/>
          </w:tcPr>
          <w:p w:rsidR="00326281" w:rsidRPr="0037786D" w:rsidRDefault="00326281" w:rsidP="0019549D">
            <w:pPr>
              <w:rPr>
                <w:rFonts w:ascii="Arial" w:hAnsi="Arial" w:cs="Arial"/>
                <w:color w:val="000000" w:themeColor="text1"/>
              </w:rPr>
            </w:pPr>
            <w:r w:rsidRPr="00D07030">
              <w:rPr>
                <w:rFonts w:ascii="Arial" w:hAnsi="Arial" w:cs="Arial"/>
              </w:rPr>
              <w:t>It is important that the department develop a more complete understanding of why students are not completing the associate degree and explore strategies to improve acceptance of Sinclair cour</w:t>
            </w:r>
            <w:r w:rsidR="0019549D">
              <w:rPr>
                <w:rFonts w:ascii="Arial" w:hAnsi="Arial" w:cs="Arial"/>
              </w:rPr>
              <w:t>ses by four year institutions.</w:t>
            </w:r>
          </w:p>
        </w:tc>
        <w:tc>
          <w:tcPr>
            <w:tcW w:w="2610" w:type="dxa"/>
          </w:tcPr>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447FF">
              <w:fldChar w:fldCharType="begin">
                <w:ffData>
                  <w:name w:val=""/>
                  <w:enabled/>
                  <w:calcOnExit w:val="0"/>
                  <w:checkBox>
                    <w:sizeAuto/>
                    <w:default w:val="0"/>
                  </w:checkBox>
                </w:ffData>
              </w:fldChar>
            </w:r>
            <w:r w:rsidR="000447FF">
              <w:instrText xml:space="preserve"> FORMCHECKBOX </w:instrText>
            </w:r>
            <w:r w:rsidR="002B5CAA">
              <w:fldChar w:fldCharType="separate"/>
            </w:r>
            <w:r w:rsidR="000447FF">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E7E37">
              <w:fldChar w:fldCharType="begin">
                <w:ffData>
                  <w:name w:val=""/>
                  <w:enabled/>
                  <w:calcOnExit w:val="0"/>
                  <w:checkBox>
                    <w:sizeAuto/>
                    <w:default w:val="1"/>
                  </w:checkBox>
                </w:ffData>
              </w:fldChar>
            </w:r>
            <w:r w:rsidR="00AE7E37">
              <w:instrText xml:space="preserve"> FORMCHECKBOX </w:instrText>
            </w:r>
            <w:r w:rsidR="002B5CAA">
              <w:fldChar w:fldCharType="separate"/>
            </w:r>
            <w:r w:rsidR="00AE7E37">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AE7E37">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E7E37">
              <w:fldChar w:fldCharType="begin">
                <w:ffData>
                  <w:name w:val=""/>
                  <w:enabled/>
                  <w:calcOnExit w:val="0"/>
                  <w:checkBox>
                    <w:sizeAuto/>
                    <w:default w:val="1"/>
                  </w:checkBox>
                </w:ffData>
              </w:fldChar>
            </w:r>
            <w:r w:rsidR="00AE7E37">
              <w:instrText xml:space="preserve"> FORMCHECKBOX </w:instrText>
            </w:r>
            <w:r w:rsidR="002B5CAA">
              <w:fldChar w:fldCharType="separate"/>
            </w:r>
            <w:r w:rsidR="00AE7E37">
              <w:fldChar w:fldCharType="end"/>
            </w:r>
          </w:p>
        </w:tc>
        <w:tc>
          <w:tcPr>
            <w:tcW w:w="6383" w:type="dxa"/>
          </w:tcPr>
          <w:p w:rsidR="008E155C" w:rsidRDefault="0006046C" w:rsidP="00554D3E">
            <w:pPr>
              <w:rPr>
                <w:rFonts w:ascii="Arial" w:hAnsi="Arial" w:cs="Arial"/>
                <w:color w:val="000000" w:themeColor="text1"/>
              </w:rPr>
            </w:pPr>
            <w:r>
              <w:rPr>
                <w:rFonts w:ascii="Arial" w:hAnsi="Arial" w:cs="Arial"/>
                <w:color w:val="000000" w:themeColor="text1"/>
              </w:rPr>
              <w:t>Some of the students taking accounting courses already have a bachelor/master degree and are coming to Sinclair Community College to get enough credit hours in accounting to be eligible to sit for the CPA exam. Therefore, completing an Accounting Associate degree is not their goal. Some students are taking only the tax courses to prepare them for the EA exam and to prepare federal income tax returns.</w:t>
            </w:r>
          </w:p>
          <w:p w:rsidR="0006046C" w:rsidRPr="00554D3E" w:rsidRDefault="0006046C" w:rsidP="0006046C">
            <w:pPr>
              <w:rPr>
                <w:rFonts w:ascii="Arial" w:hAnsi="Arial" w:cs="Arial"/>
                <w:color w:val="000000" w:themeColor="text1"/>
              </w:rPr>
            </w:pPr>
            <w:r>
              <w:rPr>
                <w:rFonts w:ascii="Arial" w:hAnsi="Arial" w:cs="Arial"/>
                <w:color w:val="000000" w:themeColor="text1"/>
              </w:rPr>
              <w:t xml:space="preserve">ACC1210 and 1220 are TAG courses and recognized by the state as completing Principles of Accounting. A student who is transferring to a four year institution will be completing the Business Administration transfer degree which includes the two TAG course above, thereby providing the student with two years of course work accepted at the four year </w:t>
            </w:r>
            <w:r w:rsidR="0017270F">
              <w:rPr>
                <w:rFonts w:ascii="Arial" w:hAnsi="Arial" w:cs="Arial"/>
                <w:color w:val="000000" w:themeColor="text1"/>
              </w:rPr>
              <w:t>institution.</w:t>
            </w:r>
          </w:p>
        </w:tc>
      </w:tr>
      <w:tr w:rsidR="00326281" w:rsidRPr="0037786D" w:rsidTr="009254F0">
        <w:tc>
          <w:tcPr>
            <w:tcW w:w="3895" w:type="dxa"/>
          </w:tcPr>
          <w:p w:rsidR="00326281" w:rsidRPr="0037786D" w:rsidRDefault="00326281" w:rsidP="0019549D">
            <w:pPr>
              <w:rPr>
                <w:rFonts w:ascii="Arial" w:hAnsi="Arial" w:cs="Arial"/>
                <w:color w:val="000000" w:themeColor="text1"/>
              </w:rPr>
            </w:pPr>
            <w:r w:rsidRPr="00D07030">
              <w:rPr>
                <w:rFonts w:ascii="Arial" w:hAnsi="Arial" w:cs="Arial"/>
              </w:rPr>
              <w:t>Investigate the need for developing a certificate program for those students who only want to enroll in particular courses and are n</w:t>
            </w:r>
            <w:r w:rsidR="0019549D">
              <w:rPr>
                <w:rFonts w:ascii="Arial" w:hAnsi="Arial" w:cs="Arial"/>
              </w:rPr>
              <w:t>ot seeking an associate degree.</w:t>
            </w:r>
          </w:p>
        </w:tc>
        <w:tc>
          <w:tcPr>
            <w:tcW w:w="2610" w:type="dxa"/>
          </w:tcPr>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86741">
              <w:fldChar w:fldCharType="begin">
                <w:ffData>
                  <w:name w:val="Check1"/>
                  <w:enabled/>
                  <w:calcOnExit w:val="0"/>
                  <w:checkBox>
                    <w:sizeAuto/>
                    <w:default w:val="0"/>
                  </w:checkBox>
                </w:ffData>
              </w:fldChar>
            </w:r>
            <w:r>
              <w:instrText xml:space="preserve"> FORMCHECKBOX </w:instrText>
            </w:r>
            <w:r w:rsidR="002B5CAA">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86741">
              <w:fldChar w:fldCharType="begin">
                <w:ffData>
                  <w:name w:val=""/>
                  <w:enabled/>
                  <w:calcOnExit w:val="0"/>
                  <w:checkBox>
                    <w:sizeAuto/>
                    <w:default w:val="1"/>
                  </w:checkBox>
                </w:ffData>
              </w:fldChar>
            </w:r>
            <w:r w:rsidR="008E155C">
              <w:instrText xml:space="preserve"> FORMCHECKBOX </w:instrText>
            </w:r>
            <w:r w:rsidR="002B5CAA">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2B5CAA">
              <w:fldChar w:fldCharType="separate"/>
            </w:r>
            <w:r w:rsidR="00486741">
              <w:fldChar w:fldCharType="end"/>
            </w:r>
          </w:p>
        </w:tc>
        <w:tc>
          <w:tcPr>
            <w:tcW w:w="6383" w:type="dxa"/>
          </w:tcPr>
          <w:p w:rsidR="00B70D5A" w:rsidRDefault="003263AE" w:rsidP="00B70D5A">
            <w:pPr>
              <w:pStyle w:val="ListParagraph"/>
              <w:ind w:left="0"/>
              <w:rPr>
                <w:rFonts w:ascii="Arial" w:hAnsi="Arial" w:cs="Arial"/>
                <w:color w:val="000000" w:themeColor="text1"/>
              </w:rPr>
            </w:pPr>
            <w:r w:rsidRPr="003263AE">
              <w:rPr>
                <w:rFonts w:ascii="Arial" w:hAnsi="Arial" w:cs="Arial"/>
                <w:color w:val="000000" w:themeColor="text1"/>
              </w:rPr>
              <w:t xml:space="preserve">The accounting department has revamped its tax certificate to attract a new market.  The revised tax certificate </w:t>
            </w:r>
            <w:r w:rsidR="00B70D5A">
              <w:rPr>
                <w:rFonts w:ascii="Arial" w:hAnsi="Arial" w:cs="Arial"/>
                <w:color w:val="000000" w:themeColor="text1"/>
              </w:rPr>
              <w:t xml:space="preserve">was implemented in the </w:t>
            </w:r>
            <w:r w:rsidRPr="003263AE">
              <w:rPr>
                <w:rFonts w:ascii="Arial" w:hAnsi="Arial" w:cs="Arial"/>
                <w:color w:val="000000" w:themeColor="text1"/>
              </w:rPr>
              <w:t>semester</w:t>
            </w:r>
            <w:r w:rsidR="00B70D5A">
              <w:rPr>
                <w:rFonts w:ascii="Arial" w:hAnsi="Arial" w:cs="Arial"/>
                <w:color w:val="000000" w:themeColor="text1"/>
              </w:rPr>
              <w:t xml:space="preserve"> curriculum. We anticipate an increase in tax certificates for the following reasons.</w:t>
            </w:r>
          </w:p>
          <w:p w:rsidR="00B70D5A" w:rsidRDefault="00B70D5A" w:rsidP="00B70D5A">
            <w:pPr>
              <w:pStyle w:val="ListParagraph"/>
              <w:numPr>
                <w:ilvl w:val="0"/>
                <w:numId w:val="14"/>
              </w:numPr>
              <w:rPr>
                <w:rFonts w:ascii="Arial" w:hAnsi="Arial" w:cs="Arial"/>
                <w:color w:val="000000" w:themeColor="text1"/>
              </w:rPr>
            </w:pPr>
            <w:r>
              <w:rPr>
                <w:rFonts w:ascii="Arial" w:hAnsi="Arial" w:cs="Arial"/>
                <w:color w:val="000000" w:themeColor="text1"/>
              </w:rPr>
              <w:t>T</w:t>
            </w:r>
            <w:r w:rsidR="003263AE" w:rsidRPr="003263AE">
              <w:rPr>
                <w:rFonts w:ascii="Arial" w:hAnsi="Arial" w:cs="Arial"/>
                <w:color w:val="000000" w:themeColor="text1"/>
              </w:rPr>
              <w:t>he federal government’s requirement for all tax prepare</w:t>
            </w:r>
            <w:r w:rsidR="0062085F">
              <w:rPr>
                <w:rFonts w:ascii="Arial" w:hAnsi="Arial" w:cs="Arial"/>
                <w:color w:val="000000" w:themeColor="text1"/>
              </w:rPr>
              <w:t>r</w:t>
            </w:r>
            <w:r w:rsidR="003263AE" w:rsidRPr="003263AE">
              <w:rPr>
                <w:rFonts w:ascii="Arial" w:hAnsi="Arial" w:cs="Arial"/>
                <w:color w:val="000000" w:themeColor="text1"/>
              </w:rPr>
              <w:t xml:space="preserve">s to be licensed by 2013. </w:t>
            </w:r>
          </w:p>
          <w:p w:rsidR="00326281" w:rsidRPr="0037786D" w:rsidRDefault="003263AE" w:rsidP="00B70D5A">
            <w:pPr>
              <w:pStyle w:val="ListParagraph"/>
              <w:numPr>
                <w:ilvl w:val="0"/>
                <w:numId w:val="14"/>
              </w:numPr>
              <w:rPr>
                <w:rFonts w:ascii="Arial" w:hAnsi="Arial" w:cs="Arial"/>
                <w:color w:val="000000" w:themeColor="text1"/>
              </w:rPr>
            </w:pPr>
            <w:r w:rsidRPr="003263AE">
              <w:rPr>
                <w:rFonts w:ascii="Arial" w:hAnsi="Arial" w:cs="Arial"/>
                <w:color w:val="000000" w:themeColor="text1"/>
              </w:rPr>
              <w:t>The new tax certificate is stackable allowing student to complete first and then complet</w:t>
            </w:r>
            <w:r w:rsidR="00B70D5A">
              <w:rPr>
                <w:rFonts w:ascii="Arial" w:hAnsi="Arial" w:cs="Arial"/>
                <w:color w:val="000000" w:themeColor="text1"/>
              </w:rPr>
              <w:t>e the two year degree.</w:t>
            </w:r>
          </w:p>
        </w:tc>
      </w:tr>
      <w:tr w:rsidR="00326281" w:rsidRPr="0037786D" w:rsidTr="009254F0">
        <w:tc>
          <w:tcPr>
            <w:tcW w:w="3895" w:type="dxa"/>
          </w:tcPr>
          <w:p w:rsidR="00326281" w:rsidRPr="0037786D" w:rsidRDefault="00326281" w:rsidP="0019549D">
            <w:pPr>
              <w:rPr>
                <w:rFonts w:ascii="Arial" w:hAnsi="Arial" w:cs="Arial"/>
                <w:color w:val="000000" w:themeColor="text1"/>
              </w:rPr>
            </w:pPr>
            <w:r w:rsidRPr="00D07030">
              <w:rPr>
                <w:rFonts w:ascii="Arial" w:hAnsi="Arial" w:cs="Arial"/>
              </w:rPr>
              <w:t>Secure additional high quality internship and coop opportunities for students.</w:t>
            </w:r>
          </w:p>
        </w:tc>
        <w:tc>
          <w:tcPr>
            <w:tcW w:w="2610" w:type="dxa"/>
          </w:tcPr>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241DB">
              <w:fldChar w:fldCharType="begin">
                <w:ffData>
                  <w:name w:val=""/>
                  <w:enabled/>
                  <w:calcOnExit w:val="0"/>
                  <w:checkBox>
                    <w:sizeAuto/>
                    <w:default w:val="1"/>
                  </w:checkBox>
                </w:ffData>
              </w:fldChar>
            </w:r>
            <w:r w:rsidR="004241DB">
              <w:instrText xml:space="preserve"> FORMCHECKBOX </w:instrText>
            </w:r>
            <w:r w:rsidR="002B5CAA">
              <w:fldChar w:fldCharType="separate"/>
            </w:r>
            <w:r w:rsidR="004241DB">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86741">
              <w:fldChar w:fldCharType="begin">
                <w:ffData>
                  <w:name w:val="Check1"/>
                  <w:enabled/>
                  <w:calcOnExit w:val="0"/>
                  <w:checkBox>
                    <w:sizeAuto/>
                    <w:default w:val="0"/>
                  </w:checkBox>
                </w:ffData>
              </w:fldChar>
            </w:r>
            <w:r>
              <w:instrText xml:space="preserve"> FORMCHECKBOX </w:instrText>
            </w:r>
            <w:r w:rsidR="002B5CAA">
              <w:fldChar w:fldCharType="separate"/>
            </w:r>
            <w:r w:rsidR="00486741">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rsidR="00486741">
              <w:fldChar w:fldCharType="begin">
                <w:ffData>
                  <w:name w:val="Check1"/>
                  <w:enabled/>
                  <w:calcOnExit w:val="0"/>
                  <w:checkBox>
                    <w:sizeAuto/>
                    <w:default w:val="0"/>
                  </w:checkBox>
                </w:ffData>
              </w:fldChar>
            </w:r>
            <w:r>
              <w:instrText xml:space="preserve"> FORMCHECKBOX </w:instrText>
            </w:r>
            <w:r w:rsidR="002B5CAA">
              <w:fldChar w:fldCharType="separate"/>
            </w:r>
            <w:r w:rsidR="00486741">
              <w:fldChar w:fldCharType="end"/>
            </w:r>
          </w:p>
        </w:tc>
        <w:tc>
          <w:tcPr>
            <w:tcW w:w="6383" w:type="dxa"/>
          </w:tcPr>
          <w:p w:rsidR="00326281" w:rsidRPr="0037786D" w:rsidRDefault="004241DB" w:rsidP="00FA6F3F">
            <w:pPr>
              <w:pStyle w:val="ListParagraph"/>
              <w:ind w:left="0"/>
              <w:rPr>
                <w:rFonts w:ascii="Arial" w:hAnsi="Arial" w:cs="Arial"/>
                <w:color w:val="000000" w:themeColor="text1"/>
              </w:rPr>
            </w:pPr>
            <w:r>
              <w:rPr>
                <w:rFonts w:ascii="Arial" w:hAnsi="Arial" w:cs="Arial"/>
                <w:color w:val="000000" w:themeColor="text1"/>
              </w:rPr>
              <w:lastRenderedPageBreak/>
              <w:t>We are working with the internship coordinator for the Business and Public Services Division to secure additional high-quality internship and coop opportunities.</w:t>
            </w:r>
          </w:p>
        </w:tc>
      </w:tr>
      <w:tr w:rsidR="00326281" w:rsidRPr="0037786D" w:rsidTr="009254F0">
        <w:tc>
          <w:tcPr>
            <w:tcW w:w="3895" w:type="dxa"/>
          </w:tcPr>
          <w:p w:rsidR="00326281" w:rsidRPr="0037786D" w:rsidRDefault="00326281" w:rsidP="003E791C">
            <w:pPr>
              <w:pStyle w:val="ListParagraph"/>
              <w:ind w:left="0"/>
              <w:rPr>
                <w:rFonts w:ascii="Arial" w:hAnsi="Arial" w:cs="Arial"/>
                <w:color w:val="000000" w:themeColor="text1"/>
              </w:rPr>
            </w:pPr>
            <w:r w:rsidRPr="0087351B">
              <w:rPr>
                <w:rFonts w:ascii="Arial" w:hAnsi="Arial" w:cs="Arial"/>
              </w:rPr>
              <w:lastRenderedPageBreak/>
              <w:t xml:space="preserve">Develop means to document direct measures of general education </w:t>
            </w:r>
            <w:r>
              <w:rPr>
                <w:rFonts w:ascii="Arial" w:hAnsi="Arial" w:cs="Arial"/>
              </w:rPr>
              <w:t xml:space="preserve">outcomes </w:t>
            </w:r>
            <w:r w:rsidRPr="0087351B">
              <w:rPr>
                <w:rFonts w:ascii="Arial" w:hAnsi="Arial" w:cs="Arial"/>
              </w:rPr>
              <w:t>and program outcomes</w:t>
            </w:r>
            <w:r>
              <w:rPr>
                <w:rFonts w:ascii="Arial" w:hAnsi="Arial" w:cs="Arial"/>
              </w:rPr>
              <w:t>,</w:t>
            </w:r>
            <w:r w:rsidRPr="0087351B">
              <w:rPr>
                <w:rFonts w:ascii="Arial" w:hAnsi="Arial" w:cs="Arial"/>
              </w:rPr>
              <w:t xml:space="preserve"> and demonstrate how data are being used to improve learning outcomes</w:t>
            </w:r>
          </w:p>
        </w:tc>
        <w:tc>
          <w:tcPr>
            <w:tcW w:w="2610" w:type="dxa"/>
          </w:tcPr>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447FF">
              <w:fldChar w:fldCharType="begin">
                <w:ffData>
                  <w:name w:val=""/>
                  <w:enabled/>
                  <w:calcOnExit w:val="0"/>
                  <w:checkBox>
                    <w:sizeAuto/>
                    <w:default w:val="0"/>
                  </w:checkBox>
                </w:ffData>
              </w:fldChar>
            </w:r>
            <w:r w:rsidR="000447FF">
              <w:instrText xml:space="preserve"> FORMCHECKBOX </w:instrText>
            </w:r>
            <w:r w:rsidR="002B5CAA">
              <w:fldChar w:fldCharType="separate"/>
            </w:r>
            <w:r w:rsidR="000447FF">
              <w:fldChar w:fldCharType="end"/>
            </w:r>
          </w:p>
          <w:p w:rsidR="00326281" w:rsidRDefault="00326281" w:rsidP="00637591">
            <w:pPr>
              <w:pStyle w:val="ListParagraph"/>
              <w:ind w:left="0"/>
              <w:rPr>
                <w:rFonts w:ascii="Arial" w:hAnsi="Arial" w:cs="Arial"/>
                <w:color w:val="000000" w:themeColor="text1"/>
              </w:rPr>
            </w:pPr>
          </w:p>
          <w:p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22E06">
              <w:fldChar w:fldCharType="begin">
                <w:ffData>
                  <w:name w:val=""/>
                  <w:enabled/>
                  <w:calcOnExit w:val="0"/>
                  <w:checkBox>
                    <w:sizeAuto/>
                    <w:default w:val="1"/>
                  </w:checkBox>
                </w:ffData>
              </w:fldChar>
            </w:r>
            <w:r w:rsidR="00E22E06">
              <w:instrText xml:space="preserve"> FORMCHECKBOX </w:instrText>
            </w:r>
            <w:r w:rsidR="002B5CAA">
              <w:fldChar w:fldCharType="separate"/>
            </w:r>
            <w:r w:rsidR="00E22E06">
              <w:fldChar w:fldCharType="end"/>
            </w:r>
          </w:p>
          <w:p w:rsidR="00326281" w:rsidRDefault="00326281" w:rsidP="00637591">
            <w:pPr>
              <w:pStyle w:val="ListParagraph"/>
              <w:ind w:left="0"/>
              <w:rPr>
                <w:rFonts w:ascii="Arial" w:hAnsi="Arial" w:cs="Arial"/>
                <w:color w:val="000000" w:themeColor="text1"/>
              </w:rPr>
            </w:pPr>
          </w:p>
          <w:p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2B5CAA">
              <w:fldChar w:fldCharType="separate"/>
            </w:r>
            <w:r w:rsidR="00486741">
              <w:fldChar w:fldCharType="end"/>
            </w:r>
          </w:p>
        </w:tc>
        <w:tc>
          <w:tcPr>
            <w:tcW w:w="6383" w:type="dxa"/>
          </w:tcPr>
          <w:p w:rsidR="00326281" w:rsidRPr="0037786D" w:rsidRDefault="00E22E06" w:rsidP="00EA13B2">
            <w:pPr>
              <w:pStyle w:val="ListParagraph"/>
              <w:ind w:left="0"/>
              <w:rPr>
                <w:rFonts w:ascii="Arial" w:hAnsi="Arial" w:cs="Arial"/>
                <w:color w:val="000000" w:themeColor="text1"/>
              </w:rPr>
            </w:pPr>
            <w:r>
              <w:rPr>
                <w:rFonts w:ascii="Arial" w:hAnsi="Arial" w:cs="Arial"/>
                <w:color w:val="000000" w:themeColor="text1"/>
              </w:rPr>
              <w:t>During the quarter to semester conversion, courses were developed with a variety of means to gather and assess general education outcomes. The data is assessed annually to determine if any changes need to be made to improve the acceptable level of student success.</w:t>
            </w:r>
          </w:p>
        </w:tc>
      </w:tr>
      <w:tr w:rsidR="00326281" w:rsidRPr="0037786D" w:rsidTr="009254F0">
        <w:tc>
          <w:tcPr>
            <w:tcW w:w="3895" w:type="dxa"/>
          </w:tcPr>
          <w:p w:rsidR="00326281" w:rsidRPr="0037786D" w:rsidRDefault="00326281" w:rsidP="0019549D">
            <w:pPr>
              <w:rPr>
                <w:rFonts w:ascii="Arial" w:hAnsi="Arial" w:cs="Arial"/>
                <w:color w:val="000000" w:themeColor="text1"/>
              </w:rPr>
            </w:pPr>
            <w:r w:rsidRPr="00D07030">
              <w:rPr>
                <w:rFonts w:ascii="Arial" w:hAnsi="Arial" w:cs="Arial"/>
              </w:rPr>
              <w:t>Assess fully the sections taught by adjunct faculty in light of utilization of adjuncts vs. need for additional tenure track faculty, e.g. faculty with auditing experience. Ensure that supporting materials and guidance for adjuncts are well-targeted to the learning outcomes and level of proficiency required by the program.</w:t>
            </w:r>
          </w:p>
        </w:tc>
        <w:tc>
          <w:tcPr>
            <w:tcW w:w="2610" w:type="dxa"/>
          </w:tcPr>
          <w:p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D06314">
              <w:fldChar w:fldCharType="begin">
                <w:ffData>
                  <w:name w:val=""/>
                  <w:enabled/>
                  <w:calcOnExit w:val="0"/>
                  <w:checkBox>
                    <w:sizeAuto/>
                    <w:default w:val="1"/>
                  </w:checkBox>
                </w:ffData>
              </w:fldChar>
            </w:r>
            <w:r w:rsidR="00D06314">
              <w:instrText xml:space="preserve"> FORMCHECKBOX </w:instrText>
            </w:r>
            <w:r w:rsidR="002B5CAA">
              <w:fldChar w:fldCharType="separate"/>
            </w:r>
            <w:r w:rsidR="00D06314">
              <w:fldChar w:fldCharType="end"/>
            </w:r>
          </w:p>
          <w:p w:rsidR="00326281" w:rsidRDefault="00326281" w:rsidP="00D07030">
            <w:pPr>
              <w:pStyle w:val="ListParagraph"/>
              <w:ind w:left="0"/>
              <w:rPr>
                <w:rFonts w:ascii="Arial" w:hAnsi="Arial" w:cs="Arial"/>
                <w:color w:val="000000" w:themeColor="text1"/>
              </w:rPr>
            </w:pPr>
          </w:p>
          <w:p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486741">
              <w:fldChar w:fldCharType="begin">
                <w:ffData>
                  <w:name w:val="Check1"/>
                  <w:enabled/>
                  <w:calcOnExit w:val="0"/>
                  <w:checkBox>
                    <w:sizeAuto/>
                    <w:default w:val="0"/>
                  </w:checkBox>
                </w:ffData>
              </w:fldChar>
            </w:r>
            <w:r>
              <w:instrText xml:space="preserve"> FORMCHECKBOX </w:instrText>
            </w:r>
            <w:r w:rsidR="002B5CAA">
              <w:fldChar w:fldCharType="separate"/>
            </w:r>
            <w:r w:rsidR="00486741">
              <w:fldChar w:fldCharType="end"/>
            </w:r>
          </w:p>
          <w:p w:rsidR="00326281" w:rsidRDefault="00326281" w:rsidP="00D07030">
            <w:pPr>
              <w:pStyle w:val="ListParagraph"/>
              <w:ind w:left="0"/>
              <w:rPr>
                <w:rFonts w:ascii="Arial" w:hAnsi="Arial" w:cs="Arial"/>
                <w:color w:val="000000" w:themeColor="text1"/>
              </w:rPr>
            </w:pPr>
          </w:p>
          <w:p w:rsidR="00326281" w:rsidRPr="0037786D"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2B5CAA">
              <w:fldChar w:fldCharType="separate"/>
            </w:r>
            <w:r w:rsidR="00486741">
              <w:fldChar w:fldCharType="end"/>
            </w:r>
          </w:p>
        </w:tc>
        <w:tc>
          <w:tcPr>
            <w:tcW w:w="6383" w:type="dxa"/>
          </w:tcPr>
          <w:p w:rsidR="00326281" w:rsidRPr="0037786D" w:rsidRDefault="00D06314" w:rsidP="001D3205">
            <w:pPr>
              <w:pStyle w:val="ListParagraph"/>
              <w:ind w:left="0"/>
              <w:rPr>
                <w:rFonts w:ascii="Arial" w:hAnsi="Arial" w:cs="Arial"/>
                <w:color w:val="000000" w:themeColor="text1"/>
              </w:rPr>
            </w:pPr>
            <w:r>
              <w:rPr>
                <w:rFonts w:ascii="Arial" w:hAnsi="Arial" w:cs="Arial"/>
                <w:color w:val="000000" w:themeColor="text1"/>
              </w:rPr>
              <w:t xml:space="preserve">The department will research this during SP14. </w:t>
            </w:r>
          </w:p>
        </w:tc>
      </w:tr>
      <w:tr w:rsidR="00326281" w:rsidRPr="0037786D" w:rsidTr="009254F0">
        <w:tc>
          <w:tcPr>
            <w:tcW w:w="3895" w:type="dxa"/>
          </w:tcPr>
          <w:p w:rsidR="00326281" w:rsidRPr="0037786D" w:rsidRDefault="00326281" w:rsidP="0019549D">
            <w:pPr>
              <w:rPr>
                <w:rFonts w:ascii="Arial" w:hAnsi="Arial" w:cs="Arial"/>
                <w:color w:val="000000" w:themeColor="text1"/>
              </w:rPr>
            </w:pPr>
            <w:r w:rsidRPr="00D07030">
              <w:rPr>
                <w:rFonts w:ascii="Arial" w:hAnsi="Arial" w:cs="Arial"/>
              </w:rPr>
              <w:t>Use documentation of utilization of services designed to assist students to support the need for an accounting lab.</w:t>
            </w:r>
          </w:p>
        </w:tc>
        <w:tc>
          <w:tcPr>
            <w:tcW w:w="2610" w:type="dxa"/>
          </w:tcPr>
          <w:p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486741">
              <w:fldChar w:fldCharType="begin">
                <w:ffData>
                  <w:name w:val="Check1"/>
                  <w:enabled/>
                  <w:calcOnExit w:val="0"/>
                  <w:checkBox>
                    <w:sizeAuto/>
                    <w:default w:val="0"/>
                  </w:checkBox>
                </w:ffData>
              </w:fldChar>
            </w:r>
            <w:r>
              <w:instrText xml:space="preserve"> FORMCHECKBOX </w:instrText>
            </w:r>
            <w:r w:rsidR="002B5CAA">
              <w:fldChar w:fldCharType="separate"/>
            </w:r>
            <w:r w:rsidR="00486741">
              <w:fldChar w:fldCharType="end"/>
            </w:r>
          </w:p>
          <w:p w:rsidR="00326281" w:rsidRDefault="00326281" w:rsidP="00D07030">
            <w:pPr>
              <w:pStyle w:val="ListParagraph"/>
              <w:ind w:left="0"/>
              <w:rPr>
                <w:rFonts w:ascii="Arial" w:hAnsi="Arial" w:cs="Arial"/>
                <w:color w:val="000000" w:themeColor="text1"/>
              </w:rPr>
            </w:pPr>
          </w:p>
          <w:p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486741">
              <w:fldChar w:fldCharType="begin">
                <w:ffData>
                  <w:name w:val=""/>
                  <w:enabled/>
                  <w:calcOnExit w:val="0"/>
                  <w:checkBox>
                    <w:sizeAuto/>
                    <w:default w:val="1"/>
                  </w:checkBox>
                </w:ffData>
              </w:fldChar>
            </w:r>
            <w:r w:rsidR="00A53BE4">
              <w:instrText xml:space="preserve"> FORMCHECKBOX </w:instrText>
            </w:r>
            <w:r w:rsidR="002B5CAA">
              <w:fldChar w:fldCharType="separate"/>
            </w:r>
            <w:r w:rsidR="00486741">
              <w:fldChar w:fldCharType="end"/>
            </w:r>
          </w:p>
          <w:p w:rsidR="00326281" w:rsidRDefault="00326281" w:rsidP="00D07030">
            <w:pPr>
              <w:pStyle w:val="ListParagraph"/>
              <w:ind w:left="0"/>
              <w:rPr>
                <w:rFonts w:ascii="Arial" w:hAnsi="Arial" w:cs="Arial"/>
                <w:color w:val="000000" w:themeColor="text1"/>
              </w:rPr>
            </w:pPr>
          </w:p>
          <w:p w:rsidR="00326281" w:rsidRPr="0037786D"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86741">
              <w:fldChar w:fldCharType="begin">
                <w:ffData>
                  <w:name w:val="Check1"/>
                  <w:enabled/>
                  <w:calcOnExit w:val="0"/>
                  <w:checkBox>
                    <w:sizeAuto/>
                    <w:default w:val="0"/>
                  </w:checkBox>
                </w:ffData>
              </w:fldChar>
            </w:r>
            <w:r>
              <w:instrText xml:space="preserve"> FORMCHECKBOX </w:instrText>
            </w:r>
            <w:r w:rsidR="002B5CAA">
              <w:fldChar w:fldCharType="separate"/>
            </w:r>
            <w:r w:rsidR="00486741">
              <w:fldChar w:fldCharType="end"/>
            </w:r>
          </w:p>
        </w:tc>
        <w:tc>
          <w:tcPr>
            <w:tcW w:w="6383" w:type="dxa"/>
          </w:tcPr>
          <w:p w:rsidR="00326281" w:rsidRPr="0037786D" w:rsidRDefault="00A53BE4" w:rsidP="00A53BE4">
            <w:pPr>
              <w:pStyle w:val="ListParagraph"/>
              <w:ind w:left="0"/>
              <w:rPr>
                <w:rFonts w:ascii="Arial" w:hAnsi="Arial" w:cs="Arial"/>
                <w:color w:val="000000" w:themeColor="text1"/>
              </w:rPr>
            </w:pPr>
            <w:r w:rsidRPr="00A53BE4">
              <w:rPr>
                <w:rFonts w:ascii="Arial" w:hAnsi="Arial" w:cs="Arial"/>
                <w:color w:val="000000" w:themeColor="text1"/>
              </w:rPr>
              <w:t xml:space="preserve">During fall 2010 and winter 2011 data was collected to support the need of additional resources for an accounting / economics lab.  Based on this information the Accounting and Economics department are </w:t>
            </w:r>
            <w:r>
              <w:rPr>
                <w:rFonts w:ascii="Arial" w:hAnsi="Arial" w:cs="Arial"/>
                <w:color w:val="000000" w:themeColor="text1"/>
              </w:rPr>
              <w:t>using the old accounting lab 5213 to offer additional support to accounting and economics principle students.</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Look w:val="01E0" w:firstRow="1" w:lastRow="1" w:firstColumn="1" w:lastColumn="1" w:noHBand="0" w:noVBand="0"/>
      </w:tblPr>
      <w:tblGrid>
        <w:gridCol w:w="16"/>
        <w:gridCol w:w="2342"/>
        <w:gridCol w:w="2070"/>
        <w:gridCol w:w="1440"/>
        <w:gridCol w:w="2160"/>
        <w:gridCol w:w="5130"/>
      </w:tblGrid>
      <w:tr w:rsidR="00B34F9E" w:rsidRPr="004C52FC" w:rsidTr="00B27D9D">
        <w:trPr>
          <w:gridBefore w:val="1"/>
          <w:wBefore w:w="16" w:type="dxa"/>
          <w:trHeight w:val="72"/>
          <w:tblHeader/>
        </w:trPr>
        <w:tc>
          <w:tcPr>
            <w:tcW w:w="234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2070"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40" w:type="dxa"/>
            <w:shd w:val="clear" w:color="auto" w:fill="auto"/>
          </w:tcPr>
          <w:p w:rsidR="000F6705" w:rsidRDefault="00B34F9E" w:rsidP="000F6705">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Year </w:t>
            </w:r>
          </w:p>
          <w:p w:rsidR="00B34F9E" w:rsidRPr="004C52FC" w:rsidRDefault="00B34F9E" w:rsidP="000F6705">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assessed</w:t>
            </w:r>
          </w:p>
        </w:tc>
        <w:tc>
          <w:tcPr>
            <w:tcW w:w="2160"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5130"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0F6705" w:rsidRPr="004C52FC" w:rsidTr="00F927BD">
        <w:trPr>
          <w:trHeight w:val="274"/>
        </w:trPr>
        <w:tc>
          <w:tcPr>
            <w:tcW w:w="2358" w:type="dxa"/>
            <w:gridSpan w:val="2"/>
            <w:tcBorders>
              <w:right w:val="single" w:sz="4" w:space="0" w:color="auto"/>
            </w:tcBorders>
            <w:shd w:val="clear" w:color="auto" w:fill="FFFFFF"/>
          </w:tcPr>
          <w:p w:rsidR="00B34F9E" w:rsidRPr="004C52FC" w:rsidRDefault="00B34F9E" w:rsidP="00EA2AEE">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40" w:type="dxa"/>
            <w:shd w:val="clear" w:color="auto" w:fill="auto"/>
          </w:tcPr>
          <w:p w:rsidR="00B34F9E" w:rsidRPr="004C52FC" w:rsidRDefault="00B34F9E" w:rsidP="00F927BD">
            <w:pP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160" w:type="dxa"/>
            <w:shd w:val="clear" w:color="auto" w:fill="auto"/>
          </w:tcPr>
          <w:p w:rsidR="00554D3E" w:rsidRDefault="000F6705" w:rsidP="00554D3E">
            <w:pPr>
              <w:rPr>
                <w:rFonts w:asciiTheme="minorHAnsi" w:hAnsiTheme="minorHAnsi" w:cs="Arial"/>
                <w:color w:val="000000" w:themeColor="text1"/>
              </w:rPr>
            </w:pPr>
            <w:r>
              <w:rPr>
                <w:rFonts w:ascii="Arial" w:hAnsi="Arial" w:cs="Arial"/>
                <w:color w:val="000000" w:themeColor="text1"/>
              </w:rPr>
              <w:t>Locally developed exam</w:t>
            </w:r>
          </w:p>
          <w:p w:rsidR="00CC210F" w:rsidRPr="004C52FC" w:rsidRDefault="00CC210F" w:rsidP="001D736E">
            <w:pPr>
              <w:ind w:left="72"/>
              <w:rPr>
                <w:rFonts w:asciiTheme="minorHAnsi" w:hAnsiTheme="minorHAnsi" w:cs="Arial"/>
                <w:color w:val="000000" w:themeColor="text1"/>
              </w:rPr>
            </w:pPr>
          </w:p>
        </w:tc>
        <w:tc>
          <w:tcPr>
            <w:tcW w:w="5130" w:type="dxa"/>
            <w:shd w:val="clear" w:color="auto" w:fill="auto"/>
          </w:tcPr>
          <w:p w:rsidR="00277254" w:rsidRDefault="00A97939" w:rsidP="001D736E">
            <w:pPr>
              <w:ind w:left="72"/>
              <w:rPr>
                <w:rFonts w:asciiTheme="minorHAnsi" w:hAnsiTheme="minorHAnsi" w:cs="Arial"/>
                <w:color w:val="000000" w:themeColor="text1"/>
              </w:rPr>
            </w:pPr>
            <w:r>
              <w:rPr>
                <w:noProof/>
              </w:rPr>
              <w:drawing>
                <wp:inline distT="0" distB="0" distL="0" distR="0" wp14:anchorId="37863EF1" wp14:editId="342970A7">
                  <wp:extent cx="310515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77254" w:rsidRDefault="00277254" w:rsidP="001D736E">
            <w:pPr>
              <w:ind w:left="72"/>
              <w:rPr>
                <w:rFonts w:asciiTheme="minorHAnsi" w:hAnsiTheme="minorHAnsi" w:cs="Arial"/>
                <w:color w:val="000000" w:themeColor="text1"/>
              </w:rPr>
            </w:pPr>
          </w:p>
          <w:p w:rsidR="00A97939" w:rsidRDefault="00A97939" w:rsidP="00A97939">
            <w:pPr>
              <w:pStyle w:val="ListParagraph"/>
              <w:ind w:left="0"/>
              <w:rPr>
                <w:rFonts w:ascii="Arial" w:hAnsi="Arial" w:cs="Arial"/>
                <w:sz w:val="20"/>
                <w:szCs w:val="20"/>
                <w:highlight w:val="lightGray"/>
              </w:rPr>
            </w:pPr>
            <w:r>
              <w:rPr>
                <w:rFonts w:ascii="Arial" w:hAnsi="Arial" w:cs="Arial"/>
                <w:sz w:val="20"/>
                <w:szCs w:val="20"/>
                <w:highlight w:val="lightGray"/>
              </w:rPr>
              <w:t>ACC1220 Financial Statement Analysis Project is used to assess critical thinking skills.</w:t>
            </w:r>
          </w:p>
          <w:p w:rsidR="00A97939" w:rsidRDefault="00A97939" w:rsidP="00A97939">
            <w:pPr>
              <w:pStyle w:val="ListParagraph"/>
              <w:ind w:left="0"/>
              <w:rPr>
                <w:rFonts w:ascii="Arial" w:hAnsi="Arial" w:cs="Arial"/>
                <w:sz w:val="20"/>
                <w:szCs w:val="20"/>
                <w:highlight w:val="lightGray"/>
              </w:rPr>
            </w:pPr>
            <w:r>
              <w:rPr>
                <w:rFonts w:ascii="Arial" w:hAnsi="Arial" w:cs="Arial"/>
                <w:sz w:val="20"/>
                <w:szCs w:val="20"/>
                <w:highlight w:val="lightGray"/>
              </w:rPr>
              <w:t>The chart above reflects the percentage of students who scored over 70%, over 80%, and over 90% by term.</w:t>
            </w:r>
          </w:p>
          <w:p w:rsidR="00A97939" w:rsidRPr="004C52FC" w:rsidRDefault="00A97939" w:rsidP="00A97939">
            <w:pPr>
              <w:rPr>
                <w:rFonts w:asciiTheme="minorHAnsi" w:hAnsiTheme="minorHAnsi" w:cs="Arial"/>
                <w:color w:val="000000" w:themeColor="text1"/>
              </w:rPr>
            </w:pPr>
            <w:r>
              <w:rPr>
                <w:rFonts w:ascii="Arial" w:hAnsi="Arial" w:cs="Arial"/>
                <w:sz w:val="20"/>
                <w:szCs w:val="20"/>
                <w:highlight w:val="lightGray"/>
              </w:rPr>
              <w:t>The data indicates that over 89% of the students met the 70% minimum requir</w:t>
            </w:r>
            <w:r w:rsidR="00012680">
              <w:rPr>
                <w:rFonts w:ascii="Arial" w:hAnsi="Arial" w:cs="Arial"/>
                <w:sz w:val="20"/>
                <w:szCs w:val="20"/>
                <w:highlight w:val="lightGray"/>
              </w:rPr>
              <w:t>ement for mastery of the outco</w:t>
            </w:r>
            <w:r w:rsidR="00012680">
              <w:rPr>
                <w:rFonts w:ascii="Arial" w:hAnsi="Arial" w:cs="Arial"/>
                <w:sz w:val="20"/>
                <w:szCs w:val="20"/>
              </w:rPr>
              <w:t>me.</w:t>
            </w:r>
          </w:p>
        </w:tc>
      </w:tr>
      <w:tr w:rsidR="00B34F9E" w:rsidRPr="004C52FC" w:rsidTr="00F927BD">
        <w:trPr>
          <w:trHeight w:val="274"/>
        </w:trPr>
        <w:tc>
          <w:tcPr>
            <w:tcW w:w="2358" w:type="dxa"/>
            <w:gridSpan w:val="2"/>
            <w:tcBorders>
              <w:right w:val="single" w:sz="4" w:space="0" w:color="auto"/>
            </w:tcBorders>
            <w:shd w:val="clear" w:color="auto" w:fill="FFFFFF"/>
          </w:tcPr>
          <w:p w:rsidR="00B34F9E" w:rsidRPr="004C52FC" w:rsidRDefault="00B34F9E" w:rsidP="00F927BD">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F927BD">
            <w:pPr>
              <w:rPr>
                <w:rFonts w:asciiTheme="minorHAnsi" w:hAnsiTheme="minorHAnsi"/>
              </w:rPr>
            </w:pPr>
            <w:r w:rsidRPr="004C52FC">
              <w:rPr>
                <w:rFonts w:asciiTheme="minorHAnsi" w:hAnsiTheme="minorHAnsi" w:cs="Arial"/>
                <w:color w:val="000000" w:themeColor="text1"/>
              </w:rPr>
              <w:t>All programs</w:t>
            </w:r>
          </w:p>
        </w:tc>
        <w:tc>
          <w:tcPr>
            <w:tcW w:w="1440" w:type="dxa"/>
            <w:shd w:val="clear" w:color="auto" w:fill="auto"/>
          </w:tcPr>
          <w:p w:rsidR="00B34F9E" w:rsidRPr="004C52FC" w:rsidRDefault="00B34F9E" w:rsidP="00F927BD">
            <w:pP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16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513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F927BD">
        <w:trPr>
          <w:trHeight w:val="274"/>
        </w:trPr>
        <w:tc>
          <w:tcPr>
            <w:tcW w:w="2358" w:type="dxa"/>
            <w:gridSpan w:val="2"/>
            <w:tcBorders>
              <w:right w:val="single" w:sz="4" w:space="0" w:color="auto"/>
            </w:tcBorders>
            <w:shd w:val="clear" w:color="auto" w:fill="FFFFFF"/>
          </w:tcPr>
          <w:p w:rsidR="00B34F9E" w:rsidRPr="004C52FC" w:rsidRDefault="00B34F9E" w:rsidP="00F927BD">
            <w:pPr>
              <w:tabs>
                <w:tab w:val="left" w:pos="5040"/>
              </w:tabs>
              <w:rPr>
                <w:rFonts w:asciiTheme="minorHAnsi" w:hAnsiTheme="minorHAnsi" w:cs="Arial"/>
                <w:color w:val="000000" w:themeColor="text1"/>
              </w:rPr>
            </w:pPr>
            <w:r w:rsidRPr="004C52FC">
              <w:rPr>
                <w:rFonts w:asciiTheme="minorHAnsi" w:hAnsiTheme="minorHAnsi" w:cs="Arial"/>
                <w:color w:val="000000" w:themeColor="text1"/>
              </w:rPr>
              <w:lastRenderedPageBreak/>
              <w:t>Computer Literacy</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F927BD">
            <w:pPr>
              <w:rPr>
                <w:rFonts w:asciiTheme="minorHAnsi" w:hAnsiTheme="minorHAnsi"/>
              </w:rPr>
            </w:pPr>
            <w:r w:rsidRPr="004C52FC">
              <w:rPr>
                <w:rFonts w:asciiTheme="minorHAnsi" w:hAnsiTheme="minorHAnsi" w:cs="Arial"/>
                <w:color w:val="000000" w:themeColor="text1"/>
              </w:rPr>
              <w:t>All programs</w:t>
            </w:r>
          </w:p>
        </w:tc>
        <w:tc>
          <w:tcPr>
            <w:tcW w:w="1440" w:type="dxa"/>
            <w:shd w:val="clear" w:color="auto" w:fill="auto"/>
          </w:tcPr>
          <w:p w:rsidR="00B34F9E" w:rsidRPr="004C52FC" w:rsidRDefault="00B34F9E" w:rsidP="00F927BD">
            <w:pP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16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513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F927BD">
        <w:trPr>
          <w:trHeight w:val="274"/>
        </w:trPr>
        <w:tc>
          <w:tcPr>
            <w:tcW w:w="2358" w:type="dxa"/>
            <w:gridSpan w:val="2"/>
            <w:tcBorders>
              <w:right w:val="single" w:sz="4" w:space="0" w:color="auto"/>
            </w:tcBorders>
            <w:shd w:val="clear" w:color="auto" w:fill="FFFFFF"/>
          </w:tcPr>
          <w:p w:rsidR="00B34F9E" w:rsidRPr="004C52FC" w:rsidRDefault="00B34F9E" w:rsidP="00F927BD">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F927BD">
            <w:pPr>
              <w:rPr>
                <w:rFonts w:asciiTheme="minorHAnsi" w:hAnsiTheme="minorHAnsi"/>
              </w:rPr>
            </w:pPr>
            <w:r w:rsidRPr="004C52FC">
              <w:rPr>
                <w:rFonts w:asciiTheme="minorHAnsi" w:hAnsiTheme="minorHAnsi" w:cs="Arial"/>
                <w:color w:val="000000" w:themeColor="text1"/>
              </w:rPr>
              <w:t>All programs</w:t>
            </w:r>
          </w:p>
        </w:tc>
        <w:tc>
          <w:tcPr>
            <w:tcW w:w="1440" w:type="dxa"/>
            <w:shd w:val="clear" w:color="auto" w:fill="auto"/>
          </w:tcPr>
          <w:p w:rsidR="00B34F9E" w:rsidRPr="004C52FC" w:rsidRDefault="00B34F9E" w:rsidP="00F927BD">
            <w:pP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16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513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0447FF" w:rsidRPr="004C52FC" w:rsidTr="00F927BD">
        <w:trPr>
          <w:trHeight w:val="274"/>
        </w:trPr>
        <w:tc>
          <w:tcPr>
            <w:tcW w:w="2358" w:type="dxa"/>
            <w:gridSpan w:val="2"/>
            <w:tcBorders>
              <w:right w:val="single" w:sz="4" w:space="0" w:color="auto"/>
            </w:tcBorders>
            <w:shd w:val="clear" w:color="auto" w:fill="FFFFFF"/>
          </w:tcPr>
          <w:p w:rsidR="000447FF" w:rsidRPr="004C52FC" w:rsidRDefault="000447FF" w:rsidP="00F927BD">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0447FF" w:rsidRPr="004C52FC" w:rsidRDefault="000447FF" w:rsidP="00F927BD">
            <w:pPr>
              <w:rPr>
                <w:rFonts w:asciiTheme="minorHAnsi" w:hAnsiTheme="minorHAnsi" w:cs="Arial"/>
                <w:color w:val="000000" w:themeColor="text1"/>
              </w:rPr>
            </w:pPr>
            <w:r>
              <w:rPr>
                <w:rFonts w:asciiTheme="minorHAnsi" w:hAnsiTheme="minorHAnsi" w:cs="Arial"/>
                <w:color w:val="000000" w:themeColor="text1"/>
              </w:rPr>
              <w:t>All programs</w:t>
            </w:r>
          </w:p>
        </w:tc>
        <w:tc>
          <w:tcPr>
            <w:tcW w:w="1440" w:type="dxa"/>
            <w:shd w:val="clear" w:color="auto" w:fill="auto"/>
          </w:tcPr>
          <w:p w:rsidR="000447FF" w:rsidRPr="004C52FC" w:rsidRDefault="000447FF" w:rsidP="00F927BD">
            <w:pPr>
              <w:rPr>
                <w:rFonts w:asciiTheme="minorHAnsi" w:hAnsiTheme="minorHAnsi" w:cs="Arial"/>
                <w:b/>
                <w:color w:val="000000" w:themeColor="text1"/>
              </w:rPr>
            </w:pPr>
            <w:r>
              <w:rPr>
                <w:rFonts w:asciiTheme="minorHAnsi" w:hAnsiTheme="minorHAnsi" w:cs="Arial"/>
                <w:b/>
                <w:color w:val="000000" w:themeColor="text1"/>
              </w:rPr>
              <w:t>2017-2018</w:t>
            </w:r>
          </w:p>
        </w:tc>
        <w:tc>
          <w:tcPr>
            <w:tcW w:w="2160" w:type="dxa"/>
            <w:shd w:val="clear" w:color="auto" w:fill="000000" w:themeFill="text1"/>
          </w:tcPr>
          <w:p w:rsidR="000447FF" w:rsidRPr="004C52FC" w:rsidRDefault="000447FF" w:rsidP="001D736E">
            <w:pPr>
              <w:ind w:left="72"/>
              <w:rPr>
                <w:rFonts w:asciiTheme="minorHAnsi" w:hAnsiTheme="minorHAnsi" w:cs="Arial"/>
                <w:color w:val="000000" w:themeColor="text1"/>
              </w:rPr>
            </w:pPr>
          </w:p>
        </w:tc>
        <w:tc>
          <w:tcPr>
            <w:tcW w:w="5130" w:type="dxa"/>
            <w:shd w:val="clear" w:color="auto" w:fill="000000" w:themeFill="text1"/>
          </w:tcPr>
          <w:p w:rsidR="000447FF" w:rsidRPr="004C52FC" w:rsidRDefault="000447FF" w:rsidP="001D736E">
            <w:pPr>
              <w:ind w:left="72"/>
              <w:rPr>
                <w:rFonts w:asciiTheme="minorHAnsi" w:hAnsiTheme="minorHAnsi" w:cs="Arial"/>
                <w:color w:val="000000" w:themeColor="text1"/>
              </w:rPr>
            </w:pPr>
          </w:p>
        </w:tc>
      </w:tr>
      <w:tr w:rsidR="000447FF" w:rsidRPr="004C52FC" w:rsidTr="00F927BD">
        <w:trPr>
          <w:trHeight w:val="274"/>
        </w:trPr>
        <w:tc>
          <w:tcPr>
            <w:tcW w:w="2358" w:type="dxa"/>
            <w:gridSpan w:val="2"/>
            <w:tcBorders>
              <w:right w:val="single" w:sz="4" w:space="0" w:color="auto"/>
            </w:tcBorders>
            <w:shd w:val="clear" w:color="auto" w:fill="FFFFFF"/>
          </w:tcPr>
          <w:p w:rsidR="000447FF" w:rsidRPr="004C52FC" w:rsidRDefault="000447FF" w:rsidP="00F927BD">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0447FF" w:rsidRPr="004C52FC" w:rsidRDefault="000447FF" w:rsidP="00F927BD">
            <w:pPr>
              <w:rPr>
                <w:rFonts w:asciiTheme="minorHAnsi" w:hAnsiTheme="minorHAnsi" w:cs="Arial"/>
                <w:color w:val="000000" w:themeColor="text1"/>
              </w:rPr>
            </w:pPr>
            <w:r>
              <w:rPr>
                <w:rFonts w:asciiTheme="minorHAnsi" w:hAnsiTheme="minorHAnsi" w:cs="Arial"/>
                <w:color w:val="000000" w:themeColor="text1"/>
              </w:rPr>
              <w:t>All programs</w:t>
            </w:r>
          </w:p>
        </w:tc>
        <w:tc>
          <w:tcPr>
            <w:tcW w:w="1440" w:type="dxa"/>
            <w:shd w:val="clear" w:color="auto" w:fill="auto"/>
          </w:tcPr>
          <w:p w:rsidR="000447FF" w:rsidRPr="004C52FC" w:rsidRDefault="000447FF" w:rsidP="00F927BD">
            <w:pPr>
              <w:rPr>
                <w:rFonts w:asciiTheme="minorHAnsi" w:hAnsiTheme="minorHAnsi" w:cs="Arial"/>
                <w:b/>
                <w:color w:val="000000" w:themeColor="text1"/>
              </w:rPr>
            </w:pPr>
            <w:r>
              <w:rPr>
                <w:rFonts w:asciiTheme="minorHAnsi" w:hAnsiTheme="minorHAnsi" w:cs="Arial"/>
                <w:b/>
                <w:color w:val="000000" w:themeColor="text1"/>
              </w:rPr>
              <w:t>2017-2018</w:t>
            </w:r>
          </w:p>
        </w:tc>
        <w:tc>
          <w:tcPr>
            <w:tcW w:w="2160" w:type="dxa"/>
            <w:shd w:val="clear" w:color="auto" w:fill="000000" w:themeFill="text1"/>
          </w:tcPr>
          <w:p w:rsidR="000447FF" w:rsidRPr="004C52FC" w:rsidRDefault="000447FF" w:rsidP="001D736E">
            <w:pPr>
              <w:ind w:left="72"/>
              <w:rPr>
                <w:rFonts w:asciiTheme="minorHAnsi" w:hAnsiTheme="minorHAnsi" w:cs="Arial"/>
                <w:color w:val="000000" w:themeColor="text1"/>
              </w:rPr>
            </w:pPr>
          </w:p>
        </w:tc>
        <w:tc>
          <w:tcPr>
            <w:tcW w:w="5130" w:type="dxa"/>
            <w:shd w:val="clear" w:color="auto" w:fill="000000" w:themeFill="text1"/>
          </w:tcPr>
          <w:p w:rsidR="000447FF" w:rsidRPr="004C52FC" w:rsidRDefault="000447FF" w:rsidP="001D736E">
            <w:pPr>
              <w:ind w:left="72"/>
              <w:rPr>
                <w:rFonts w:asciiTheme="minorHAnsi" w:hAnsiTheme="minorHAnsi" w:cs="Arial"/>
                <w:color w:val="000000" w:themeColor="text1"/>
              </w:rPr>
            </w:pPr>
          </w:p>
        </w:tc>
      </w:tr>
      <w:tr w:rsidR="000447FF" w:rsidRPr="004C52FC" w:rsidTr="000F6705">
        <w:trPr>
          <w:trHeight w:val="274"/>
        </w:trPr>
        <w:tc>
          <w:tcPr>
            <w:tcW w:w="2358" w:type="dxa"/>
            <w:gridSpan w:val="2"/>
            <w:shd w:val="clear" w:color="auto" w:fill="FFFFFF"/>
            <w:vAlign w:val="center"/>
          </w:tcPr>
          <w:p w:rsidR="000447FF" w:rsidRPr="004C52FC" w:rsidRDefault="000447FF" w:rsidP="003D6D6E">
            <w:pPr>
              <w:rPr>
                <w:rFonts w:asciiTheme="minorHAnsi" w:hAnsiTheme="minorHAnsi"/>
              </w:rPr>
            </w:pPr>
          </w:p>
        </w:tc>
        <w:tc>
          <w:tcPr>
            <w:tcW w:w="2070" w:type="dxa"/>
            <w:tcBorders>
              <w:top w:val="single" w:sz="4" w:space="0" w:color="auto"/>
            </w:tcBorders>
          </w:tcPr>
          <w:p w:rsidR="000447FF" w:rsidRPr="004C52FC" w:rsidRDefault="000447FF" w:rsidP="00BC12BF">
            <w:pPr>
              <w:jc w:val="center"/>
              <w:rPr>
                <w:rFonts w:asciiTheme="minorHAnsi" w:hAnsiTheme="minorHAnsi" w:cs="Arial"/>
                <w:color w:val="000000" w:themeColor="text1"/>
                <w:highlight w:val="yellow"/>
              </w:rPr>
            </w:pPr>
          </w:p>
        </w:tc>
        <w:tc>
          <w:tcPr>
            <w:tcW w:w="1440" w:type="dxa"/>
            <w:shd w:val="clear" w:color="auto" w:fill="auto"/>
          </w:tcPr>
          <w:p w:rsidR="000447FF" w:rsidRPr="004C52FC" w:rsidRDefault="000447FF" w:rsidP="00817DDA">
            <w:pPr>
              <w:jc w:val="center"/>
              <w:rPr>
                <w:rFonts w:asciiTheme="minorHAnsi" w:hAnsiTheme="minorHAnsi" w:cs="Arial"/>
                <w:color w:val="000000" w:themeColor="text1"/>
              </w:rPr>
            </w:pPr>
          </w:p>
        </w:tc>
        <w:tc>
          <w:tcPr>
            <w:tcW w:w="2160" w:type="dxa"/>
          </w:tcPr>
          <w:p w:rsidR="000447FF" w:rsidRPr="004C52FC" w:rsidRDefault="000447FF" w:rsidP="001D736E">
            <w:pPr>
              <w:ind w:left="72"/>
              <w:rPr>
                <w:rFonts w:asciiTheme="minorHAnsi" w:hAnsiTheme="minorHAnsi" w:cs="Arial"/>
                <w:color w:val="000000" w:themeColor="text1"/>
              </w:rPr>
            </w:pPr>
          </w:p>
        </w:tc>
        <w:tc>
          <w:tcPr>
            <w:tcW w:w="5130" w:type="dxa"/>
          </w:tcPr>
          <w:p w:rsidR="000447FF" w:rsidRPr="004C52FC" w:rsidRDefault="000447FF" w:rsidP="001D736E">
            <w:pPr>
              <w:ind w:left="72"/>
              <w:rPr>
                <w:rFonts w:asciiTheme="minorHAnsi" w:hAnsiTheme="minorHAnsi" w:cs="Arial"/>
                <w:color w:val="000000" w:themeColor="text1"/>
              </w:rPr>
            </w:pPr>
          </w:p>
        </w:tc>
      </w:tr>
      <w:tr w:rsidR="000447FF" w:rsidRPr="004C52FC" w:rsidTr="000F6705">
        <w:trPr>
          <w:trHeight w:val="274"/>
        </w:trPr>
        <w:tc>
          <w:tcPr>
            <w:tcW w:w="2358" w:type="dxa"/>
            <w:gridSpan w:val="2"/>
            <w:shd w:val="clear" w:color="auto" w:fill="FFFFFF"/>
            <w:vAlign w:val="center"/>
          </w:tcPr>
          <w:p w:rsidR="000447FF" w:rsidRPr="004C52FC" w:rsidRDefault="000447FF">
            <w:pPr>
              <w:jc w:val="center"/>
              <w:rPr>
                <w:rFonts w:asciiTheme="minorHAnsi" w:hAnsiTheme="minorHAnsi"/>
                <w:b/>
              </w:rPr>
            </w:pPr>
            <w:r w:rsidRPr="004C52FC">
              <w:rPr>
                <w:rFonts w:asciiTheme="minorHAnsi" w:hAnsiTheme="minorHAnsi"/>
                <w:b/>
              </w:rPr>
              <w:t>Program Outcomes</w:t>
            </w:r>
          </w:p>
        </w:tc>
        <w:tc>
          <w:tcPr>
            <w:tcW w:w="2070" w:type="dxa"/>
          </w:tcPr>
          <w:p w:rsidR="000447FF" w:rsidRPr="004C52FC" w:rsidRDefault="000447FF"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40" w:type="dxa"/>
            <w:shd w:val="clear" w:color="auto" w:fill="auto"/>
          </w:tcPr>
          <w:p w:rsidR="000447FF" w:rsidRPr="004C52FC" w:rsidRDefault="000447FF" w:rsidP="00A505B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160" w:type="dxa"/>
          </w:tcPr>
          <w:p w:rsidR="000447FF" w:rsidRPr="004C52FC" w:rsidRDefault="000447FF" w:rsidP="00A505B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0447FF" w:rsidRPr="004C52FC" w:rsidRDefault="000447FF" w:rsidP="00A505B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0447FF" w:rsidRPr="004C52FC" w:rsidRDefault="000447FF" w:rsidP="00A505B9">
            <w:pPr>
              <w:jc w:val="center"/>
              <w:rPr>
                <w:rFonts w:asciiTheme="minorHAnsi" w:hAnsiTheme="minorHAnsi" w:cs="Arial"/>
                <w:color w:val="000000" w:themeColor="text1"/>
                <w:sz w:val="20"/>
              </w:rPr>
            </w:pPr>
          </w:p>
        </w:tc>
        <w:tc>
          <w:tcPr>
            <w:tcW w:w="5130" w:type="dxa"/>
          </w:tcPr>
          <w:p w:rsidR="000447FF" w:rsidRPr="004C52FC" w:rsidRDefault="000447FF" w:rsidP="00A505B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0447FF" w:rsidRPr="004C52FC" w:rsidRDefault="000447FF" w:rsidP="00A505B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0447FF" w:rsidRPr="004C52FC" w:rsidTr="00B27D9D">
        <w:trPr>
          <w:trHeight w:val="1250"/>
        </w:trPr>
        <w:tc>
          <w:tcPr>
            <w:tcW w:w="2358" w:type="dxa"/>
            <w:gridSpan w:val="2"/>
            <w:shd w:val="clear" w:color="auto" w:fill="FFFFFF"/>
          </w:tcPr>
          <w:p w:rsidR="000447FF" w:rsidRPr="00814EB1" w:rsidRDefault="000447FF" w:rsidP="00B27D9D">
            <w:pPr>
              <w:rPr>
                <w:rFonts w:ascii="Verdana" w:hAnsi="Verdana"/>
                <w:sz w:val="20"/>
                <w:szCs w:val="20"/>
              </w:rPr>
            </w:pPr>
            <w:r>
              <w:rPr>
                <w:rFonts w:ascii="Verdana" w:hAnsi="Verdana"/>
                <w:sz w:val="20"/>
                <w:szCs w:val="20"/>
              </w:rPr>
              <w:t>Apply mathematical skills to formulas and solve problems.</w:t>
            </w:r>
          </w:p>
        </w:tc>
        <w:tc>
          <w:tcPr>
            <w:tcW w:w="2070" w:type="dxa"/>
          </w:tcPr>
          <w:p w:rsidR="000F6705" w:rsidRDefault="000F6705" w:rsidP="00B27D9D">
            <w:pPr>
              <w:rPr>
                <w:rFonts w:ascii="Verdana" w:hAnsi="Verdana"/>
                <w:sz w:val="20"/>
                <w:szCs w:val="20"/>
              </w:rPr>
            </w:pPr>
            <w:r>
              <w:rPr>
                <w:rFonts w:ascii="Verdana" w:hAnsi="Verdana"/>
                <w:sz w:val="20"/>
                <w:szCs w:val="20"/>
              </w:rPr>
              <w:t>ACC</w:t>
            </w:r>
            <w:r w:rsidR="00B27D9D">
              <w:rPr>
                <w:rFonts w:ascii="Verdana" w:hAnsi="Verdana"/>
                <w:sz w:val="20"/>
                <w:szCs w:val="20"/>
              </w:rPr>
              <w:t xml:space="preserve"> </w:t>
            </w:r>
            <w:r>
              <w:rPr>
                <w:rFonts w:ascii="Verdana" w:hAnsi="Verdana"/>
                <w:sz w:val="20"/>
                <w:szCs w:val="20"/>
              </w:rPr>
              <w:t>1510,</w:t>
            </w:r>
          </w:p>
          <w:p w:rsidR="000447FF" w:rsidRDefault="000447FF" w:rsidP="00B27D9D">
            <w:pPr>
              <w:rPr>
                <w:rFonts w:ascii="Verdana" w:hAnsi="Verdana"/>
                <w:sz w:val="20"/>
                <w:szCs w:val="20"/>
              </w:rPr>
            </w:pPr>
            <w:r w:rsidRPr="00DF7C71">
              <w:rPr>
                <w:rFonts w:ascii="Verdana" w:hAnsi="Verdana"/>
                <w:sz w:val="20"/>
                <w:szCs w:val="20"/>
              </w:rPr>
              <w:t>MAT 1460</w:t>
            </w:r>
            <w:r>
              <w:rPr>
                <w:rFonts w:ascii="Verdana" w:hAnsi="Verdana"/>
                <w:sz w:val="20"/>
                <w:szCs w:val="20"/>
              </w:rPr>
              <w:t>,</w:t>
            </w:r>
          </w:p>
          <w:p w:rsidR="000447FF" w:rsidRDefault="000447FF" w:rsidP="00B27D9D">
            <w:pPr>
              <w:rPr>
                <w:rFonts w:ascii="Verdana" w:hAnsi="Verdana"/>
                <w:sz w:val="20"/>
                <w:szCs w:val="20"/>
              </w:rPr>
            </w:pPr>
            <w:r>
              <w:rPr>
                <w:rFonts w:ascii="Verdana" w:hAnsi="Verdana"/>
                <w:sz w:val="20"/>
                <w:szCs w:val="20"/>
              </w:rPr>
              <w:t xml:space="preserve">MAT </w:t>
            </w:r>
            <w:r w:rsidR="000F6705">
              <w:rPr>
                <w:rFonts w:ascii="Verdana" w:hAnsi="Verdana"/>
                <w:sz w:val="20"/>
                <w:szCs w:val="20"/>
              </w:rPr>
              <w:t>1470,</w:t>
            </w:r>
          </w:p>
          <w:p w:rsidR="000447FF" w:rsidRPr="00DF7C71" w:rsidRDefault="000447FF" w:rsidP="00B27D9D">
            <w:pPr>
              <w:rPr>
                <w:rFonts w:ascii="Verdana" w:hAnsi="Verdana"/>
                <w:sz w:val="20"/>
                <w:szCs w:val="20"/>
              </w:rPr>
            </w:pPr>
            <w:r>
              <w:rPr>
                <w:rFonts w:ascii="Verdana" w:hAnsi="Verdana"/>
                <w:sz w:val="20"/>
                <w:szCs w:val="20"/>
              </w:rPr>
              <w:t xml:space="preserve">MAT </w:t>
            </w:r>
            <w:r w:rsidRPr="00DF7C71">
              <w:rPr>
                <w:rFonts w:ascii="Verdana" w:hAnsi="Verdana"/>
                <w:sz w:val="20"/>
                <w:szCs w:val="20"/>
              </w:rPr>
              <w:t>2170</w:t>
            </w:r>
          </w:p>
        </w:tc>
        <w:tc>
          <w:tcPr>
            <w:tcW w:w="1440" w:type="dxa"/>
            <w:shd w:val="clear" w:color="auto" w:fill="auto"/>
          </w:tcPr>
          <w:p w:rsidR="000447FF" w:rsidRPr="009A4106" w:rsidRDefault="000F6705" w:rsidP="000F6705">
            <w:pPr>
              <w:pStyle w:val="ListParagraph"/>
              <w:ind w:left="0"/>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FY 12</w:t>
            </w:r>
            <w:r w:rsidR="000447FF" w:rsidRPr="009A4106">
              <w:rPr>
                <w:rFonts w:ascii="Arial" w:hAnsi="Arial" w:cs="Arial"/>
                <w:color w:val="000000" w:themeColor="text1"/>
                <w:sz w:val="20"/>
                <w:szCs w:val="20"/>
                <w:highlight w:val="lightGray"/>
              </w:rPr>
              <w:t>-1</w:t>
            </w:r>
            <w:r>
              <w:rPr>
                <w:rFonts w:ascii="Arial" w:hAnsi="Arial" w:cs="Arial"/>
                <w:color w:val="000000" w:themeColor="text1"/>
                <w:sz w:val="20"/>
                <w:szCs w:val="20"/>
                <w:highlight w:val="lightGray"/>
              </w:rPr>
              <w:t>3</w:t>
            </w:r>
          </w:p>
        </w:tc>
        <w:tc>
          <w:tcPr>
            <w:tcW w:w="2160" w:type="dxa"/>
          </w:tcPr>
          <w:p w:rsidR="000447FF" w:rsidRPr="009A4106" w:rsidRDefault="000447FF" w:rsidP="00E25A14">
            <w:pPr>
              <w:pStyle w:val="ListParagraph"/>
              <w:ind w:left="0"/>
              <w:rPr>
                <w:rFonts w:ascii="Arial" w:hAnsi="Arial" w:cs="Arial"/>
                <w:color w:val="000000" w:themeColor="text1"/>
                <w:sz w:val="20"/>
                <w:szCs w:val="20"/>
                <w:highlight w:val="lightGray"/>
              </w:rPr>
            </w:pPr>
            <w:r w:rsidRPr="009A4106">
              <w:rPr>
                <w:rFonts w:ascii="Arial" w:hAnsi="Arial" w:cs="Arial"/>
                <w:color w:val="000000" w:themeColor="text1"/>
                <w:sz w:val="20"/>
                <w:szCs w:val="20"/>
                <w:highlight w:val="lightGray"/>
              </w:rPr>
              <w:t>Simulation</w:t>
            </w:r>
          </w:p>
        </w:tc>
        <w:tc>
          <w:tcPr>
            <w:tcW w:w="5130" w:type="dxa"/>
          </w:tcPr>
          <w:p w:rsidR="000447FF" w:rsidRDefault="00BA4B16" w:rsidP="00A505B9">
            <w:pPr>
              <w:pStyle w:val="ListParagraph"/>
              <w:ind w:left="0"/>
              <w:rPr>
                <w:rFonts w:ascii="Arial" w:hAnsi="Arial" w:cs="Arial"/>
                <w:sz w:val="20"/>
                <w:szCs w:val="20"/>
                <w:highlight w:val="lightGray"/>
              </w:rPr>
            </w:pPr>
            <w:r>
              <w:rPr>
                <w:noProof/>
              </w:rPr>
              <w:drawing>
                <wp:inline distT="0" distB="0" distL="0" distR="0" wp14:anchorId="4B2FC3D7" wp14:editId="0278F490">
                  <wp:extent cx="3152775" cy="280035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4B16" w:rsidRDefault="00BA4B16" w:rsidP="00A505B9">
            <w:pPr>
              <w:pStyle w:val="ListParagraph"/>
              <w:ind w:left="0"/>
              <w:rPr>
                <w:rFonts w:ascii="Arial" w:hAnsi="Arial" w:cs="Arial"/>
                <w:sz w:val="20"/>
                <w:szCs w:val="20"/>
                <w:highlight w:val="lightGray"/>
              </w:rPr>
            </w:pPr>
          </w:p>
          <w:p w:rsidR="00BA4B16" w:rsidRDefault="00783697" w:rsidP="00A505B9">
            <w:pPr>
              <w:pStyle w:val="ListParagraph"/>
              <w:ind w:left="0"/>
              <w:rPr>
                <w:rFonts w:ascii="Arial" w:hAnsi="Arial" w:cs="Arial"/>
                <w:sz w:val="20"/>
                <w:szCs w:val="20"/>
                <w:highlight w:val="lightGray"/>
              </w:rPr>
            </w:pPr>
            <w:r>
              <w:rPr>
                <w:rFonts w:ascii="Arial" w:hAnsi="Arial" w:cs="Arial"/>
                <w:sz w:val="20"/>
                <w:szCs w:val="20"/>
                <w:highlight w:val="lightGray"/>
              </w:rPr>
              <w:t>ACC1510 Payroll lab includes creation of a formula to compute gross payroll.</w:t>
            </w:r>
            <w:r w:rsidR="00852DE6">
              <w:rPr>
                <w:rFonts w:ascii="Arial" w:hAnsi="Arial" w:cs="Arial"/>
                <w:sz w:val="20"/>
                <w:szCs w:val="20"/>
                <w:highlight w:val="lightGray"/>
              </w:rPr>
              <w:t xml:space="preserve"> This is used to assess mathematical skills for formulas and problem solving.</w:t>
            </w:r>
          </w:p>
          <w:p w:rsidR="00BA4B16" w:rsidRDefault="00BA4B16" w:rsidP="00A505B9">
            <w:pPr>
              <w:pStyle w:val="ListParagraph"/>
              <w:ind w:left="0"/>
              <w:rPr>
                <w:rFonts w:ascii="Arial" w:hAnsi="Arial" w:cs="Arial"/>
                <w:sz w:val="20"/>
                <w:szCs w:val="20"/>
                <w:highlight w:val="lightGray"/>
              </w:rPr>
            </w:pPr>
            <w:r>
              <w:rPr>
                <w:rFonts w:ascii="Arial" w:hAnsi="Arial" w:cs="Arial"/>
                <w:sz w:val="20"/>
                <w:szCs w:val="20"/>
                <w:highlight w:val="lightGray"/>
              </w:rPr>
              <w:t xml:space="preserve">The chart above reflects the percentage of students who scored over 70%, over 80%, and over 90% by </w:t>
            </w:r>
            <w:r>
              <w:rPr>
                <w:rFonts w:ascii="Arial" w:hAnsi="Arial" w:cs="Arial"/>
                <w:sz w:val="20"/>
                <w:szCs w:val="20"/>
                <w:highlight w:val="lightGray"/>
              </w:rPr>
              <w:lastRenderedPageBreak/>
              <w:t>term.</w:t>
            </w:r>
          </w:p>
          <w:p w:rsidR="00783697" w:rsidRPr="00783697" w:rsidRDefault="005E193D" w:rsidP="00852DE6">
            <w:pPr>
              <w:pStyle w:val="ListParagraph"/>
              <w:ind w:left="0"/>
              <w:rPr>
                <w:rFonts w:ascii="Arial" w:hAnsi="Arial" w:cs="Arial"/>
                <w:sz w:val="20"/>
                <w:szCs w:val="20"/>
                <w:highlight w:val="lightGray"/>
              </w:rPr>
            </w:pPr>
            <w:r>
              <w:rPr>
                <w:rFonts w:ascii="Arial" w:hAnsi="Arial" w:cs="Arial"/>
                <w:sz w:val="20"/>
                <w:szCs w:val="20"/>
                <w:highlight w:val="lightGray"/>
              </w:rPr>
              <w:t>The</w:t>
            </w:r>
            <w:r w:rsidR="001B5206">
              <w:rPr>
                <w:rFonts w:ascii="Arial" w:hAnsi="Arial" w:cs="Arial"/>
                <w:sz w:val="20"/>
                <w:szCs w:val="20"/>
                <w:highlight w:val="lightGray"/>
              </w:rPr>
              <w:t xml:space="preserve"> </w:t>
            </w:r>
            <w:r>
              <w:rPr>
                <w:rFonts w:ascii="Arial" w:hAnsi="Arial" w:cs="Arial"/>
                <w:sz w:val="20"/>
                <w:szCs w:val="20"/>
                <w:highlight w:val="lightGray"/>
              </w:rPr>
              <w:t>data</w:t>
            </w:r>
            <w:r w:rsidR="001B5206">
              <w:rPr>
                <w:rFonts w:ascii="Arial" w:hAnsi="Arial" w:cs="Arial"/>
                <w:sz w:val="20"/>
                <w:szCs w:val="20"/>
                <w:highlight w:val="lightGray"/>
              </w:rPr>
              <w:t xml:space="preserve"> indicates that </w:t>
            </w:r>
            <w:r w:rsidR="00BA4B16">
              <w:rPr>
                <w:rFonts w:ascii="Arial" w:hAnsi="Arial" w:cs="Arial"/>
                <w:sz w:val="20"/>
                <w:szCs w:val="20"/>
                <w:highlight w:val="lightGray"/>
              </w:rPr>
              <w:t>over 75% of the students met the 70% minimum requirement for mastery of the outcome</w:t>
            </w:r>
            <w:r w:rsidR="001B5206">
              <w:rPr>
                <w:rFonts w:ascii="Arial" w:hAnsi="Arial" w:cs="Arial"/>
                <w:sz w:val="20"/>
                <w:szCs w:val="20"/>
                <w:highlight w:val="lightGray"/>
              </w:rPr>
              <w:t>.</w:t>
            </w:r>
          </w:p>
        </w:tc>
      </w:tr>
      <w:tr w:rsidR="000447FF" w:rsidRPr="004C52FC" w:rsidTr="00B27D9D">
        <w:trPr>
          <w:trHeight w:val="72"/>
        </w:trPr>
        <w:tc>
          <w:tcPr>
            <w:tcW w:w="2358" w:type="dxa"/>
            <w:gridSpan w:val="2"/>
            <w:shd w:val="clear" w:color="auto" w:fill="FFFFFF"/>
          </w:tcPr>
          <w:p w:rsidR="000447FF" w:rsidRPr="00814EB1" w:rsidRDefault="000447FF" w:rsidP="00B27D9D">
            <w:pPr>
              <w:rPr>
                <w:rFonts w:ascii="Verdana" w:hAnsi="Verdana"/>
                <w:sz w:val="20"/>
                <w:szCs w:val="20"/>
              </w:rPr>
            </w:pPr>
            <w:r>
              <w:rPr>
                <w:rFonts w:ascii="Verdana" w:hAnsi="Verdana"/>
                <w:sz w:val="20"/>
                <w:szCs w:val="20"/>
              </w:rPr>
              <w:lastRenderedPageBreak/>
              <w:t>Apply the principles of financial, managerial, cost and tax accounting.</w:t>
            </w:r>
          </w:p>
        </w:tc>
        <w:tc>
          <w:tcPr>
            <w:tcW w:w="2070" w:type="dxa"/>
          </w:tcPr>
          <w:p w:rsidR="000447FF" w:rsidRDefault="000447FF" w:rsidP="00B27D9D">
            <w:pPr>
              <w:rPr>
                <w:rFonts w:ascii="Verdana" w:hAnsi="Verdana"/>
                <w:sz w:val="20"/>
                <w:szCs w:val="20"/>
              </w:rPr>
            </w:pPr>
            <w:r w:rsidRPr="00DF7C71">
              <w:rPr>
                <w:rFonts w:ascii="Verdana" w:hAnsi="Verdana"/>
                <w:sz w:val="20"/>
                <w:szCs w:val="20"/>
              </w:rPr>
              <w:t>ACC 1210,</w:t>
            </w:r>
          </w:p>
          <w:p w:rsidR="000447FF" w:rsidRDefault="000447FF" w:rsidP="00B27D9D">
            <w:pPr>
              <w:rPr>
                <w:rFonts w:ascii="Verdana" w:hAnsi="Verdana"/>
                <w:sz w:val="20"/>
                <w:szCs w:val="20"/>
              </w:rPr>
            </w:pPr>
            <w:r>
              <w:rPr>
                <w:rFonts w:ascii="Verdana" w:hAnsi="Verdana"/>
                <w:sz w:val="20"/>
                <w:szCs w:val="20"/>
              </w:rPr>
              <w:t xml:space="preserve">ACC </w:t>
            </w:r>
            <w:r w:rsidRPr="00DF7C71">
              <w:rPr>
                <w:rFonts w:ascii="Verdana" w:hAnsi="Verdana"/>
                <w:sz w:val="20"/>
                <w:szCs w:val="20"/>
              </w:rPr>
              <w:t>1220,</w:t>
            </w:r>
          </w:p>
          <w:p w:rsidR="000447FF" w:rsidRDefault="000447FF" w:rsidP="00B27D9D">
            <w:pPr>
              <w:rPr>
                <w:rFonts w:ascii="Verdana" w:hAnsi="Verdana"/>
                <w:sz w:val="20"/>
                <w:szCs w:val="20"/>
              </w:rPr>
            </w:pPr>
            <w:r>
              <w:rPr>
                <w:rFonts w:ascii="Verdana" w:hAnsi="Verdana"/>
                <w:sz w:val="20"/>
                <w:szCs w:val="20"/>
              </w:rPr>
              <w:t xml:space="preserve">ACC </w:t>
            </w:r>
            <w:r w:rsidRPr="00DF7C71">
              <w:rPr>
                <w:rFonts w:ascii="Verdana" w:hAnsi="Verdana"/>
                <w:sz w:val="20"/>
                <w:szCs w:val="20"/>
              </w:rPr>
              <w:t>2101,</w:t>
            </w:r>
          </w:p>
          <w:p w:rsidR="000447FF" w:rsidRPr="00DF7C71" w:rsidRDefault="000447FF" w:rsidP="00B27D9D">
            <w:pPr>
              <w:rPr>
                <w:rFonts w:ascii="Verdana" w:hAnsi="Verdana"/>
                <w:sz w:val="20"/>
                <w:szCs w:val="20"/>
              </w:rPr>
            </w:pPr>
            <w:r>
              <w:rPr>
                <w:rFonts w:ascii="Verdana" w:hAnsi="Verdana"/>
                <w:sz w:val="20"/>
                <w:szCs w:val="20"/>
              </w:rPr>
              <w:t xml:space="preserve">ACC </w:t>
            </w:r>
            <w:r w:rsidRPr="00DF7C71">
              <w:rPr>
                <w:rFonts w:ascii="Verdana" w:hAnsi="Verdana"/>
                <w:sz w:val="20"/>
                <w:szCs w:val="20"/>
              </w:rPr>
              <w:t>2102</w:t>
            </w:r>
            <w:r>
              <w:rPr>
                <w:rFonts w:ascii="Verdana" w:hAnsi="Verdana"/>
                <w:sz w:val="20"/>
                <w:szCs w:val="20"/>
              </w:rPr>
              <w:t>,</w:t>
            </w:r>
          </w:p>
          <w:p w:rsidR="000447FF" w:rsidRDefault="000447FF" w:rsidP="00B27D9D">
            <w:pPr>
              <w:rPr>
                <w:rFonts w:ascii="Verdana" w:hAnsi="Verdana"/>
                <w:sz w:val="20"/>
                <w:szCs w:val="20"/>
              </w:rPr>
            </w:pPr>
            <w:r>
              <w:rPr>
                <w:rFonts w:ascii="Verdana" w:hAnsi="Verdana"/>
                <w:sz w:val="20"/>
                <w:szCs w:val="20"/>
              </w:rPr>
              <w:t xml:space="preserve">ACC </w:t>
            </w:r>
            <w:r w:rsidRPr="00DF7C71">
              <w:rPr>
                <w:rFonts w:ascii="Verdana" w:hAnsi="Verdana"/>
                <w:sz w:val="20"/>
                <w:szCs w:val="20"/>
              </w:rPr>
              <w:t>2211,</w:t>
            </w:r>
          </w:p>
          <w:p w:rsidR="000447FF" w:rsidRDefault="000447FF" w:rsidP="00B27D9D">
            <w:pPr>
              <w:rPr>
                <w:rFonts w:ascii="Verdana" w:hAnsi="Verdana"/>
                <w:sz w:val="20"/>
                <w:szCs w:val="20"/>
              </w:rPr>
            </w:pPr>
            <w:r>
              <w:rPr>
                <w:rFonts w:ascii="Verdana" w:hAnsi="Verdana"/>
                <w:sz w:val="20"/>
                <w:szCs w:val="20"/>
              </w:rPr>
              <w:t xml:space="preserve">ACC </w:t>
            </w:r>
            <w:r w:rsidRPr="00DF7C71">
              <w:rPr>
                <w:rFonts w:ascii="Verdana" w:hAnsi="Verdana"/>
                <w:sz w:val="20"/>
                <w:szCs w:val="20"/>
              </w:rPr>
              <w:t>2212,</w:t>
            </w:r>
          </w:p>
          <w:p w:rsidR="000447FF" w:rsidRDefault="000447FF" w:rsidP="00B27D9D">
            <w:pPr>
              <w:rPr>
                <w:rFonts w:ascii="Verdana" w:hAnsi="Verdana"/>
                <w:sz w:val="20"/>
                <w:szCs w:val="20"/>
              </w:rPr>
            </w:pPr>
            <w:r>
              <w:rPr>
                <w:rFonts w:ascii="Verdana" w:hAnsi="Verdana"/>
                <w:sz w:val="20"/>
                <w:szCs w:val="20"/>
              </w:rPr>
              <w:t xml:space="preserve">ACC </w:t>
            </w:r>
            <w:r w:rsidRPr="00DF7C71">
              <w:rPr>
                <w:rFonts w:ascii="Verdana" w:hAnsi="Verdana"/>
                <w:sz w:val="20"/>
                <w:szCs w:val="20"/>
              </w:rPr>
              <w:t>2321,</w:t>
            </w:r>
          </w:p>
          <w:p w:rsidR="00AE7070" w:rsidRDefault="000447FF" w:rsidP="00B27D9D">
            <w:pPr>
              <w:rPr>
                <w:rFonts w:ascii="Verdana" w:hAnsi="Verdana"/>
                <w:sz w:val="20"/>
                <w:szCs w:val="20"/>
              </w:rPr>
            </w:pPr>
            <w:r>
              <w:rPr>
                <w:rFonts w:ascii="Verdana" w:hAnsi="Verdana"/>
                <w:sz w:val="20"/>
                <w:szCs w:val="20"/>
              </w:rPr>
              <w:t xml:space="preserve">ACC </w:t>
            </w:r>
            <w:r w:rsidR="00AE7070">
              <w:rPr>
                <w:rFonts w:ascii="Verdana" w:hAnsi="Verdana"/>
                <w:sz w:val="20"/>
                <w:szCs w:val="20"/>
              </w:rPr>
              <w:t>2350,</w:t>
            </w:r>
          </w:p>
          <w:p w:rsidR="000447FF" w:rsidRDefault="000447FF" w:rsidP="00B27D9D">
            <w:pPr>
              <w:rPr>
                <w:rFonts w:ascii="Verdana" w:hAnsi="Verdana"/>
                <w:sz w:val="20"/>
                <w:szCs w:val="20"/>
              </w:rPr>
            </w:pPr>
            <w:r w:rsidRPr="00DF7C71">
              <w:rPr>
                <w:rFonts w:ascii="Verdana" w:hAnsi="Verdana"/>
                <w:sz w:val="20"/>
                <w:szCs w:val="20"/>
              </w:rPr>
              <w:t xml:space="preserve">ACC </w:t>
            </w:r>
            <w:r>
              <w:rPr>
                <w:rFonts w:ascii="Verdana" w:hAnsi="Verdana"/>
                <w:sz w:val="20"/>
                <w:szCs w:val="20"/>
              </w:rPr>
              <w:t>2322,</w:t>
            </w:r>
          </w:p>
          <w:p w:rsidR="000447FF" w:rsidRDefault="000447FF" w:rsidP="00B27D9D">
            <w:pPr>
              <w:rPr>
                <w:rFonts w:ascii="Verdana" w:hAnsi="Verdana"/>
                <w:sz w:val="20"/>
                <w:szCs w:val="20"/>
              </w:rPr>
            </w:pPr>
            <w:r>
              <w:rPr>
                <w:rFonts w:ascii="Verdana" w:hAnsi="Verdana"/>
                <w:sz w:val="20"/>
                <w:szCs w:val="20"/>
              </w:rPr>
              <w:t>ACC 2510,</w:t>
            </w:r>
          </w:p>
          <w:p w:rsidR="000447FF" w:rsidRPr="00DF7C71" w:rsidRDefault="000447FF" w:rsidP="00B27D9D">
            <w:pPr>
              <w:rPr>
                <w:rFonts w:ascii="Verdana" w:hAnsi="Verdana"/>
                <w:sz w:val="20"/>
                <w:szCs w:val="20"/>
              </w:rPr>
            </w:pPr>
            <w:r>
              <w:rPr>
                <w:rFonts w:ascii="Verdana" w:hAnsi="Verdana"/>
                <w:sz w:val="20"/>
                <w:szCs w:val="20"/>
              </w:rPr>
              <w:t>ACC 2700</w:t>
            </w:r>
          </w:p>
        </w:tc>
        <w:tc>
          <w:tcPr>
            <w:tcW w:w="1440" w:type="dxa"/>
            <w:shd w:val="clear" w:color="auto" w:fill="auto"/>
          </w:tcPr>
          <w:p w:rsidR="000447FF" w:rsidRPr="009A4106" w:rsidRDefault="000447FF" w:rsidP="000F6705">
            <w:pPr>
              <w:pStyle w:val="ListParagraph"/>
              <w:ind w:left="0"/>
              <w:rPr>
                <w:rFonts w:ascii="Arial" w:hAnsi="Arial" w:cs="Arial"/>
                <w:color w:val="000000" w:themeColor="text1"/>
                <w:sz w:val="20"/>
                <w:szCs w:val="20"/>
                <w:highlight w:val="lightGray"/>
              </w:rPr>
            </w:pPr>
            <w:r w:rsidRPr="009A4106">
              <w:rPr>
                <w:rFonts w:ascii="Arial" w:hAnsi="Arial" w:cs="Arial"/>
                <w:color w:val="000000" w:themeColor="text1"/>
                <w:sz w:val="20"/>
                <w:szCs w:val="20"/>
                <w:highlight w:val="lightGray"/>
              </w:rPr>
              <w:t>FY 1</w:t>
            </w:r>
            <w:r w:rsidR="000F6705">
              <w:rPr>
                <w:rFonts w:ascii="Arial" w:hAnsi="Arial" w:cs="Arial"/>
                <w:color w:val="000000" w:themeColor="text1"/>
                <w:sz w:val="20"/>
                <w:szCs w:val="20"/>
                <w:highlight w:val="lightGray"/>
              </w:rPr>
              <w:t>2</w:t>
            </w:r>
            <w:r w:rsidRPr="009A4106">
              <w:rPr>
                <w:rFonts w:ascii="Arial" w:hAnsi="Arial" w:cs="Arial"/>
                <w:color w:val="000000" w:themeColor="text1"/>
                <w:sz w:val="20"/>
                <w:szCs w:val="20"/>
                <w:highlight w:val="lightGray"/>
              </w:rPr>
              <w:t>-1</w:t>
            </w:r>
            <w:r w:rsidR="000F6705">
              <w:rPr>
                <w:rFonts w:ascii="Arial" w:hAnsi="Arial" w:cs="Arial"/>
                <w:color w:val="000000" w:themeColor="text1"/>
                <w:sz w:val="20"/>
                <w:szCs w:val="20"/>
                <w:highlight w:val="lightGray"/>
              </w:rPr>
              <w:t>3</w:t>
            </w:r>
          </w:p>
        </w:tc>
        <w:tc>
          <w:tcPr>
            <w:tcW w:w="2160" w:type="dxa"/>
          </w:tcPr>
          <w:p w:rsidR="000447FF" w:rsidRPr="009A4106" w:rsidRDefault="004163F8" w:rsidP="00A505B9">
            <w:pPr>
              <w:pStyle w:val="ListParagraph"/>
              <w:ind w:left="0"/>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Simulation</w:t>
            </w:r>
          </w:p>
        </w:tc>
        <w:tc>
          <w:tcPr>
            <w:tcW w:w="5130" w:type="dxa"/>
          </w:tcPr>
          <w:p w:rsidR="00185B07" w:rsidRDefault="00ED1CB5" w:rsidP="00A505B9">
            <w:pPr>
              <w:pStyle w:val="ListParagraph"/>
              <w:ind w:left="0"/>
              <w:rPr>
                <w:rFonts w:ascii="Arial" w:hAnsi="Arial" w:cs="Arial"/>
                <w:sz w:val="20"/>
                <w:szCs w:val="20"/>
                <w:highlight w:val="lightGray"/>
              </w:rPr>
            </w:pPr>
            <w:r>
              <w:rPr>
                <w:noProof/>
              </w:rPr>
              <w:drawing>
                <wp:inline distT="0" distB="0" distL="0" distR="0" wp14:anchorId="4BEE9A69" wp14:editId="1BA69CE4">
                  <wp:extent cx="3286125" cy="2876550"/>
                  <wp:effectExtent l="0" t="0" r="952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D1CB5" w:rsidRDefault="00ED1CB5" w:rsidP="00185B07">
            <w:pPr>
              <w:pStyle w:val="ListParagraph"/>
              <w:ind w:left="0"/>
              <w:rPr>
                <w:rFonts w:ascii="Arial" w:hAnsi="Arial" w:cs="Arial"/>
                <w:sz w:val="20"/>
                <w:szCs w:val="20"/>
                <w:highlight w:val="lightGray"/>
              </w:rPr>
            </w:pPr>
          </w:p>
          <w:p w:rsidR="00185B07" w:rsidRDefault="000B060D" w:rsidP="00185B07">
            <w:pPr>
              <w:pStyle w:val="ListParagraph"/>
              <w:ind w:left="0"/>
              <w:rPr>
                <w:rFonts w:ascii="Arial" w:hAnsi="Arial" w:cs="Arial"/>
                <w:sz w:val="20"/>
                <w:szCs w:val="20"/>
                <w:highlight w:val="lightGray"/>
              </w:rPr>
            </w:pPr>
            <w:r>
              <w:rPr>
                <w:rFonts w:ascii="Arial" w:hAnsi="Arial" w:cs="Arial"/>
                <w:sz w:val="20"/>
                <w:szCs w:val="20"/>
                <w:highlight w:val="lightGray"/>
              </w:rPr>
              <w:t xml:space="preserve">ACC2101 Practice set is used to assess </w:t>
            </w:r>
            <w:r w:rsidR="004A67DB">
              <w:rPr>
                <w:rFonts w:ascii="Arial" w:hAnsi="Arial" w:cs="Arial"/>
                <w:sz w:val="20"/>
                <w:szCs w:val="20"/>
                <w:highlight w:val="lightGray"/>
              </w:rPr>
              <w:t xml:space="preserve">intermediate accounting </w:t>
            </w:r>
            <w:r>
              <w:rPr>
                <w:rFonts w:ascii="Arial" w:hAnsi="Arial" w:cs="Arial"/>
                <w:sz w:val="20"/>
                <w:szCs w:val="20"/>
                <w:highlight w:val="lightGray"/>
              </w:rPr>
              <w:t xml:space="preserve">student mastery of the principles of </w:t>
            </w:r>
            <w:r w:rsidR="00185B07">
              <w:rPr>
                <w:rFonts w:ascii="Arial" w:hAnsi="Arial" w:cs="Arial"/>
                <w:sz w:val="20"/>
                <w:szCs w:val="20"/>
                <w:highlight w:val="lightGray"/>
              </w:rPr>
              <w:t>accounting.</w:t>
            </w:r>
          </w:p>
          <w:p w:rsidR="000B060D" w:rsidRDefault="00185B07" w:rsidP="00185B07">
            <w:pPr>
              <w:pStyle w:val="ListParagraph"/>
              <w:ind w:left="0"/>
              <w:rPr>
                <w:rFonts w:ascii="Arial" w:hAnsi="Arial" w:cs="Arial"/>
                <w:sz w:val="20"/>
                <w:szCs w:val="20"/>
                <w:highlight w:val="lightGray"/>
              </w:rPr>
            </w:pPr>
            <w:r>
              <w:rPr>
                <w:rFonts w:ascii="Arial" w:hAnsi="Arial" w:cs="Arial"/>
                <w:sz w:val="20"/>
                <w:szCs w:val="20"/>
                <w:highlight w:val="lightGray"/>
              </w:rPr>
              <w:t xml:space="preserve">The chart above reflects the percentage of students who scored </w:t>
            </w:r>
            <w:r w:rsidR="00ED1CB5">
              <w:rPr>
                <w:rFonts w:ascii="Arial" w:hAnsi="Arial" w:cs="Arial"/>
                <w:sz w:val="20"/>
                <w:szCs w:val="20"/>
                <w:highlight w:val="lightGray"/>
              </w:rPr>
              <w:t>over 70%, over 75</w:t>
            </w:r>
            <w:r>
              <w:rPr>
                <w:rFonts w:ascii="Arial" w:hAnsi="Arial" w:cs="Arial"/>
                <w:sz w:val="20"/>
                <w:szCs w:val="20"/>
                <w:highlight w:val="lightGray"/>
              </w:rPr>
              <w:t>%,</w:t>
            </w:r>
            <w:r w:rsidR="00ED1CB5">
              <w:rPr>
                <w:rFonts w:ascii="Arial" w:hAnsi="Arial" w:cs="Arial"/>
                <w:sz w:val="20"/>
                <w:szCs w:val="20"/>
                <w:highlight w:val="lightGray"/>
              </w:rPr>
              <w:t xml:space="preserve"> and over 8</w:t>
            </w:r>
            <w:r>
              <w:rPr>
                <w:rFonts w:ascii="Arial" w:hAnsi="Arial" w:cs="Arial"/>
                <w:sz w:val="20"/>
                <w:szCs w:val="20"/>
                <w:highlight w:val="lightGray"/>
              </w:rPr>
              <w:t>0%</w:t>
            </w:r>
            <w:r w:rsidR="007A0737">
              <w:rPr>
                <w:rFonts w:ascii="Arial" w:hAnsi="Arial" w:cs="Arial"/>
                <w:sz w:val="20"/>
                <w:szCs w:val="20"/>
                <w:highlight w:val="lightGray"/>
              </w:rPr>
              <w:t>.</w:t>
            </w:r>
          </w:p>
          <w:p w:rsidR="007A0737" w:rsidRPr="006620B0" w:rsidRDefault="005E193D" w:rsidP="00D95985">
            <w:pPr>
              <w:pStyle w:val="ListParagraph"/>
              <w:ind w:left="0"/>
              <w:rPr>
                <w:rFonts w:ascii="Arial" w:hAnsi="Arial" w:cs="Arial"/>
                <w:sz w:val="20"/>
                <w:szCs w:val="20"/>
                <w:highlight w:val="lightGray"/>
              </w:rPr>
            </w:pPr>
            <w:r>
              <w:rPr>
                <w:rFonts w:ascii="Arial" w:hAnsi="Arial" w:cs="Arial"/>
                <w:sz w:val="20"/>
                <w:szCs w:val="20"/>
                <w:highlight w:val="lightGray"/>
              </w:rPr>
              <w:t>The</w:t>
            </w:r>
            <w:r w:rsidR="00BA4B16">
              <w:rPr>
                <w:rFonts w:ascii="Arial" w:hAnsi="Arial" w:cs="Arial"/>
                <w:sz w:val="20"/>
                <w:szCs w:val="20"/>
                <w:highlight w:val="lightGray"/>
              </w:rPr>
              <w:t xml:space="preserve"> </w:t>
            </w:r>
            <w:r>
              <w:rPr>
                <w:rFonts w:ascii="Arial" w:hAnsi="Arial" w:cs="Arial"/>
                <w:sz w:val="20"/>
                <w:szCs w:val="20"/>
                <w:highlight w:val="lightGray"/>
              </w:rPr>
              <w:t>data</w:t>
            </w:r>
            <w:r w:rsidR="007A0737">
              <w:rPr>
                <w:rFonts w:ascii="Arial" w:hAnsi="Arial" w:cs="Arial"/>
                <w:sz w:val="20"/>
                <w:szCs w:val="20"/>
                <w:highlight w:val="lightGray"/>
              </w:rPr>
              <w:t xml:space="preserve"> indicates that over 80% of the students met the 70% minimum requirement for mastery of the </w:t>
            </w:r>
            <w:r w:rsidR="00BA4B16">
              <w:rPr>
                <w:rFonts w:ascii="Arial" w:hAnsi="Arial" w:cs="Arial"/>
                <w:sz w:val="20"/>
                <w:szCs w:val="20"/>
                <w:highlight w:val="lightGray"/>
              </w:rPr>
              <w:t>outcome</w:t>
            </w:r>
            <w:r w:rsidR="00B54864">
              <w:rPr>
                <w:rFonts w:ascii="Arial" w:hAnsi="Arial" w:cs="Arial"/>
                <w:sz w:val="20"/>
                <w:szCs w:val="20"/>
                <w:highlight w:val="lightGray"/>
              </w:rPr>
              <w:t xml:space="preserve">. </w:t>
            </w:r>
          </w:p>
        </w:tc>
      </w:tr>
      <w:tr w:rsidR="000447FF" w:rsidRPr="004C52FC" w:rsidTr="00B27D9D">
        <w:trPr>
          <w:trHeight w:val="72"/>
        </w:trPr>
        <w:tc>
          <w:tcPr>
            <w:tcW w:w="2358" w:type="dxa"/>
            <w:gridSpan w:val="2"/>
            <w:shd w:val="clear" w:color="auto" w:fill="FFFFFF"/>
          </w:tcPr>
          <w:p w:rsidR="000447FF" w:rsidRPr="00814EB1" w:rsidRDefault="000447FF" w:rsidP="00B27D9D">
            <w:pPr>
              <w:rPr>
                <w:rFonts w:ascii="Verdana" w:hAnsi="Verdana"/>
                <w:sz w:val="20"/>
                <w:szCs w:val="20"/>
              </w:rPr>
            </w:pPr>
            <w:r>
              <w:rPr>
                <w:rFonts w:ascii="Verdana" w:hAnsi="Verdana"/>
                <w:sz w:val="20"/>
                <w:szCs w:val="20"/>
              </w:rPr>
              <w:lastRenderedPageBreak/>
              <w:t>Describe and apply general business knowledge skills and computer skills.</w:t>
            </w:r>
          </w:p>
        </w:tc>
        <w:tc>
          <w:tcPr>
            <w:tcW w:w="2070" w:type="dxa"/>
          </w:tcPr>
          <w:p w:rsidR="000447FF" w:rsidRDefault="006620B0" w:rsidP="00B27D9D">
            <w:pPr>
              <w:rPr>
                <w:rFonts w:ascii="Verdana" w:hAnsi="Verdana"/>
                <w:sz w:val="20"/>
                <w:szCs w:val="20"/>
              </w:rPr>
            </w:pPr>
            <w:r>
              <w:rPr>
                <w:rFonts w:ascii="Verdana" w:hAnsi="Verdana"/>
                <w:sz w:val="20"/>
                <w:szCs w:val="20"/>
              </w:rPr>
              <w:t>LAW 1101,</w:t>
            </w:r>
          </w:p>
          <w:p w:rsidR="000447FF" w:rsidRDefault="000447FF" w:rsidP="00B27D9D">
            <w:pPr>
              <w:rPr>
                <w:rFonts w:ascii="Verdana" w:hAnsi="Verdana"/>
                <w:sz w:val="20"/>
                <w:szCs w:val="20"/>
              </w:rPr>
            </w:pPr>
            <w:r>
              <w:rPr>
                <w:rFonts w:ascii="Verdana" w:hAnsi="Verdana"/>
                <w:sz w:val="20"/>
                <w:szCs w:val="20"/>
              </w:rPr>
              <w:t>LAW 1102,</w:t>
            </w:r>
          </w:p>
          <w:p w:rsidR="006620B0" w:rsidRDefault="006620B0" w:rsidP="00B27D9D">
            <w:pPr>
              <w:rPr>
                <w:rFonts w:ascii="Verdana" w:hAnsi="Verdana"/>
                <w:sz w:val="20"/>
                <w:szCs w:val="20"/>
              </w:rPr>
            </w:pPr>
            <w:r>
              <w:rPr>
                <w:rFonts w:ascii="Verdana" w:hAnsi="Verdana"/>
                <w:sz w:val="20"/>
                <w:szCs w:val="20"/>
              </w:rPr>
              <w:t>MAN 1101,</w:t>
            </w:r>
          </w:p>
          <w:p w:rsidR="006620B0" w:rsidRDefault="006620B0" w:rsidP="00B27D9D">
            <w:pPr>
              <w:rPr>
                <w:rFonts w:ascii="Verdana" w:hAnsi="Verdana"/>
                <w:sz w:val="20"/>
                <w:szCs w:val="20"/>
              </w:rPr>
            </w:pPr>
            <w:r>
              <w:rPr>
                <w:rFonts w:ascii="Verdana" w:hAnsi="Verdana"/>
                <w:sz w:val="20"/>
                <w:szCs w:val="20"/>
              </w:rPr>
              <w:t>MRK 2101,</w:t>
            </w:r>
          </w:p>
          <w:p w:rsidR="006620B0" w:rsidRDefault="006620B0" w:rsidP="00B27D9D">
            <w:pPr>
              <w:rPr>
                <w:rFonts w:ascii="Verdana" w:hAnsi="Verdana"/>
                <w:sz w:val="20"/>
                <w:szCs w:val="20"/>
              </w:rPr>
            </w:pPr>
            <w:r>
              <w:rPr>
                <w:rFonts w:ascii="Verdana" w:hAnsi="Verdana"/>
                <w:sz w:val="20"/>
                <w:szCs w:val="20"/>
              </w:rPr>
              <w:t>ECO 2160,</w:t>
            </w:r>
          </w:p>
          <w:p w:rsidR="006620B0" w:rsidRDefault="000447FF" w:rsidP="00B27D9D">
            <w:pPr>
              <w:rPr>
                <w:rFonts w:ascii="Verdana" w:hAnsi="Verdana"/>
                <w:sz w:val="20"/>
                <w:szCs w:val="20"/>
              </w:rPr>
            </w:pPr>
            <w:r>
              <w:rPr>
                <w:rFonts w:ascii="Verdana" w:hAnsi="Verdana"/>
                <w:sz w:val="20"/>
                <w:szCs w:val="20"/>
              </w:rPr>
              <w:t xml:space="preserve">ECO </w:t>
            </w:r>
            <w:r w:rsidR="006620B0">
              <w:rPr>
                <w:rFonts w:ascii="Verdana" w:hAnsi="Verdana"/>
                <w:sz w:val="20"/>
                <w:szCs w:val="20"/>
              </w:rPr>
              <w:t>2180,</w:t>
            </w:r>
          </w:p>
          <w:p w:rsidR="000447FF" w:rsidRDefault="000447FF" w:rsidP="00B27D9D">
            <w:pPr>
              <w:rPr>
                <w:rFonts w:ascii="Verdana" w:hAnsi="Verdana"/>
                <w:sz w:val="20"/>
                <w:szCs w:val="20"/>
              </w:rPr>
            </w:pPr>
            <w:r w:rsidRPr="00DF7C71">
              <w:rPr>
                <w:rFonts w:ascii="Verdana" w:hAnsi="Verdana"/>
                <w:sz w:val="20"/>
                <w:szCs w:val="20"/>
              </w:rPr>
              <w:t>ACC 1510,</w:t>
            </w:r>
          </w:p>
          <w:p w:rsidR="000447FF" w:rsidRDefault="000447FF" w:rsidP="00B27D9D">
            <w:pPr>
              <w:rPr>
                <w:rFonts w:ascii="Verdana" w:hAnsi="Verdana"/>
                <w:sz w:val="20"/>
                <w:szCs w:val="20"/>
              </w:rPr>
            </w:pPr>
            <w:r>
              <w:rPr>
                <w:rFonts w:ascii="Verdana" w:hAnsi="Verdana"/>
                <w:sz w:val="20"/>
                <w:szCs w:val="20"/>
              </w:rPr>
              <w:t>MAN 2110,</w:t>
            </w:r>
          </w:p>
          <w:p w:rsidR="000447FF" w:rsidRDefault="000447FF" w:rsidP="00B27D9D">
            <w:pPr>
              <w:rPr>
                <w:rFonts w:ascii="Verdana" w:hAnsi="Verdana"/>
                <w:sz w:val="20"/>
                <w:szCs w:val="20"/>
              </w:rPr>
            </w:pPr>
            <w:r>
              <w:rPr>
                <w:rFonts w:ascii="Verdana" w:hAnsi="Verdana"/>
                <w:sz w:val="20"/>
                <w:szCs w:val="20"/>
              </w:rPr>
              <w:t>MAN 1110,</w:t>
            </w:r>
          </w:p>
          <w:p w:rsidR="000447FF" w:rsidRDefault="000447FF" w:rsidP="00B27D9D">
            <w:pPr>
              <w:rPr>
                <w:rFonts w:ascii="Verdana" w:hAnsi="Verdana"/>
                <w:sz w:val="20"/>
                <w:szCs w:val="20"/>
              </w:rPr>
            </w:pPr>
            <w:r>
              <w:rPr>
                <w:rFonts w:ascii="Verdana" w:hAnsi="Verdana"/>
                <w:sz w:val="20"/>
                <w:szCs w:val="20"/>
              </w:rPr>
              <w:t>MAN 1106,</w:t>
            </w:r>
          </w:p>
          <w:p w:rsidR="000447FF" w:rsidRPr="00DF7C71" w:rsidRDefault="000447FF" w:rsidP="00B27D9D">
            <w:pPr>
              <w:rPr>
                <w:rFonts w:ascii="Verdana" w:hAnsi="Verdana"/>
                <w:sz w:val="20"/>
                <w:szCs w:val="20"/>
              </w:rPr>
            </w:pPr>
            <w:r>
              <w:rPr>
                <w:rFonts w:ascii="Verdana" w:hAnsi="Verdana"/>
                <w:sz w:val="20"/>
                <w:szCs w:val="20"/>
              </w:rPr>
              <w:t>MRK 2145,</w:t>
            </w:r>
            <w:r w:rsidRPr="00DF7C71">
              <w:rPr>
                <w:rFonts w:ascii="Verdana" w:hAnsi="Verdana"/>
                <w:sz w:val="20"/>
                <w:szCs w:val="20"/>
              </w:rPr>
              <w:t xml:space="preserve"> </w:t>
            </w:r>
          </w:p>
        </w:tc>
        <w:tc>
          <w:tcPr>
            <w:tcW w:w="1440" w:type="dxa"/>
            <w:shd w:val="clear" w:color="auto" w:fill="auto"/>
          </w:tcPr>
          <w:p w:rsidR="000447FF" w:rsidRPr="009A4106" w:rsidRDefault="00D17A66" w:rsidP="00A505B9">
            <w:pPr>
              <w:pStyle w:val="ListParagraph"/>
              <w:ind w:left="0"/>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FY 12-13</w:t>
            </w:r>
          </w:p>
        </w:tc>
        <w:tc>
          <w:tcPr>
            <w:tcW w:w="2160" w:type="dxa"/>
          </w:tcPr>
          <w:p w:rsidR="000447FF" w:rsidRPr="009A4106" w:rsidRDefault="000447FF" w:rsidP="00A505B9">
            <w:pPr>
              <w:pStyle w:val="ListParagraph"/>
              <w:ind w:left="0"/>
              <w:rPr>
                <w:rFonts w:ascii="Arial" w:hAnsi="Arial" w:cs="Arial"/>
                <w:color w:val="000000" w:themeColor="text1"/>
                <w:sz w:val="20"/>
                <w:szCs w:val="20"/>
                <w:highlight w:val="lightGray"/>
              </w:rPr>
            </w:pPr>
            <w:r w:rsidRPr="009A4106">
              <w:rPr>
                <w:rFonts w:ascii="Arial" w:hAnsi="Arial" w:cs="Arial"/>
                <w:color w:val="000000" w:themeColor="text1"/>
                <w:sz w:val="20"/>
                <w:szCs w:val="20"/>
                <w:highlight w:val="lightGray"/>
              </w:rPr>
              <w:t>Assignments</w:t>
            </w:r>
          </w:p>
        </w:tc>
        <w:tc>
          <w:tcPr>
            <w:tcW w:w="5130" w:type="dxa"/>
          </w:tcPr>
          <w:p w:rsidR="00E57CE2" w:rsidRDefault="00E57CE2" w:rsidP="00E57CE2">
            <w:pPr>
              <w:pStyle w:val="ListParagraph"/>
              <w:ind w:left="0"/>
              <w:rPr>
                <w:rFonts w:ascii="Arial" w:hAnsi="Arial" w:cs="Arial"/>
                <w:sz w:val="20"/>
                <w:szCs w:val="20"/>
                <w:highlight w:val="lightGray"/>
              </w:rPr>
            </w:pPr>
            <w:r>
              <w:rPr>
                <w:noProof/>
              </w:rPr>
              <w:drawing>
                <wp:inline distT="0" distB="0" distL="0" distR="0" wp14:anchorId="1189CB87" wp14:editId="6E51BF59">
                  <wp:extent cx="3152774" cy="2505075"/>
                  <wp:effectExtent l="0" t="0" r="1016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7CE2" w:rsidRDefault="00E57CE2" w:rsidP="00E57CE2">
            <w:pPr>
              <w:pStyle w:val="ListParagraph"/>
              <w:ind w:left="0"/>
              <w:rPr>
                <w:rFonts w:ascii="Arial" w:hAnsi="Arial" w:cs="Arial"/>
                <w:sz w:val="20"/>
                <w:szCs w:val="20"/>
                <w:highlight w:val="lightGray"/>
              </w:rPr>
            </w:pPr>
          </w:p>
          <w:p w:rsidR="00852DE6" w:rsidRDefault="00852DE6" w:rsidP="00E57CE2">
            <w:pPr>
              <w:pStyle w:val="ListParagraph"/>
              <w:ind w:left="0"/>
              <w:rPr>
                <w:rFonts w:ascii="Arial" w:hAnsi="Arial" w:cs="Arial"/>
                <w:sz w:val="20"/>
                <w:szCs w:val="20"/>
                <w:highlight w:val="lightGray"/>
              </w:rPr>
            </w:pPr>
          </w:p>
          <w:p w:rsidR="00E57CE2" w:rsidRDefault="00E57CE2" w:rsidP="00E57CE2">
            <w:pPr>
              <w:pStyle w:val="ListParagraph"/>
              <w:ind w:left="0"/>
              <w:rPr>
                <w:rFonts w:ascii="Arial" w:hAnsi="Arial" w:cs="Arial"/>
                <w:sz w:val="20"/>
                <w:szCs w:val="20"/>
                <w:highlight w:val="lightGray"/>
              </w:rPr>
            </w:pPr>
            <w:r>
              <w:rPr>
                <w:rFonts w:ascii="Arial" w:hAnsi="Arial" w:cs="Arial"/>
                <w:sz w:val="20"/>
                <w:szCs w:val="20"/>
                <w:highlight w:val="lightGray"/>
              </w:rPr>
              <w:t>ACC1510 Final Project is used to assess accounting student mastery of general business knowledge skills and computer skills.</w:t>
            </w:r>
          </w:p>
          <w:p w:rsidR="00E57CE2" w:rsidRDefault="00E57CE2" w:rsidP="00E57CE2">
            <w:pPr>
              <w:pStyle w:val="ListParagraph"/>
              <w:ind w:left="0"/>
              <w:rPr>
                <w:rFonts w:ascii="Arial" w:hAnsi="Arial" w:cs="Arial"/>
                <w:sz w:val="20"/>
                <w:szCs w:val="20"/>
                <w:highlight w:val="lightGray"/>
              </w:rPr>
            </w:pPr>
            <w:r>
              <w:rPr>
                <w:rFonts w:ascii="Arial" w:hAnsi="Arial" w:cs="Arial"/>
                <w:sz w:val="20"/>
                <w:szCs w:val="20"/>
                <w:highlight w:val="lightGray"/>
              </w:rPr>
              <w:t>The chart above reflects the percentage of students who scored over 70%, over 80%, and over 90%.</w:t>
            </w:r>
          </w:p>
          <w:p w:rsidR="000447FF" w:rsidRPr="00AE7070" w:rsidRDefault="00E57CE2" w:rsidP="00E57CE2">
            <w:pPr>
              <w:pStyle w:val="ListParagraph"/>
              <w:ind w:left="0"/>
              <w:rPr>
                <w:rFonts w:ascii="Arial" w:hAnsi="Arial" w:cs="Arial"/>
                <w:sz w:val="20"/>
                <w:szCs w:val="20"/>
                <w:highlight w:val="lightGray"/>
              </w:rPr>
            </w:pPr>
            <w:r>
              <w:rPr>
                <w:rFonts w:ascii="Arial" w:hAnsi="Arial" w:cs="Arial"/>
                <w:sz w:val="20"/>
                <w:szCs w:val="20"/>
                <w:highlight w:val="lightGray"/>
              </w:rPr>
              <w:t>The data indicates that over 82% of the students met the 70% minimum requirement for mastery of the outcome.</w:t>
            </w:r>
          </w:p>
        </w:tc>
      </w:tr>
      <w:tr w:rsidR="000447FF" w:rsidRPr="004C52FC" w:rsidTr="00B27D9D">
        <w:tblPrEx>
          <w:shd w:val="clear" w:color="auto" w:fill="auto"/>
          <w:tblLook w:val="04A0" w:firstRow="1" w:lastRow="0" w:firstColumn="1" w:lastColumn="0" w:noHBand="0" w:noVBand="1"/>
        </w:tblPrEx>
        <w:trPr>
          <w:trHeight w:val="72"/>
        </w:trPr>
        <w:tc>
          <w:tcPr>
            <w:tcW w:w="2358" w:type="dxa"/>
            <w:gridSpan w:val="2"/>
          </w:tcPr>
          <w:p w:rsidR="000447FF" w:rsidRDefault="000447FF" w:rsidP="00B27D9D">
            <w:pPr>
              <w:rPr>
                <w:rFonts w:ascii="Verdana" w:hAnsi="Verdana"/>
                <w:sz w:val="20"/>
                <w:szCs w:val="20"/>
              </w:rPr>
            </w:pPr>
            <w:r>
              <w:rPr>
                <w:rFonts w:ascii="Verdana" w:hAnsi="Verdana"/>
                <w:sz w:val="20"/>
                <w:szCs w:val="20"/>
              </w:rPr>
              <w:lastRenderedPageBreak/>
              <w:t xml:space="preserve">Use analytical problem-solving skills. </w:t>
            </w:r>
          </w:p>
        </w:tc>
        <w:tc>
          <w:tcPr>
            <w:tcW w:w="2070" w:type="dxa"/>
          </w:tcPr>
          <w:p w:rsidR="006620B0" w:rsidRDefault="006620B0" w:rsidP="00B27D9D">
            <w:pPr>
              <w:rPr>
                <w:rFonts w:ascii="Verdana" w:hAnsi="Verdana"/>
                <w:sz w:val="20"/>
                <w:szCs w:val="20"/>
              </w:rPr>
            </w:pPr>
            <w:r>
              <w:rPr>
                <w:rFonts w:ascii="Verdana" w:hAnsi="Verdana"/>
                <w:sz w:val="20"/>
                <w:szCs w:val="20"/>
              </w:rPr>
              <w:t>ACC 2102,</w:t>
            </w:r>
          </w:p>
          <w:p w:rsidR="006620B0" w:rsidRDefault="006620B0" w:rsidP="00B27D9D">
            <w:pPr>
              <w:rPr>
                <w:rFonts w:ascii="Verdana" w:hAnsi="Verdana"/>
                <w:sz w:val="20"/>
                <w:szCs w:val="20"/>
              </w:rPr>
            </w:pPr>
            <w:r>
              <w:rPr>
                <w:rFonts w:ascii="Verdana" w:hAnsi="Verdana"/>
                <w:sz w:val="20"/>
                <w:szCs w:val="20"/>
              </w:rPr>
              <w:t>ACC 2212,</w:t>
            </w:r>
          </w:p>
          <w:p w:rsidR="000447FF" w:rsidRDefault="006620B0" w:rsidP="00B27D9D">
            <w:pPr>
              <w:rPr>
                <w:rFonts w:ascii="Verdana" w:hAnsi="Verdana"/>
                <w:sz w:val="20"/>
                <w:szCs w:val="20"/>
              </w:rPr>
            </w:pPr>
            <w:r>
              <w:rPr>
                <w:rFonts w:ascii="Verdana" w:hAnsi="Verdana"/>
                <w:sz w:val="20"/>
                <w:szCs w:val="20"/>
              </w:rPr>
              <w:t>ACC 2321, Natural/</w:t>
            </w:r>
            <w:r w:rsidR="000447FF">
              <w:rPr>
                <w:rFonts w:ascii="Verdana" w:hAnsi="Verdana"/>
                <w:sz w:val="20"/>
                <w:szCs w:val="20"/>
              </w:rPr>
              <w:t>Physical Science Elective</w:t>
            </w:r>
          </w:p>
        </w:tc>
        <w:tc>
          <w:tcPr>
            <w:tcW w:w="1440" w:type="dxa"/>
          </w:tcPr>
          <w:p w:rsidR="000447FF" w:rsidRPr="009A4106" w:rsidRDefault="00E80DE6" w:rsidP="00E80DE6">
            <w:pPr>
              <w:pStyle w:val="ListParagraph"/>
              <w:ind w:left="0"/>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FY 12</w:t>
            </w:r>
            <w:r w:rsidR="000447FF" w:rsidRPr="009A4106">
              <w:rPr>
                <w:rFonts w:ascii="Arial" w:hAnsi="Arial" w:cs="Arial"/>
                <w:color w:val="000000" w:themeColor="text1"/>
                <w:sz w:val="20"/>
                <w:szCs w:val="20"/>
                <w:highlight w:val="lightGray"/>
              </w:rPr>
              <w:t>-1</w:t>
            </w:r>
            <w:r>
              <w:rPr>
                <w:rFonts w:ascii="Arial" w:hAnsi="Arial" w:cs="Arial"/>
                <w:color w:val="000000" w:themeColor="text1"/>
                <w:sz w:val="20"/>
                <w:szCs w:val="20"/>
                <w:highlight w:val="lightGray"/>
              </w:rPr>
              <w:t>3</w:t>
            </w:r>
          </w:p>
        </w:tc>
        <w:tc>
          <w:tcPr>
            <w:tcW w:w="2160" w:type="dxa"/>
          </w:tcPr>
          <w:p w:rsidR="000447FF" w:rsidRPr="009A4106" w:rsidRDefault="00E80DE6" w:rsidP="00A505B9">
            <w:pPr>
              <w:pStyle w:val="ListParagraph"/>
              <w:ind w:left="0"/>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Simulation</w:t>
            </w:r>
          </w:p>
        </w:tc>
        <w:tc>
          <w:tcPr>
            <w:tcW w:w="5130" w:type="dxa"/>
          </w:tcPr>
          <w:p w:rsidR="000447FF" w:rsidRDefault="005E193D" w:rsidP="004E1C60">
            <w:pPr>
              <w:pStyle w:val="ListParagraph"/>
              <w:ind w:left="0"/>
              <w:rPr>
                <w:rFonts w:ascii="Arial" w:hAnsi="Arial" w:cs="Arial"/>
                <w:sz w:val="20"/>
                <w:szCs w:val="20"/>
                <w:highlight w:val="lightGray"/>
              </w:rPr>
            </w:pPr>
            <w:r>
              <w:rPr>
                <w:noProof/>
              </w:rPr>
              <w:drawing>
                <wp:inline distT="0" distB="0" distL="0" distR="0" wp14:anchorId="69D23839" wp14:editId="40C3CF34">
                  <wp:extent cx="2771775" cy="28098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E193D" w:rsidRDefault="005E193D" w:rsidP="004E1C60">
            <w:pPr>
              <w:pStyle w:val="ListParagraph"/>
              <w:ind w:left="0"/>
              <w:rPr>
                <w:rFonts w:ascii="Arial" w:hAnsi="Arial" w:cs="Arial"/>
                <w:sz w:val="20"/>
                <w:szCs w:val="20"/>
                <w:highlight w:val="lightGray"/>
              </w:rPr>
            </w:pPr>
          </w:p>
          <w:p w:rsidR="005E193D" w:rsidRDefault="002D20E3" w:rsidP="004E1C60">
            <w:pPr>
              <w:pStyle w:val="ListParagraph"/>
              <w:ind w:left="0"/>
              <w:rPr>
                <w:rFonts w:ascii="Arial" w:hAnsi="Arial" w:cs="Arial"/>
                <w:sz w:val="20"/>
                <w:szCs w:val="20"/>
                <w:highlight w:val="lightGray"/>
              </w:rPr>
            </w:pPr>
            <w:r>
              <w:rPr>
                <w:rFonts w:ascii="Arial" w:hAnsi="Arial" w:cs="Arial"/>
                <w:sz w:val="20"/>
                <w:szCs w:val="20"/>
                <w:highlight w:val="lightGray"/>
              </w:rPr>
              <w:t>ACC2212</w:t>
            </w:r>
            <w:r w:rsidR="005E193D">
              <w:rPr>
                <w:rFonts w:ascii="Arial" w:hAnsi="Arial" w:cs="Arial"/>
                <w:sz w:val="20"/>
                <w:szCs w:val="20"/>
                <w:highlight w:val="lightGray"/>
              </w:rPr>
              <w:t xml:space="preserve"> Budget Project is used to assess the analytical problem-solving skills.</w:t>
            </w:r>
          </w:p>
          <w:p w:rsidR="005E193D" w:rsidRDefault="005E193D" w:rsidP="004E1C60">
            <w:pPr>
              <w:pStyle w:val="ListParagraph"/>
              <w:ind w:left="0"/>
              <w:rPr>
                <w:rFonts w:ascii="Arial" w:hAnsi="Arial" w:cs="Arial"/>
                <w:sz w:val="20"/>
                <w:szCs w:val="20"/>
                <w:highlight w:val="lightGray"/>
              </w:rPr>
            </w:pPr>
            <w:r>
              <w:rPr>
                <w:rFonts w:ascii="Arial" w:hAnsi="Arial" w:cs="Arial"/>
                <w:sz w:val="20"/>
                <w:szCs w:val="20"/>
                <w:highlight w:val="lightGray"/>
              </w:rPr>
              <w:t>The chart above reflects the percentage of students who scored over 70%, over 80%, and over 90%.</w:t>
            </w:r>
          </w:p>
          <w:p w:rsidR="005E193D" w:rsidRPr="00AE7070" w:rsidRDefault="005E193D" w:rsidP="005E193D">
            <w:pPr>
              <w:pStyle w:val="ListParagraph"/>
              <w:ind w:left="0"/>
              <w:rPr>
                <w:rFonts w:ascii="Arial" w:hAnsi="Arial" w:cs="Arial"/>
                <w:sz w:val="20"/>
                <w:szCs w:val="20"/>
                <w:highlight w:val="lightGray"/>
              </w:rPr>
            </w:pPr>
            <w:r>
              <w:rPr>
                <w:rFonts w:ascii="Arial" w:hAnsi="Arial" w:cs="Arial"/>
                <w:sz w:val="20"/>
                <w:szCs w:val="20"/>
                <w:highlight w:val="lightGray"/>
              </w:rPr>
              <w:t>The da</w:t>
            </w:r>
            <w:r w:rsidR="00F82701">
              <w:rPr>
                <w:rFonts w:ascii="Arial" w:hAnsi="Arial" w:cs="Arial"/>
                <w:sz w:val="20"/>
                <w:szCs w:val="20"/>
                <w:highlight w:val="lightGray"/>
              </w:rPr>
              <w:t>ta indicates that over 88</w:t>
            </w:r>
            <w:r>
              <w:rPr>
                <w:rFonts w:ascii="Arial" w:hAnsi="Arial" w:cs="Arial"/>
                <w:sz w:val="20"/>
                <w:szCs w:val="20"/>
                <w:highlight w:val="lightGray"/>
              </w:rPr>
              <w:t xml:space="preserve">% of the students met the 70% minimum requirement for mastery of the outcome. </w:t>
            </w:r>
          </w:p>
        </w:tc>
      </w:tr>
    </w:tbl>
    <w:p w:rsidR="00BF3561" w:rsidRDefault="00BF3561" w:rsidP="001D736E">
      <w:pPr>
        <w:pStyle w:val="ListParagraph"/>
        <w:tabs>
          <w:tab w:val="left" w:pos="5040"/>
        </w:tabs>
        <w:ind w:left="360"/>
        <w:rPr>
          <w:rFonts w:ascii="Arial" w:hAnsi="Arial" w:cs="Arial"/>
          <w:color w:val="000000" w:themeColor="text1"/>
        </w:rPr>
      </w:pPr>
    </w:p>
    <w:p w:rsidR="008B07E3" w:rsidRDefault="00350D53">
      <w:pPr>
        <w:spacing w:after="200" w:line="276" w:lineRule="auto"/>
        <w:rPr>
          <w:rFonts w:ascii="Arial" w:hAnsi="Arial" w:cs="Arial"/>
          <w:b/>
          <w:color w:val="000000" w:themeColor="text1"/>
        </w:rPr>
        <w:sectPr w:rsidR="008B07E3" w:rsidSect="00EF15CD">
          <w:pgSz w:w="15840" w:h="12240" w:orient="landscape"/>
          <w:pgMar w:top="1440" w:right="1152" w:bottom="1440" w:left="1152" w:header="720" w:footer="288" w:gutter="0"/>
          <w:cols w:space="720"/>
          <w:docGrid w:linePitch="360"/>
        </w:sectPr>
      </w:pPr>
      <w:r>
        <w:rPr>
          <w:rFonts w:ascii="Arial" w:hAnsi="Arial" w:cs="Arial"/>
          <w:b/>
          <w:color w:val="000000" w:themeColor="text1"/>
        </w:rPr>
        <w:br w:type="page"/>
      </w:r>
    </w:p>
    <w:p w:rsidR="00350D53" w:rsidRDefault="00350D53">
      <w:pPr>
        <w:spacing w:after="200" w:line="276" w:lineRule="auto"/>
        <w:rPr>
          <w:rFonts w:ascii="Arial" w:hAnsi="Arial" w:cs="Arial"/>
          <w:b/>
          <w:color w:val="000000" w:themeColor="text1"/>
        </w:r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171A88" w:rsidRDefault="00171A88" w:rsidP="003E791C">
      <w:pPr>
        <w:pStyle w:val="ListParagraph"/>
        <w:tabs>
          <w:tab w:val="left" w:pos="5040"/>
        </w:tabs>
        <w:ind w:left="0"/>
        <w:rPr>
          <w:rFonts w:ascii="Arial" w:hAnsi="Arial" w:cs="Arial"/>
          <w:color w:val="000000" w:themeColor="text1"/>
        </w:rPr>
      </w:pPr>
    </w:p>
    <w:p w:rsidR="00F43A46" w:rsidRDefault="00171A88" w:rsidP="00BE08F3">
      <w:pPr>
        <w:pStyle w:val="ListParagraph"/>
        <w:tabs>
          <w:tab w:val="left" w:pos="5040"/>
        </w:tabs>
        <w:ind w:left="0"/>
        <w:rPr>
          <w:rFonts w:ascii="Arial" w:hAnsi="Arial" w:cs="Arial"/>
          <w:color w:val="000000" w:themeColor="text1"/>
        </w:rPr>
      </w:pPr>
      <w:r>
        <w:rPr>
          <w:rFonts w:ascii="Arial" w:hAnsi="Arial" w:cs="Arial"/>
          <w:color w:val="000000" w:themeColor="text1"/>
        </w:rPr>
        <w:t>No changes are planned at this time.</w:t>
      </w:r>
    </w:p>
    <w:p w:rsidR="00171A88" w:rsidRDefault="00171A88"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230B0B" w:rsidRDefault="00230B0B" w:rsidP="00230B0B">
      <w:pPr>
        <w:pStyle w:val="ListParagraph"/>
        <w:tabs>
          <w:tab w:val="left" w:pos="5040"/>
        </w:tabs>
        <w:rPr>
          <w:rFonts w:ascii="Arial" w:hAnsi="Arial" w:cs="Arial"/>
          <w:color w:val="000000" w:themeColor="text1"/>
        </w:rPr>
      </w:pPr>
    </w:p>
    <w:p w:rsidR="00EC6B80" w:rsidRDefault="005D5050">
      <w:pPr>
        <w:pStyle w:val="ListParagraph"/>
        <w:tabs>
          <w:tab w:val="left" w:pos="5040"/>
        </w:tabs>
        <w:ind w:left="0"/>
        <w:rPr>
          <w:rFonts w:ascii="Arial" w:hAnsi="Arial" w:cs="Arial"/>
          <w:color w:val="000000" w:themeColor="text1"/>
        </w:rPr>
      </w:pPr>
      <w:r>
        <w:rPr>
          <w:rFonts w:ascii="Arial" w:hAnsi="Arial" w:cs="Arial"/>
          <w:color w:val="000000" w:themeColor="text1"/>
        </w:rPr>
        <w:t>Due to the continued low success rate in ACC1210, t</w:t>
      </w:r>
      <w:r w:rsidR="00230B0B">
        <w:rPr>
          <w:rFonts w:ascii="Arial" w:hAnsi="Arial" w:cs="Arial"/>
          <w:color w:val="000000" w:themeColor="text1"/>
        </w:rPr>
        <w:t>he department is in the process of creating and offering a Survey of Accounting course that could be taken by non-accounting majors instead of the ACC1210 TAG course. Students who intend to go on to a four year university would be advised to take ACC1210 instead of the Survey course</w:t>
      </w:r>
    </w:p>
    <w:p w:rsidR="00C45053" w:rsidRDefault="00C45053">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30B0B" w:rsidRDefault="00230B0B" w:rsidP="00230B0B">
      <w:pPr>
        <w:pStyle w:val="ListParagraph"/>
        <w:tabs>
          <w:tab w:val="left" w:pos="5040"/>
        </w:tabs>
        <w:rPr>
          <w:rFonts w:ascii="Arial" w:hAnsi="Arial" w:cs="Arial"/>
          <w:color w:val="000000" w:themeColor="text1"/>
        </w:rPr>
      </w:pPr>
    </w:p>
    <w:p w:rsidR="00230B0B" w:rsidRPr="00230B0B" w:rsidRDefault="00230B0B" w:rsidP="00230B0B">
      <w:pPr>
        <w:pStyle w:val="ListParagraph"/>
        <w:tabs>
          <w:tab w:val="left" w:pos="5040"/>
        </w:tabs>
        <w:ind w:left="0"/>
        <w:rPr>
          <w:rFonts w:ascii="Arial" w:hAnsi="Arial" w:cs="Arial"/>
          <w:color w:val="000000" w:themeColor="text1"/>
        </w:rPr>
      </w:pPr>
      <w:r w:rsidRPr="00230B0B">
        <w:rPr>
          <w:rFonts w:ascii="Arial" w:hAnsi="Arial" w:cs="Arial"/>
          <w:color w:val="000000" w:themeColor="text1"/>
        </w:rPr>
        <w:t>A review of course success rates of the Survey of Accounting and the ACC1210 TAG course will be done after the implementation of the Survey of Accounting course (anticipate first offering the course in FA14) to determine if this has been helpful in raising the overall success rate for accounting majors in ACC1210 and the non-accounting majors in the Survey of Accounting course.</w:t>
      </w:r>
    </w:p>
    <w:p w:rsidR="002D428E" w:rsidRPr="00554D3E" w:rsidRDefault="002D428E" w:rsidP="00554D3E">
      <w:pPr>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A82E1A" w:rsidRPr="00A82E1A" w:rsidRDefault="00A82E1A" w:rsidP="00A82E1A">
      <w:pPr>
        <w:tabs>
          <w:tab w:val="left" w:pos="5040"/>
        </w:tabs>
        <w:ind w:left="360"/>
        <w:rPr>
          <w:rFonts w:ascii="Arial" w:hAnsi="Arial" w:cs="Arial"/>
          <w:color w:val="000000" w:themeColor="text1"/>
        </w:rPr>
      </w:pPr>
      <w:bookmarkStart w:id="1" w:name="_GoBack"/>
      <w:bookmarkEnd w:id="1"/>
    </w:p>
    <w:p w:rsidR="004C52FC" w:rsidRPr="00554D3E" w:rsidRDefault="00F87CC9" w:rsidP="00A82E1A">
      <w:pPr>
        <w:tabs>
          <w:tab w:val="left" w:pos="5040"/>
        </w:tabs>
        <w:ind w:left="720"/>
        <w:rPr>
          <w:rFonts w:ascii="Arial" w:hAnsi="Arial" w:cs="Arial"/>
          <w:color w:val="000000" w:themeColor="text1"/>
        </w:rPr>
      </w:pPr>
      <w:r>
        <w:rPr>
          <w:rFonts w:ascii="Arial" w:hAnsi="Arial" w:cs="Arial"/>
          <w:color w:val="000000" w:themeColor="text1"/>
        </w:rPr>
        <w:t>ECO 2160 and</w:t>
      </w:r>
      <w:r w:rsidR="002B5CAA">
        <w:rPr>
          <w:rFonts w:ascii="Arial" w:hAnsi="Arial" w:cs="Arial"/>
          <w:color w:val="000000" w:themeColor="text1"/>
        </w:rPr>
        <w:t xml:space="preserve"> ECO</w:t>
      </w:r>
      <w:r>
        <w:rPr>
          <w:rFonts w:ascii="Arial" w:hAnsi="Arial" w:cs="Arial"/>
          <w:color w:val="000000" w:themeColor="text1"/>
        </w:rPr>
        <w:t xml:space="preserve"> 2180 </w:t>
      </w:r>
      <w:r w:rsidR="002B5CAA">
        <w:rPr>
          <w:rFonts w:ascii="Arial" w:hAnsi="Arial" w:cs="Arial"/>
          <w:color w:val="000000" w:themeColor="text1"/>
        </w:rPr>
        <w:t xml:space="preserve">were offered as </w:t>
      </w:r>
      <w:r>
        <w:rPr>
          <w:rFonts w:ascii="Arial" w:hAnsi="Arial" w:cs="Arial"/>
          <w:color w:val="000000" w:themeColor="text1"/>
        </w:rPr>
        <w:t>hybrid</w:t>
      </w:r>
      <w:r w:rsidR="002B5CAA">
        <w:rPr>
          <w:rFonts w:ascii="Arial" w:hAnsi="Arial" w:cs="Arial"/>
          <w:color w:val="000000" w:themeColor="text1"/>
        </w:rPr>
        <w:t xml:space="preserve"> courses with the thought that students would be more successful than the full web classes.  During AY 12-13 the economic WEB courses had a 40% success rate while the economic traditional classes had a 61% success rate.  The department felt that the economic hybrid class would fall between the two course offerings.  During AY 12-13 the </w:t>
      </w:r>
      <w:r w:rsidR="003517B9">
        <w:rPr>
          <w:rFonts w:ascii="Arial" w:hAnsi="Arial" w:cs="Arial"/>
          <w:color w:val="000000" w:themeColor="text1"/>
        </w:rPr>
        <w:t xml:space="preserve">economic hybrid courses performed as expected achieving 51% success rate </w:t>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CC210F" w:rsidRDefault="00F87CC9">
      <w:pPr>
        <w:spacing w:after="200" w:line="276" w:lineRule="auto"/>
        <w:rPr>
          <w:rFonts w:ascii="Arial" w:hAnsi="Arial" w:cs="Arial"/>
          <w:color w:val="000000" w:themeColor="text1"/>
        </w:rPr>
      </w:pPr>
      <w:r>
        <w:rPr>
          <w:rFonts w:ascii="Arial" w:hAnsi="Arial" w:cs="Arial"/>
          <w:color w:val="000000" w:themeColor="text1"/>
        </w:rPr>
        <w:t>None</w:t>
      </w:r>
    </w:p>
    <w:p w:rsidR="00F87CC9" w:rsidRDefault="00F87CC9">
      <w:pPr>
        <w:spacing w:after="200" w:line="276" w:lineRule="auto"/>
        <w:rPr>
          <w:rFonts w:ascii="Arial" w:hAnsi="Arial" w:cs="Arial"/>
          <w:color w:val="000000" w:themeColor="text1"/>
        </w:rPr>
      </w:pPr>
    </w:p>
    <w:p w:rsidR="00F87CC9" w:rsidRDefault="00F87CC9">
      <w:pPr>
        <w:spacing w:after="200" w:line="276" w:lineRule="auto"/>
        <w:rPr>
          <w:rFonts w:ascii="Arial" w:hAnsi="Arial" w:cs="Arial"/>
          <w:color w:val="000000" w:themeColor="text1"/>
        </w:rPr>
        <w:sectPr w:rsidR="00F87CC9" w:rsidSect="008B07E3">
          <w:pgSz w:w="12240" w:h="15840"/>
          <w:pgMar w:top="1152" w:right="1440" w:bottom="1152" w:left="1440" w:header="720" w:footer="288" w:gutter="0"/>
          <w:cols w:space="720"/>
          <w:docGrid w:linePitch="360"/>
        </w:sectPr>
      </w:pPr>
    </w:p>
    <w:p w:rsidR="00847243" w:rsidRDefault="00174C4B" w:rsidP="00CC210F">
      <w:pPr>
        <w:spacing w:after="200" w:line="276" w:lineRule="auto"/>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B61D81" w:rsidRDefault="00B61D81" w:rsidP="00B61D81">
      <w:pPr>
        <w:rPr>
          <w:rFonts w:ascii="Arial" w:hAnsi="Arial" w:cs="Arial"/>
          <w:b/>
          <w:color w:val="000000" w:themeColor="text1"/>
        </w:rPr>
      </w:pPr>
    </w:p>
    <w:tbl>
      <w:tblPr>
        <w:tblW w:w="13167" w:type="dxa"/>
        <w:tblInd w:w="93" w:type="dxa"/>
        <w:tblLook w:val="04A0" w:firstRow="1" w:lastRow="0" w:firstColumn="1" w:lastColumn="0" w:noHBand="0" w:noVBand="1"/>
      </w:tblPr>
      <w:tblGrid>
        <w:gridCol w:w="960"/>
        <w:gridCol w:w="1240"/>
        <w:gridCol w:w="67"/>
        <w:gridCol w:w="3153"/>
        <w:gridCol w:w="67"/>
        <w:gridCol w:w="2253"/>
        <w:gridCol w:w="67"/>
        <w:gridCol w:w="793"/>
        <w:gridCol w:w="67"/>
        <w:gridCol w:w="793"/>
        <w:gridCol w:w="67"/>
        <w:gridCol w:w="793"/>
        <w:gridCol w:w="67"/>
        <w:gridCol w:w="793"/>
        <w:gridCol w:w="67"/>
        <w:gridCol w:w="893"/>
        <w:gridCol w:w="67"/>
        <w:gridCol w:w="893"/>
        <w:gridCol w:w="67"/>
      </w:tblGrid>
      <w:tr w:rsidR="00CC210F" w:rsidRPr="00CC210F" w:rsidTr="006332DF">
        <w:trPr>
          <w:trHeight w:val="630"/>
        </w:trPr>
        <w:tc>
          <w:tcPr>
            <w:tcW w:w="960" w:type="dxa"/>
            <w:tcBorders>
              <w:top w:val="nil"/>
              <w:left w:val="nil"/>
              <w:bottom w:val="nil"/>
              <w:right w:val="nil"/>
            </w:tcBorders>
            <w:shd w:val="clear" w:color="auto" w:fill="auto"/>
            <w:noWrap/>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Division</w:t>
            </w:r>
          </w:p>
        </w:tc>
        <w:tc>
          <w:tcPr>
            <w:tcW w:w="1307" w:type="dxa"/>
            <w:gridSpan w:val="2"/>
            <w:tcBorders>
              <w:top w:val="nil"/>
              <w:left w:val="nil"/>
              <w:bottom w:val="nil"/>
              <w:right w:val="nil"/>
            </w:tcBorders>
            <w:shd w:val="clear" w:color="auto" w:fill="auto"/>
            <w:noWrap/>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Department</w:t>
            </w:r>
          </w:p>
        </w:tc>
        <w:tc>
          <w:tcPr>
            <w:tcW w:w="3220" w:type="dxa"/>
            <w:gridSpan w:val="2"/>
            <w:tcBorders>
              <w:top w:val="nil"/>
              <w:left w:val="nil"/>
              <w:bottom w:val="nil"/>
              <w:right w:val="nil"/>
            </w:tcBorders>
            <w:shd w:val="clear" w:color="auto" w:fill="auto"/>
            <w:noWrap/>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Department Name</w:t>
            </w:r>
          </w:p>
        </w:tc>
        <w:tc>
          <w:tcPr>
            <w:tcW w:w="2320" w:type="dxa"/>
            <w:gridSpan w:val="2"/>
            <w:tcBorders>
              <w:top w:val="nil"/>
              <w:left w:val="nil"/>
              <w:bottom w:val="nil"/>
              <w:right w:val="nil"/>
            </w:tcBorders>
            <w:shd w:val="clear" w:color="auto" w:fill="auto"/>
            <w:noWrap/>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Program</w:t>
            </w:r>
          </w:p>
        </w:tc>
        <w:tc>
          <w:tcPr>
            <w:tcW w:w="860" w:type="dxa"/>
            <w:gridSpan w:val="2"/>
            <w:tcBorders>
              <w:top w:val="nil"/>
              <w:left w:val="nil"/>
              <w:bottom w:val="nil"/>
              <w:right w:val="nil"/>
            </w:tcBorders>
            <w:shd w:val="clear" w:color="auto" w:fill="auto"/>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FY 07-08</w:t>
            </w:r>
          </w:p>
        </w:tc>
        <w:tc>
          <w:tcPr>
            <w:tcW w:w="860" w:type="dxa"/>
            <w:gridSpan w:val="2"/>
            <w:tcBorders>
              <w:top w:val="nil"/>
              <w:left w:val="nil"/>
              <w:bottom w:val="nil"/>
              <w:right w:val="nil"/>
            </w:tcBorders>
            <w:shd w:val="clear" w:color="auto" w:fill="auto"/>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FY 08-09</w:t>
            </w:r>
          </w:p>
        </w:tc>
        <w:tc>
          <w:tcPr>
            <w:tcW w:w="860" w:type="dxa"/>
            <w:gridSpan w:val="2"/>
            <w:tcBorders>
              <w:top w:val="nil"/>
              <w:left w:val="nil"/>
              <w:bottom w:val="nil"/>
              <w:right w:val="nil"/>
            </w:tcBorders>
            <w:shd w:val="clear" w:color="auto" w:fill="auto"/>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FY 09-10</w:t>
            </w:r>
          </w:p>
        </w:tc>
        <w:tc>
          <w:tcPr>
            <w:tcW w:w="860" w:type="dxa"/>
            <w:gridSpan w:val="2"/>
            <w:tcBorders>
              <w:top w:val="nil"/>
              <w:left w:val="nil"/>
              <w:bottom w:val="nil"/>
              <w:right w:val="nil"/>
            </w:tcBorders>
            <w:shd w:val="clear" w:color="auto" w:fill="auto"/>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FY 10-11</w:t>
            </w:r>
          </w:p>
        </w:tc>
        <w:tc>
          <w:tcPr>
            <w:tcW w:w="960" w:type="dxa"/>
            <w:gridSpan w:val="2"/>
            <w:tcBorders>
              <w:top w:val="nil"/>
              <w:left w:val="nil"/>
              <w:bottom w:val="nil"/>
              <w:right w:val="nil"/>
            </w:tcBorders>
            <w:shd w:val="clear" w:color="auto" w:fill="auto"/>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FY 11-12</w:t>
            </w:r>
          </w:p>
        </w:tc>
        <w:tc>
          <w:tcPr>
            <w:tcW w:w="960" w:type="dxa"/>
            <w:gridSpan w:val="2"/>
            <w:tcBorders>
              <w:top w:val="nil"/>
              <w:left w:val="nil"/>
              <w:bottom w:val="nil"/>
              <w:right w:val="nil"/>
            </w:tcBorders>
            <w:shd w:val="clear" w:color="auto" w:fill="auto"/>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FY 12-13</w:t>
            </w:r>
          </w:p>
        </w:tc>
      </w:tr>
      <w:tr w:rsidR="00CC210F" w:rsidRPr="00CC210F" w:rsidTr="006332DF">
        <w:trPr>
          <w:trHeight w:val="300"/>
        </w:trPr>
        <w:tc>
          <w:tcPr>
            <w:tcW w:w="96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BPS</w:t>
            </w:r>
          </w:p>
        </w:tc>
        <w:tc>
          <w:tcPr>
            <w:tcW w:w="1307" w:type="dxa"/>
            <w:gridSpan w:val="2"/>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gridSpan w:val="2"/>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2320" w:type="dxa"/>
            <w:gridSpan w:val="2"/>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ACC.AAS</w:t>
            </w:r>
          </w:p>
        </w:tc>
        <w:tc>
          <w:tcPr>
            <w:tcW w:w="860" w:type="dxa"/>
            <w:gridSpan w:val="2"/>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30</w:t>
            </w:r>
          </w:p>
        </w:tc>
        <w:tc>
          <w:tcPr>
            <w:tcW w:w="860" w:type="dxa"/>
            <w:gridSpan w:val="2"/>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29</w:t>
            </w:r>
          </w:p>
        </w:tc>
        <w:tc>
          <w:tcPr>
            <w:tcW w:w="860" w:type="dxa"/>
            <w:gridSpan w:val="2"/>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37</w:t>
            </w:r>
          </w:p>
        </w:tc>
        <w:tc>
          <w:tcPr>
            <w:tcW w:w="860" w:type="dxa"/>
            <w:gridSpan w:val="2"/>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46</w:t>
            </w:r>
          </w:p>
        </w:tc>
        <w:tc>
          <w:tcPr>
            <w:tcW w:w="960" w:type="dxa"/>
            <w:gridSpan w:val="2"/>
            <w:tcBorders>
              <w:top w:val="nil"/>
              <w:left w:val="nil"/>
              <w:bottom w:val="nil"/>
              <w:right w:val="nil"/>
            </w:tcBorders>
            <w:shd w:val="clear" w:color="000000" w:fill="D9D9D9"/>
            <w:noWrap/>
            <w:vAlign w:val="bottom"/>
            <w:hideMark/>
          </w:tcPr>
          <w:p w:rsidR="00CC210F" w:rsidRPr="00CC210F" w:rsidRDefault="00C8169B" w:rsidP="00CC210F">
            <w:pPr>
              <w:jc w:val="right"/>
              <w:rPr>
                <w:rFonts w:ascii="Calibri" w:hAnsi="Calibri" w:cs="Calibri"/>
                <w:color w:val="000000"/>
              </w:rPr>
            </w:pPr>
            <w:r>
              <w:rPr>
                <w:rFonts w:ascii="Calibri" w:hAnsi="Calibri" w:cs="Calibri"/>
                <w:color w:val="000000"/>
                <w:sz w:val="22"/>
                <w:szCs w:val="22"/>
              </w:rPr>
              <w:t>40</w:t>
            </w:r>
          </w:p>
        </w:tc>
        <w:tc>
          <w:tcPr>
            <w:tcW w:w="960" w:type="dxa"/>
            <w:gridSpan w:val="2"/>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25</w:t>
            </w:r>
          </w:p>
        </w:tc>
      </w:tr>
      <w:tr w:rsidR="00CC210F" w:rsidRPr="00CC210F" w:rsidTr="006332DF">
        <w:trPr>
          <w:trHeight w:val="300"/>
        </w:trPr>
        <w:tc>
          <w:tcPr>
            <w:tcW w:w="96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BPS</w:t>
            </w:r>
          </w:p>
        </w:tc>
        <w:tc>
          <w:tcPr>
            <w:tcW w:w="1307" w:type="dxa"/>
            <w:gridSpan w:val="2"/>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gridSpan w:val="2"/>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2320" w:type="dxa"/>
            <w:gridSpan w:val="2"/>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ACC.S.AAS</w:t>
            </w:r>
          </w:p>
        </w:tc>
        <w:tc>
          <w:tcPr>
            <w:tcW w:w="860" w:type="dxa"/>
            <w:gridSpan w:val="2"/>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60" w:type="dxa"/>
            <w:gridSpan w:val="2"/>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60" w:type="dxa"/>
            <w:gridSpan w:val="2"/>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60" w:type="dxa"/>
            <w:gridSpan w:val="2"/>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960" w:type="dxa"/>
            <w:gridSpan w:val="2"/>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960" w:type="dxa"/>
            <w:gridSpan w:val="2"/>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19</w:t>
            </w:r>
          </w:p>
        </w:tc>
      </w:tr>
      <w:tr w:rsidR="00CC210F" w:rsidRPr="00CC210F" w:rsidTr="006332DF">
        <w:trPr>
          <w:trHeight w:val="300"/>
        </w:trPr>
        <w:tc>
          <w:tcPr>
            <w:tcW w:w="96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BPS</w:t>
            </w:r>
          </w:p>
        </w:tc>
        <w:tc>
          <w:tcPr>
            <w:tcW w:w="1307" w:type="dxa"/>
            <w:gridSpan w:val="2"/>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gridSpan w:val="2"/>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2320" w:type="dxa"/>
            <w:gridSpan w:val="2"/>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TAXP.S.STC</w:t>
            </w:r>
          </w:p>
        </w:tc>
        <w:tc>
          <w:tcPr>
            <w:tcW w:w="860" w:type="dxa"/>
            <w:gridSpan w:val="2"/>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60" w:type="dxa"/>
            <w:gridSpan w:val="2"/>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60" w:type="dxa"/>
            <w:gridSpan w:val="2"/>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60" w:type="dxa"/>
            <w:gridSpan w:val="2"/>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960" w:type="dxa"/>
            <w:gridSpan w:val="2"/>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960" w:type="dxa"/>
            <w:gridSpan w:val="2"/>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11</w:t>
            </w:r>
          </w:p>
        </w:tc>
      </w:tr>
      <w:tr w:rsidR="006332DF" w:rsidRPr="006332DF" w:rsidTr="006332DF">
        <w:trPr>
          <w:gridAfter w:val="1"/>
          <w:wAfter w:w="67" w:type="dxa"/>
          <w:trHeight w:val="300"/>
        </w:trPr>
        <w:tc>
          <w:tcPr>
            <w:tcW w:w="960" w:type="dxa"/>
            <w:tcBorders>
              <w:top w:val="nil"/>
              <w:left w:val="nil"/>
              <w:bottom w:val="nil"/>
              <w:right w:val="nil"/>
            </w:tcBorders>
            <w:shd w:val="clear" w:color="auto" w:fill="auto"/>
            <w:noWrap/>
            <w:vAlign w:val="bottom"/>
            <w:hideMark/>
          </w:tcPr>
          <w:p w:rsidR="006332DF" w:rsidRPr="006332DF" w:rsidRDefault="006332DF" w:rsidP="006332DF">
            <w:pPr>
              <w:rPr>
                <w:rFonts w:ascii="Calibri" w:hAnsi="Calibri" w:cs="Calibri"/>
                <w:color w:val="000000"/>
              </w:rPr>
            </w:pPr>
            <w:r w:rsidRPr="006332DF">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6332DF" w:rsidRPr="006332DF" w:rsidRDefault="006332DF" w:rsidP="006332DF">
            <w:pPr>
              <w:rPr>
                <w:rFonts w:ascii="Calibri" w:hAnsi="Calibri" w:cs="Calibri"/>
                <w:color w:val="000000"/>
              </w:rPr>
            </w:pPr>
            <w:r w:rsidRPr="006332DF">
              <w:rPr>
                <w:rFonts w:ascii="Calibri" w:hAnsi="Calibri" w:cs="Calibri"/>
                <w:color w:val="000000"/>
                <w:sz w:val="22"/>
                <w:szCs w:val="22"/>
              </w:rPr>
              <w:t>0410</w:t>
            </w:r>
          </w:p>
        </w:tc>
        <w:tc>
          <w:tcPr>
            <w:tcW w:w="3220" w:type="dxa"/>
            <w:gridSpan w:val="2"/>
            <w:tcBorders>
              <w:top w:val="nil"/>
              <w:left w:val="nil"/>
              <w:bottom w:val="nil"/>
              <w:right w:val="nil"/>
            </w:tcBorders>
            <w:shd w:val="clear" w:color="auto" w:fill="auto"/>
            <w:noWrap/>
            <w:vAlign w:val="bottom"/>
            <w:hideMark/>
          </w:tcPr>
          <w:p w:rsidR="006332DF" w:rsidRPr="006332DF" w:rsidRDefault="006332DF" w:rsidP="006332DF">
            <w:pPr>
              <w:rPr>
                <w:rFonts w:ascii="Calibri" w:hAnsi="Calibri" w:cs="Calibri"/>
                <w:color w:val="000000"/>
              </w:rPr>
            </w:pPr>
            <w:r w:rsidRPr="006332DF">
              <w:rPr>
                <w:rFonts w:ascii="Calibri" w:hAnsi="Calibri" w:cs="Calibri"/>
                <w:color w:val="000000"/>
                <w:sz w:val="22"/>
                <w:szCs w:val="22"/>
              </w:rPr>
              <w:t>Accounting Instruction</w:t>
            </w:r>
          </w:p>
        </w:tc>
        <w:tc>
          <w:tcPr>
            <w:tcW w:w="2320" w:type="dxa"/>
            <w:gridSpan w:val="2"/>
            <w:tcBorders>
              <w:top w:val="nil"/>
              <w:left w:val="nil"/>
              <w:bottom w:val="nil"/>
              <w:right w:val="nil"/>
            </w:tcBorders>
            <w:shd w:val="clear" w:color="auto" w:fill="auto"/>
            <w:noWrap/>
            <w:vAlign w:val="bottom"/>
            <w:hideMark/>
          </w:tcPr>
          <w:p w:rsidR="006332DF" w:rsidRPr="006332DF" w:rsidRDefault="006332DF" w:rsidP="006332DF">
            <w:pPr>
              <w:rPr>
                <w:rFonts w:ascii="Calibri" w:hAnsi="Calibri" w:cs="Calibri"/>
                <w:color w:val="000000"/>
              </w:rPr>
            </w:pPr>
            <w:r w:rsidRPr="006332DF">
              <w:rPr>
                <w:rFonts w:ascii="Calibri" w:hAnsi="Calibri" w:cs="Calibri"/>
                <w:color w:val="000000"/>
                <w:sz w:val="22"/>
                <w:szCs w:val="22"/>
              </w:rPr>
              <w:t>TAXP.STC</w:t>
            </w:r>
          </w:p>
        </w:tc>
        <w:tc>
          <w:tcPr>
            <w:tcW w:w="860" w:type="dxa"/>
            <w:gridSpan w:val="2"/>
            <w:tcBorders>
              <w:top w:val="nil"/>
              <w:left w:val="nil"/>
              <w:bottom w:val="nil"/>
              <w:right w:val="nil"/>
            </w:tcBorders>
            <w:shd w:val="clear" w:color="auto" w:fill="auto"/>
            <w:noWrap/>
            <w:vAlign w:val="bottom"/>
            <w:hideMark/>
          </w:tcPr>
          <w:p w:rsidR="006332DF" w:rsidRPr="006332DF" w:rsidRDefault="006332DF" w:rsidP="006332DF">
            <w:pPr>
              <w:jc w:val="right"/>
              <w:rPr>
                <w:rFonts w:ascii="Calibri" w:hAnsi="Calibri" w:cs="Calibri"/>
                <w:color w:val="000000"/>
              </w:rPr>
            </w:pPr>
            <w:r w:rsidRPr="006332DF">
              <w:rPr>
                <w:rFonts w:ascii="Calibri" w:hAnsi="Calibri" w:cs="Calibri"/>
                <w:color w:val="000000"/>
                <w:sz w:val="22"/>
                <w:szCs w:val="22"/>
              </w:rPr>
              <w:t>3</w:t>
            </w:r>
          </w:p>
        </w:tc>
        <w:tc>
          <w:tcPr>
            <w:tcW w:w="860" w:type="dxa"/>
            <w:gridSpan w:val="2"/>
            <w:tcBorders>
              <w:top w:val="nil"/>
              <w:left w:val="nil"/>
              <w:bottom w:val="nil"/>
              <w:right w:val="nil"/>
            </w:tcBorders>
            <w:shd w:val="clear" w:color="auto" w:fill="auto"/>
            <w:noWrap/>
            <w:vAlign w:val="bottom"/>
            <w:hideMark/>
          </w:tcPr>
          <w:p w:rsidR="006332DF" w:rsidRPr="006332DF" w:rsidRDefault="006332DF" w:rsidP="006332DF">
            <w:pPr>
              <w:jc w:val="right"/>
              <w:rPr>
                <w:rFonts w:ascii="Calibri" w:hAnsi="Calibri" w:cs="Calibri"/>
                <w:color w:val="000000"/>
              </w:rPr>
            </w:pPr>
            <w:r w:rsidRPr="006332DF">
              <w:rPr>
                <w:rFonts w:ascii="Calibri" w:hAnsi="Calibri" w:cs="Calibri"/>
                <w:color w:val="000000"/>
                <w:sz w:val="22"/>
                <w:szCs w:val="22"/>
              </w:rPr>
              <w:t>2</w:t>
            </w:r>
          </w:p>
        </w:tc>
        <w:tc>
          <w:tcPr>
            <w:tcW w:w="860" w:type="dxa"/>
            <w:gridSpan w:val="2"/>
            <w:tcBorders>
              <w:top w:val="nil"/>
              <w:left w:val="nil"/>
              <w:bottom w:val="nil"/>
              <w:right w:val="nil"/>
            </w:tcBorders>
            <w:shd w:val="clear" w:color="auto" w:fill="auto"/>
            <w:noWrap/>
            <w:vAlign w:val="bottom"/>
            <w:hideMark/>
          </w:tcPr>
          <w:p w:rsidR="006332DF" w:rsidRPr="006332DF" w:rsidRDefault="006332DF" w:rsidP="006332DF">
            <w:pPr>
              <w:jc w:val="right"/>
              <w:rPr>
                <w:rFonts w:ascii="Calibri" w:hAnsi="Calibri" w:cs="Calibri"/>
                <w:color w:val="000000"/>
              </w:rPr>
            </w:pPr>
            <w:r w:rsidRPr="006332DF">
              <w:rPr>
                <w:rFonts w:ascii="Calibri" w:hAnsi="Calibri" w:cs="Calibri"/>
                <w:color w:val="000000"/>
                <w:sz w:val="22"/>
                <w:szCs w:val="22"/>
              </w:rPr>
              <w:t>.</w:t>
            </w:r>
          </w:p>
        </w:tc>
        <w:tc>
          <w:tcPr>
            <w:tcW w:w="860" w:type="dxa"/>
            <w:gridSpan w:val="2"/>
            <w:tcBorders>
              <w:top w:val="nil"/>
              <w:left w:val="nil"/>
              <w:bottom w:val="nil"/>
              <w:right w:val="nil"/>
            </w:tcBorders>
            <w:shd w:val="clear" w:color="auto" w:fill="auto"/>
            <w:noWrap/>
            <w:vAlign w:val="bottom"/>
            <w:hideMark/>
          </w:tcPr>
          <w:p w:rsidR="006332DF" w:rsidRPr="006332DF" w:rsidRDefault="006332DF" w:rsidP="006332DF">
            <w:pPr>
              <w:jc w:val="right"/>
              <w:rPr>
                <w:rFonts w:ascii="Calibri" w:hAnsi="Calibri" w:cs="Calibri"/>
                <w:color w:val="000000"/>
              </w:rPr>
            </w:pPr>
            <w:r w:rsidRPr="006332DF">
              <w:rPr>
                <w:rFonts w:ascii="Calibri" w:hAnsi="Calibri" w:cs="Calibri"/>
                <w:color w:val="000000"/>
                <w:sz w:val="22"/>
                <w:szCs w:val="22"/>
              </w:rPr>
              <w:t>1</w:t>
            </w:r>
          </w:p>
        </w:tc>
        <w:tc>
          <w:tcPr>
            <w:tcW w:w="960" w:type="dxa"/>
            <w:gridSpan w:val="2"/>
            <w:tcBorders>
              <w:top w:val="nil"/>
              <w:left w:val="nil"/>
              <w:bottom w:val="nil"/>
              <w:right w:val="nil"/>
            </w:tcBorders>
            <w:shd w:val="clear" w:color="auto" w:fill="auto"/>
            <w:noWrap/>
            <w:vAlign w:val="bottom"/>
            <w:hideMark/>
          </w:tcPr>
          <w:p w:rsidR="006332DF" w:rsidRPr="006332DF" w:rsidRDefault="00C8169B" w:rsidP="006332DF">
            <w:pPr>
              <w:jc w:val="right"/>
              <w:rPr>
                <w:rFonts w:ascii="Calibri" w:hAnsi="Calibri" w:cs="Calibri"/>
                <w:color w:val="000000"/>
              </w:rPr>
            </w:pPr>
            <w:r>
              <w:rPr>
                <w:rFonts w:ascii="Calibri" w:hAnsi="Calibri" w:cs="Calibri"/>
                <w:color w:val="000000"/>
              </w:rPr>
              <w:t>2</w:t>
            </w:r>
          </w:p>
        </w:tc>
        <w:tc>
          <w:tcPr>
            <w:tcW w:w="960" w:type="dxa"/>
            <w:gridSpan w:val="2"/>
            <w:tcBorders>
              <w:top w:val="nil"/>
              <w:left w:val="nil"/>
              <w:bottom w:val="nil"/>
              <w:right w:val="nil"/>
            </w:tcBorders>
            <w:shd w:val="clear" w:color="auto" w:fill="auto"/>
            <w:noWrap/>
            <w:vAlign w:val="bottom"/>
            <w:hideMark/>
          </w:tcPr>
          <w:p w:rsidR="006332DF" w:rsidRPr="006332DF" w:rsidRDefault="006332DF" w:rsidP="006332DF">
            <w:pPr>
              <w:jc w:val="right"/>
              <w:rPr>
                <w:rFonts w:ascii="Calibri" w:hAnsi="Calibri" w:cs="Calibri"/>
                <w:color w:val="000000"/>
              </w:rPr>
            </w:pPr>
            <w:r w:rsidRPr="006332DF">
              <w:rPr>
                <w:rFonts w:ascii="Calibri" w:hAnsi="Calibri" w:cs="Calibri"/>
                <w:color w:val="000000"/>
                <w:sz w:val="22"/>
                <w:szCs w:val="22"/>
              </w:rPr>
              <w:t>2</w:t>
            </w:r>
          </w:p>
        </w:tc>
      </w:tr>
    </w:tbl>
    <w:p w:rsidR="00CC210F" w:rsidRDefault="00CC210F" w:rsidP="00B61D81">
      <w:pPr>
        <w:rPr>
          <w:rFonts w:ascii="Arial" w:hAnsi="Arial" w:cs="Arial"/>
          <w:b/>
          <w:color w:val="000000" w:themeColor="text1"/>
        </w:rPr>
      </w:pPr>
    </w:p>
    <w:p w:rsidR="00CC210F" w:rsidRDefault="00CC210F" w:rsidP="00B61D81">
      <w:pPr>
        <w:rPr>
          <w:rFonts w:ascii="Arial" w:hAnsi="Arial" w:cs="Arial"/>
          <w:b/>
          <w:color w:val="000000" w:themeColor="text1"/>
        </w:rPr>
      </w:pPr>
    </w:p>
    <w:p w:rsidR="00CC210F" w:rsidRDefault="00CC210F"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415" w:type="dxa"/>
        <w:tblInd w:w="93" w:type="dxa"/>
        <w:tblLook w:val="04A0" w:firstRow="1" w:lastRow="0" w:firstColumn="1" w:lastColumn="0" w:noHBand="0" w:noVBand="1"/>
      </w:tblPr>
      <w:tblGrid>
        <w:gridCol w:w="1420"/>
        <w:gridCol w:w="3220"/>
        <w:gridCol w:w="1315"/>
        <w:gridCol w:w="875"/>
        <w:gridCol w:w="875"/>
        <w:gridCol w:w="875"/>
        <w:gridCol w:w="875"/>
        <w:gridCol w:w="875"/>
        <w:gridCol w:w="1140"/>
      </w:tblGrid>
      <w:tr w:rsidR="00CC210F" w:rsidRPr="00CC210F" w:rsidTr="00CC210F">
        <w:trPr>
          <w:trHeight w:val="600"/>
        </w:trPr>
        <w:tc>
          <w:tcPr>
            <w:tcW w:w="1420" w:type="dxa"/>
            <w:tcBorders>
              <w:top w:val="nil"/>
              <w:left w:val="nil"/>
              <w:bottom w:val="nil"/>
              <w:right w:val="nil"/>
            </w:tcBorders>
            <w:shd w:val="clear" w:color="auto" w:fill="auto"/>
            <w:hideMark/>
          </w:tcPr>
          <w:p w:rsidR="00CC210F" w:rsidRPr="00CC210F" w:rsidRDefault="00CC210F" w:rsidP="00CC210F">
            <w:pPr>
              <w:rPr>
                <w:rFonts w:ascii="Calibri" w:hAnsi="Calibri" w:cs="Calibri"/>
                <w:b/>
                <w:bCs/>
                <w:color w:val="000000"/>
              </w:rPr>
            </w:pPr>
            <w:r w:rsidRPr="00CC210F">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CC210F" w:rsidRPr="00CC210F" w:rsidRDefault="00CC210F" w:rsidP="00CC210F">
            <w:pPr>
              <w:rPr>
                <w:rFonts w:ascii="Calibri" w:hAnsi="Calibri" w:cs="Calibri"/>
                <w:b/>
                <w:bCs/>
                <w:color w:val="000000"/>
              </w:rPr>
            </w:pPr>
            <w:r w:rsidRPr="00CC210F">
              <w:rPr>
                <w:rFonts w:ascii="Calibri" w:hAnsi="Calibri" w:cs="Calibri"/>
                <w:b/>
                <w:bCs/>
                <w:color w:val="000000"/>
                <w:sz w:val="22"/>
                <w:szCs w:val="22"/>
              </w:rPr>
              <w:t>Department Name</w:t>
            </w:r>
          </w:p>
        </w:tc>
        <w:tc>
          <w:tcPr>
            <w:tcW w:w="1315" w:type="dxa"/>
            <w:tcBorders>
              <w:top w:val="nil"/>
              <w:left w:val="nil"/>
              <w:bottom w:val="nil"/>
              <w:right w:val="nil"/>
            </w:tcBorders>
            <w:shd w:val="clear" w:color="auto" w:fill="auto"/>
            <w:hideMark/>
          </w:tcPr>
          <w:p w:rsidR="00CC210F" w:rsidRPr="00CC210F" w:rsidRDefault="00CC210F" w:rsidP="00CC210F">
            <w:pPr>
              <w:rPr>
                <w:rFonts w:ascii="Calibri" w:hAnsi="Calibri" w:cs="Calibri"/>
                <w:b/>
                <w:bCs/>
                <w:color w:val="000000"/>
              </w:rPr>
            </w:pPr>
            <w:r w:rsidRPr="00CC210F">
              <w:rPr>
                <w:rFonts w:ascii="Calibri" w:hAnsi="Calibri" w:cs="Calibri"/>
                <w:b/>
                <w:bCs/>
                <w:color w:val="000000"/>
                <w:sz w:val="22"/>
                <w:szCs w:val="22"/>
              </w:rPr>
              <w:t>Course</w:t>
            </w:r>
          </w:p>
        </w:tc>
        <w:tc>
          <w:tcPr>
            <w:tcW w:w="875" w:type="dxa"/>
            <w:tcBorders>
              <w:top w:val="nil"/>
              <w:left w:val="nil"/>
              <w:bottom w:val="nil"/>
              <w:right w:val="nil"/>
            </w:tcBorders>
            <w:shd w:val="clear" w:color="auto" w:fill="auto"/>
            <w:hideMark/>
          </w:tcPr>
          <w:p w:rsidR="00CC210F" w:rsidRPr="00CC210F" w:rsidRDefault="00CC210F" w:rsidP="00CC210F">
            <w:pPr>
              <w:jc w:val="right"/>
              <w:rPr>
                <w:rFonts w:ascii="Calibri" w:hAnsi="Calibri" w:cs="Calibri"/>
                <w:b/>
                <w:bCs/>
                <w:color w:val="000000"/>
              </w:rPr>
            </w:pPr>
            <w:r w:rsidRPr="00CC210F">
              <w:rPr>
                <w:rFonts w:ascii="Calibri" w:hAnsi="Calibri" w:cs="Calibri"/>
                <w:b/>
                <w:bCs/>
                <w:color w:val="000000"/>
                <w:sz w:val="22"/>
                <w:szCs w:val="22"/>
              </w:rPr>
              <w:t>FY 07-08</w:t>
            </w:r>
          </w:p>
        </w:tc>
        <w:tc>
          <w:tcPr>
            <w:tcW w:w="875" w:type="dxa"/>
            <w:tcBorders>
              <w:top w:val="nil"/>
              <w:left w:val="nil"/>
              <w:bottom w:val="nil"/>
              <w:right w:val="nil"/>
            </w:tcBorders>
            <w:shd w:val="clear" w:color="auto" w:fill="auto"/>
            <w:hideMark/>
          </w:tcPr>
          <w:p w:rsidR="00CC210F" w:rsidRPr="00CC210F" w:rsidRDefault="00CC210F" w:rsidP="00CC210F">
            <w:pPr>
              <w:jc w:val="right"/>
              <w:rPr>
                <w:rFonts w:ascii="Calibri" w:hAnsi="Calibri" w:cs="Calibri"/>
                <w:b/>
                <w:bCs/>
                <w:color w:val="000000"/>
              </w:rPr>
            </w:pPr>
            <w:r w:rsidRPr="00CC210F">
              <w:rPr>
                <w:rFonts w:ascii="Calibri" w:hAnsi="Calibri" w:cs="Calibri"/>
                <w:b/>
                <w:bCs/>
                <w:color w:val="000000"/>
                <w:sz w:val="22"/>
                <w:szCs w:val="22"/>
              </w:rPr>
              <w:t>FY 08-09</w:t>
            </w:r>
          </w:p>
        </w:tc>
        <w:tc>
          <w:tcPr>
            <w:tcW w:w="875" w:type="dxa"/>
            <w:tcBorders>
              <w:top w:val="nil"/>
              <w:left w:val="nil"/>
              <w:bottom w:val="nil"/>
              <w:right w:val="nil"/>
            </w:tcBorders>
            <w:shd w:val="clear" w:color="auto" w:fill="auto"/>
            <w:hideMark/>
          </w:tcPr>
          <w:p w:rsidR="00CC210F" w:rsidRPr="00CC210F" w:rsidRDefault="00CC210F" w:rsidP="00CC210F">
            <w:pPr>
              <w:jc w:val="right"/>
              <w:rPr>
                <w:rFonts w:ascii="Calibri" w:hAnsi="Calibri" w:cs="Calibri"/>
                <w:b/>
                <w:bCs/>
                <w:color w:val="000000"/>
              </w:rPr>
            </w:pPr>
            <w:r w:rsidRPr="00CC210F">
              <w:rPr>
                <w:rFonts w:ascii="Calibri" w:hAnsi="Calibri" w:cs="Calibri"/>
                <w:b/>
                <w:bCs/>
                <w:color w:val="000000"/>
                <w:sz w:val="22"/>
                <w:szCs w:val="22"/>
              </w:rPr>
              <w:t>FY 09-10</w:t>
            </w:r>
          </w:p>
        </w:tc>
        <w:tc>
          <w:tcPr>
            <w:tcW w:w="875" w:type="dxa"/>
            <w:tcBorders>
              <w:top w:val="nil"/>
              <w:left w:val="nil"/>
              <w:bottom w:val="nil"/>
              <w:right w:val="nil"/>
            </w:tcBorders>
            <w:shd w:val="clear" w:color="auto" w:fill="auto"/>
            <w:hideMark/>
          </w:tcPr>
          <w:p w:rsidR="00CC210F" w:rsidRPr="00CC210F" w:rsidRDefault="00CC210F" w:rsidP="00CC210F">
            <w:pPr>
              <w:jc w:val="right"/>
              <w:rPr>
                <w:rFonts w:ascii="Calibri" w:hAnsi="Calibri" w:cs="Calibri"/>
                <w:b/>
                <w:bCs/>
                <w:color w:val="000000"/>
              </w:rPr>
            </w:pPr>
            <w:r w:rsidRPr="00CC210F">
              <w:rPr>
                <w:rFonts w:ascii="Calibri" w:hAnsi="Calibri" w:cs="Calibri"/>
                <w:b/>
                <w:bCs/>
                <w:color w:val="000000"/>
                <w:sz w:val="22"/>
                <w:szCs w:val="22"/>
              </w:rPr>
              <w:t>FY 10-11</w:t>
            </w:r>
          </w:p>
        </w:tc>
        <w:tc>
          <w:tcPr>
            <w:tcW w:w="820" w:type="dxa"/>
            <w:tcBorders>
              <w:top w:val="nil"/>
              <w:left w:val="nil"/>
              <w:bottom w:val="nil"/>
              <w:right w:val="nil"/>
            </w:tcBorders>
            <w:shd w:val="clear" w:color="auto" w:fill="auto"/>
            <w:hideMark/>
          </w:tcPr>
          <w:p w:rsidR="00CC210F" w:rsidRPr="00CC210F" w:rsidRDefault="00CC210F" w:rsidP="00CC210F">
            <w:pPr>
              <w:jc w:val="right"/>
              <w:rPr>
                <w:rFonts w:ascii="Calibri" w:hAnsi="Calibri" w:cs="Calibri"/>
                <w:b/>
                <w:bCs/>
                <w:color w:val="000000"/>
              </w:rPr>
            </w:pPr>
            <w:r w:rsidRPr="00CC210F">
              <w:rPr>
                <w:rFonts w:ascii="Calibri" w:hAnsi="Calibri" w:cs="Calibri"/>
                <w:b/>
                <w:bCs/>
                <w:color w:val="000000"/>
                <w:sz w:val="22"/>
                <w:szCs w:val="22"/>
              </w:rPr>
              <w:t>FY 11-12</w:t>
            </w:r>
          </w:p>
        </w:tc>
        <w:tc>
          <w:tcPr>
            <w:tcW w:w="1140" w:type="dxa"/>
            <w:tcBorders>
              <w:top w:val="nil"/>
              <w:left w:val="nil"/>
              <w:bottom w:val="nil"/>
              <w:right w:val="nil"/>
            </w:tcBorders>
            <w:shd w:val="clear" w:color="auto" w:fill="auto"/>
            <w:hideMark/>
          </w:tcPr>
          <w:p w:rsidR="00CC210F" w:rsidRPr="00CC210F" w:rsidRDefault="00CC210F" w:rsidP="00CC210F">
            <w:pPr>
              <w:jc w:val="right"/>
              <w:rPr>
                <w:rFonts w:ascii="Calibri" w:hAnsi="Calibri" w:cs="Calibri"/>
                <w:b/>
                <w:bCs/>
                <w:color w:val="000000"/>
              </w:rPr>
            </w:pPr>
            <w:r w:rsidRPr="00CC210F">
              <w:rPr>
                <w:rFonts w:ascii="Calibri" w:hAnsi="Calibri" w:cs="Calibri"/>
                <w:b/>
                <w:bCs/>
                <w:color w:val="000000"/>
                <w:sz w:val="22"/>
                <w:szCs w:val="22"/>
              </w:rPr>
              <w:t>FY 12-13</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ACC-121</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53.9%</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55.3%</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56.3%</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57.5%</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59.4%</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78.1%</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ACC-1210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53.7%</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ACC-122</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71.7%</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68.8%</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75.8%</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75.4%</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72.2%</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87.5%</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ACC-1220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69.2%</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ACC-125</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83.3%</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78.1%</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78.2%</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78.3%</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80.0%</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ACC-1510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73.7%</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ACC-201</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75.0%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77.0%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70.8%</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69.3%</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76.3%</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ACC-202</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93.5%</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93.6%</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95.9%</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82.6%</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83.3%</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ACC-203</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91.9%</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85.4%</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88.7%</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81.0%</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83.8%</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ACC-210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80.0%</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93.3%</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ACC-2101</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51.2%</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ACC-2102</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75.8%</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ACC-211</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60.4%</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67.3%</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66.2%</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70.8%</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54.8%</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lastRenderedPageBreak/>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ACC-212</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79.5%</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86.5%</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92.6%</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90.2%</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81.4%</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ACC-216</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86.4%</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91.3%</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90.5%</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90.0%</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ACC-221</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55.4%</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57.1%</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60.7%</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73.3%</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63.8%</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ACC-2211</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78.3%</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ACC-2212</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83.1%</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ACC-222</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67.2%</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61.0%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66.7%</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74.1%</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74.7%</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ACC-223</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66.7%</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66.7%</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ACC-225</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60.0%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87.5%</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82.4%</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ACC-2321</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48.2%</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ACC-2322</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83.3%</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ACC-235</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90.9%</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81.0%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85.4%</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75.4%</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71.4%</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66.7%</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ACC-240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88.1%</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87.1%</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73.6%</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83.3%</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75.5%</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87.9%</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ACC-2435</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83.8%</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ACC-270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ACC-9203</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58.3%</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ACC-9210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87.5%</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ACC-9270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FIN-105</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FIN-200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50.0%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FIN-205</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FIN-208</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88.9%</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72.7%</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83.3%</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68.4%</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87.5%</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FIN-215</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85.0%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83.1%</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82.3%</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76.7%</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79.8%</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FIN-245</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70.0%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59.4%</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62.9%</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82.7%</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82.0%</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FIN-2450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FIN-246</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52.6%</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54.2%</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44.4%</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83.3%</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FIN-255</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50.0%</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FIN-260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94.6%</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94.9%</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85.2%</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82.8%</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83.3%</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FIN-270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FIN-295</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100.0%</w:t>
            </w:r>
          </w:p>
        </w:tc>
        <w:tc>
          <w:tcPr>
            <w:tcW w:w="820" w:type="dxa"/>
            <w:tcBorders>
              <w:top w:val="nil"/>
              <w:left w:val="nil"/>
              <w:bottom w:val="nil"/>
              <w:right w:val="nil"/>
            </w:tcBorders>
            <w:shd w:val="clear" w:color="auto" w:fill="auto"/>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auto" w:fill="auto"/>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w:t>
            </w:r>
          </w:p>
        </w:tc>
      </w:tr>
      <w:tr w:rsidR="00CC210F" w:rsidRPr="00CC210F" w:rsidTr="00CC210F">
        <w:trPr>
          <w:trHeight w:val="300"/>
        </w:trPr>
        <w:tc>
          <w:tcPr>
            <w:tcW w:w="14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0410</w:t>
            </w:r>
          </w:p>
        </w:tc>
        <w:tc>
          <w:tcPr>
            <w:tcW w:w="3220"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Accounting Instruction</w:t>
            </w:r>
          </w:p>
        </w:tc>
        <w:tc>
          <w:tcPr>
            <w:tcW w:w="1315" w:type="dxa"/>
            <w:tcBorders>
              <w:top w:val="nil"/>
              <w:left w:val="nil"/>
              <w:bottom w:val="nil"/>
              <w:right w:val="nil"/>
            </w:tcBorders>
            <w:shd w:val="clear" w:color="000000" w:fill="D9D9D9"/>
            <w:noWrap/>
            <w:vAlign w:val="bottom"/>
            <w:hideMark/>
          </w:tcPr>
          <w:p w:rsidR="00CC210F" w:rsidRPr="00CC210F" w:rsidRDefault="00CC210F" w:rsidP="00CC210F">
            <w:pPr>
              <w:rPr>
                <w:rFonts w:ascii="Calibri" w:hAnsi="Calibri" w:cs="Calibri"/>
                <w:color w:val="000000"/>
              </w:rPr>
            </w:pPr>
            <w:r w:rsidRPr="00CC210F">
              <w:rPr>
                <w:rFonts w:ascii="Calibri" w:hAnsi="Calibri" w:cs="Calibri"/>
                <w:color w:val="000000"/>
                <w:sz w:val="22"/>
                <w:szCs w:val="22"/>
              </w:rPr>
              <w:t>FIN-9260</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82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w:t>
            </w:r>
          </w:p>
        </w:tc>
        <w:tc>
          <w:tcPr>
            <w:tcW w:w="1140" w:type="dxa"/>
            <w:tcBorders>
              <w:top w:val="nil"/>
              <w:left w:val="nil"/>
              <w:bottom w:val="nil"/>
              <w:right w:val="nil"/>
            </w:tcBorders>
            <w:shd w:val="clear" w:color="000000" w:fill="D9D9D9"/>
            <w:noWrap/>
            <w:vAlign w:val="bottom"/>
            <w:hideMark/>
          </w:tcPr>
          <w:p w:rsidR="00CC210F" w:rsidRPr="00CC210F" w:rsidRDefault="00CC210F" w:rsidP="00CC210F">
            <w:pPr>
              <w:jc w:val="right"/>
              <w:rPr>
                <w:rFonts w:ascii="Calibri" w:hAnsi="Calibri" w:cs="Calibri"/>
                <w:color w:val="000000"/>
              </w:rPr>
            </w:pPr>
            <w:r w:rsidRPr="00CC210F">
              <w:rPr>
                <w:rFonts w:ascii="Calibri" w:hAnsi="Calibri" w:cs="Calibri"/>
                <w:color w:val="000000"/>
                <w:sz w:val="22"/>
                <w:szCs w:val="22"/>
              </w:rPr>
              <w:t>90.5%</w:t>
            </w:r>
          </w:p>
        </w:tc>
      </w:tr>
    </w:tbl>
    <w:p w:rsidR="00CC210F" w:rsidRDefault="00CC210F" w:rsidP="00B61D81">
      <w:pPr>
        <w:spacing w:after="200" w:line="276" w:lineRule="auto"/>
        <w:rPr>
          <w:rFonts w:ascii="Arial" w:hAnsi="Arial" w:cs="Arial"/>
          <w:b/>
          <w:color w:val="000000" w:themeColor="text1"/>
        </w:rPr>
      </w:pPr>
    </w:p>
    <w:sectPr w:rsidR="00CC210F" w:rsidSect="00CC210F">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CAA" w:rsidRDefault="002B5CAA" w:rsidP="0094204C">
      <w:r>
        <w:separator/>
      </w:r>
    </w:p>
  </w:endnote>
  <w:endnote w:type="continuationSeparator" w:id="0">
    <w:p w:rsidR="002B5CAA" w:rsidRDefault="002B5CA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Content>
      <w:p w:rsidR="002B5CAA" w:rsidRDefault="002B5CAA">
        <w:pPr>
          <w:pStyle w:val="Footer"/>
          <w:jc w:val="right"/>
        </w:pPr>
        <w:r>
          <w:fldChar w:fldCharType="begin"/>
        </w:r>
        <w:r>
          <w:instrText xml:space="preserve"> PAGE   \* MERGEFORMAT </w:instrText>
        </w:r>
        <w:r>
          <w:fldChar w:fldCharType="separate"/>
        </w:r>
        <w:r w:rsidR="00A82E1A">
          <w:rPr>
            <w:noProof/>
          </w:rPr>
          <w:t>12</w:t>
        </w:r>
        <w:r>
          <w:rPr>
            <w:noProof/>
          </w:rPr>
          <w:fldChar w:fldCharType="end"/>
        </w:r>
      </w:p>
    </w:sdtContent>
  </w:sdt>
  <w:p w:rsidR="002B5CAA" w:rsidRDefault="002B5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CAA" w:rsidRDefault="002B5CAA" w:rsidP="0094204C">
      <w:r>
        <w:separator/>
      </w:r>
    </w:p>
  </w:footnote>
  <w:footnote w:type="continuationSeparator" w:id="0">
    <w:p w:rsidR="002B5CAA" w:rsidRDefault="002B5CAA"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71700"/>
    <w:multiLevelType w:val="hybridMultilevel"/>
    <w:tmpl w:val="1DA4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1C235D"/>
    <w:multiLevelType w:val="hybridMultilevel"/>
    <w:tmpl w:val="DE90C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935A56"/>
    <w:multiLevelType w:val="hybridMultilevel"/>
    <w:tmpl w:val="D04A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19193E"/>
    <w:multiLevelType w:val="hybridMultilevel"/>
    <w:tmpl w:val="4DBA64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9"/>
  </w:num>
  <w:num w:numId="5">
    <w:abstractNumId w:val="2"/>
  </w:num>
  <w:num w:numId="6">
    <w:abstractNumId w:val="6"/>
  </w:num>
  <w:num w:numId="7">
    <w:abstractNumId w:val="12"/>
  </w:num>
  <w:num w:numId="8">
    <w:abstractNumId w:val="11"/>
  </w:num>
  <w:num w:numId="9">
    <w:abstractNumId w:val="0"/>
  </w:num>
  <w:num w:numId="10">
    <w:abstractNumId w:val="13"/>
  </w:num>
  <w:num w:numId="11">
    <w:abstractNumId w:val="5"/>
  </w:num>
  <w:num w:numId="12">
    <w:abstractNumId w:val="8"/>
  </w:num>
  <w:num w:numId="13">
    <w:abstractNumId w:val="10"/>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12680"/>
    <w:rsid w:val="000279EB"/>
    <w:rsid w:val="000337E6"/>
    <w:rsid w:val="00034CE6"/>
    <w:rsid w:val="000364F6"/>
    <w:rsid w:val="00036DF9"/>
    <w:rsid w:val="000447FF"/>
    <w:rsid w:val="000455E8"/>
    <w:rsid w:val="00054BFD"/>
    <w:rsid w:val="00056964"/>
    <w:rsid w:val="0006046C"/>
    <w:rsid w:val="000616F3"/>
    <w:rsid w:val="00063778"/>
    <w:rsid w:val="00065129"/>
    <w:rsid w:val="000738FE"/>
    <w:rsid w:val="00074BD5"/>
    <w:rsid w:val="00080933"/>
    <w:rsid w:val="00097843"/>
    <w:rsid w:val="000A089D"/>
    <w:rsid w:val="000A2A44"/>
    <w:rsid w:val="000A4EE0"/>
    <w:rsid w:val="000B060D"/>
    <w:rsid w:val="000B0D23"/>
    <w:rsid w:val="000B261C"/>
    <w:rsid w:val="000C4676"/>
    <w:rsid w:val="000D1F03"/>
    <w:rsid w:val="000D3A39"/>
    <w:rsid w:val="000E2976"/>
    <w:rsid w:val="000E4EFE"/>
    <w:rsid w:val="000E7FB4"/>
    <w:rsid w:val="000F0AF3"/>
    <w:rsid w:val="000F154F"/>
    <w:rsid w:val="000F21F2"/>
    <w:rsid w:val="000F2F76"/>
    <w:rsid w:val="000F4249"/>
    <w:rsid w:val="000F6705"/>
    <w:rsid w:val="0010140A"/>
    <w:rsid w:val="0010227C"/>
    <w:rsid w:val="001026AA"/>
    <w:rsid w:val="00115E77"/>
    <w:rsid w:val="001201D5"/>
    <w:rsid w:val="00120277"/>
    <w:rsid w:val="00120627"/>
    <w:rsid w:val="00120E81"/>
    <w:rsid w:val="001240D0"/>
    <w:rsid w:val="00125D80"/>
    <w:rsid w:val="001324D2"/>
    <w:rsid w:val="00142776"/>
    <w:rsid w:val="00144201"/>
    <w:rsid w:val="001532B7"/>
    <w:rsid w:val="001628B1"/>
    <w:rsid w:val="00171A88"/>
    <w:rsid w:val="0017270F"/>
    <w:rsid w:val="00174C4B"/>
    <w:rsid w:val="001803A0"/>
    <w:rsid w:val="00181457"/>
    <w:rsid w:val="00183806"/>
    <w:rsid w:val="00183A7F"/>
    <w:rsid w:val="00184AE5"/>
    <w:rsid w:val="00185B07"/>
    <w:rsid w:val="0018798A"/>
    <w:rsid w:val="00190F5C"/>
    <w:rsid w:val="0019135D"/>
    <w:rsid w:val="0019549D"/>
    <w:rsid w:val="00195B7B"/>
    <w:rsid w:val="00195E35"/>
    <w:rsid w:val="001A1B67"/>
    <w:rsid w:val="001A3179"/>
    <w:rsid w:val="001A7AF7"/>
    <w:rsid w:val="001B16D8"/>
    <w:rsid w:val="001B5206"/>
    <w:rsid w:val="001B6007"/>
    <w:rsid w:val="001C202C"/>
    <w:rsid w:val="001C42D0"/>
    <w:rsid w:val="001C5617"/>
    <w:rsid w:val="001C5DC3"/>
    <w:rsid w:val="001D3205"/>
    <w:rsid w:val="001D3E1D"/>
    <w:rsid w:val="001D5757"/>
    <w:rsid w:val="001D6D23"/>
    <w:rsid w:val="001D7080"/>
    <w:rsid w:val="001D736E"/>
    <w:rsid w:val="001E0764"/>
    <w:rsid w:val="001E7137"/>
    <w:rsid w:val="001F4B9E"/>
    <w:rsid w:val="00207C4C"/>
    <w:rsid w:val="00210FF3"/>
    <w:rsid w:val="002245AB"/>
    <w:rsid w:val="0022692B"/>
    <w:rsid w:val="00227DA1"/>
    <w:rsid w:val="00230B0B"/>
    <w:rsid w:val="002315EE"/>
    <w:rsid w:val="002406E3"/>
    <w:rsid w:val="0025548D"/>
    <w:rsid w:val="00255C18"/>
    <w:rsid w:val="00255F7D"/>
    <w:rsid w:val="00256114"/>
    <w:rsid w:val="0025618C"/>
    <w:rsid w:val="00262914"/>
    <w:rsid w:val="00262EFB"/>
    <w:rsid w:val="00265A99"/>
    <w:rsid w:val="00266F2F"/>
    <w:rsid w:val="0026791C"/>
    <w:rsid w:val="002737F8"/>
    <w:rsid w:val="00276B75"/>
    <w:rsid w:val="00277254"/>
    <w:rsid w:val="00280C60"/>
    <w:rsid w:val="00281C63"/>
    <w:rsid w:val="0028603C"/>
    <w:rsid w:val="002922CE"/>
    <w:rsid w:val="00293D8D"/>
    <w:rsid w:val="002A1D8C"/>
    <w:rsid w:val="002A3A2F"/>
    <w:rsid w:val="002A5CDA"/>
    <w:rsid w:val="002A7A6E"/>
    <w:rsid w:val="002B4E30"/>
    <w:rsid w:val="002B5CAA"/>
    <w:rsid w:val="002C1797"/>
    <w:rsid w:val="002C3079"/>
    <w:rsid w:val="002C56AC"/>
    <w:rsid w:val="002D1DFE"/>
    <w:rsid w:val="002D20E3"/>
    <w:rsid w:val="002D2748"/>
    <w:rsid w:val="002D3CAD"/>
    <w:rsid w:val="002D428E"/>
    <w:rsid w:val="002D668C"/>
    <w:rsid w:val="002E175B"/>
    <w:rsid w:val="002E28B0"/>
    <w:rsid w:val="002E548B"/>
    <w:rsid w:val="002E5631"/>
    <w:rsid w:val="002E7DBB"/>
    <w:rsid w:val="002F63A2"/>
    <w:rsid w:val="002F6A59"/>
    <w:rsid w:val="00303041"/>
    <w:rsid w:val="00305AE1"/>
    <w:rsid w:val="0030733F"/>
    <w:rsid w:val="00307A43"/>
    <w:rsid w:val="0031075A"/>
    <w:rsid w:val="00315CE8"/>
    <w:rsid w:val="00320CDE"/>
    <w:rsid w:val="00320DF3"/>
    <w:rsid w:val="003233E7"/>
    <w:rsid w:val="003254BC"/>
    <w:rsid w:val="00326281"/>
    <w:rsid w:val="003263AE"/>
    <w:rsid w:val="00330692"/>
    <w:rsid w:val="00337A3A"/>
    <w:rsid w:val="003454F6"/>
    <w:rsid w:val="00350D53"/>
    <w:rsid w:val="003517B9"/>
    <w:rsid w:val="00357413"/>
    <w:rsid w:val="003641BA"/>
    <w:rsid w:val="0037786D"/>
    <w:rsid w:val="00377D40"/>
    <w:rsid w:val="00394144"/>
    <w:rsid w:val="003A298D"/>
    <w:rsid w:val="003B176D"/>
    <w:rsid w:val="003B2034"/>
    <w:rsid w:val="003B5176"/>
    <w:rsid w:val="003B5F45"/>
    <w:rsid w:val="003C1C8E"/>
    <w:rsid w:val="003C320F"/>
    <w:rsid w:val="003D2587"/>
    <w:rsid w:val="003D6946"/>
    <w:rsid w:val="003D6D6E"/>
    <w:rsid w:val="003E791C"/>
    <w:rsid w:val="00401FC8"/>
    <w:rsid w:val="00404810"/>
    <w:rsid w:val="00413CF6"/>
    <w:rsid w:val="00414645"/>
    <w:rsid w:val="004163F8"/>
    <w:rsid w:val="0042188E"/>
    <w:rsid w:val="004241DB"/>
    <w:rsid w:val="00424E5D"/>
    <w:rsid w:val="00425F46"/>
    <w:rsid w:val="00434F56"/>
    <w:rsid w:val="00437FCC"/>
    <w:rsid w:val="00445B6E"/>
    <w:rsid w:val="004467C4"/>
    <w:rsid w:val="00447EAC"/>
    <w:rsid w:val="00455833"/>
    <w:rsid w:val="004604FB"/>
    <w:rsid w:val="00461386"/>
    <w:rsid w:val="00462D00"/>
    <w:rsid w:val="004712EB"/>
    <w:rsid w:val="00476425"/>
    <w:rsid w:val="0048088F"/>
    <w:rsid w:val="00480BB2"/>
    <w:rsid w:val="004818E1"/>
    <w:rsid w:val="00481A7E"/>
    <w:rsid w:val="0048427F"/>
    <w:rsid w:val="00486741"/>
    <w:rsid w:val="00495C9D"/>
    <w:rsid w:val="004A1E40"/>
    <w:rsid w:val="004A67DB"/>
    <w:rsid w:val="004B53DE"/>
    <w:rsid w:val="004B7492"/>
    <w:rsid w:val="004C2B30"/>
    <w:rsid w:val="004C52FC"/>
    <w:rsid w:val="004C7DB2"/>
    <w:rsid w:val="004D3BE1"/>
    <w:rsid w:val="004D3C8C"/>
    <w:rsid w:val="004E1C60"/>
    <w:rsid w:val="004E2A3D"/>
    <w:rsid w:val="004E47AA"/>
    <w:rsid w:val="004E4BD6"/>
    <w:rsid w:val="004E62E4"/>
    <w:rsid w:val="004F2F1C"/>
    <w:rsid w:val="004F41D5"/>
    <w:rsid w:val="00503D4B"/>
    <w:rsid w:val="0051294F"/>
    <w:rsid w:val="00516463"/>
    <w:rsid w:val="00520FBE"/>
    <w:rsid w:val="0052152C"/>
    <w:rsid w:val="00532A26"/>
    <w:rsid w:val="0054350A"/>
    <w:rsid w:val="0054777C"/>
    <w:rsid w:val="005531E8"/>
    <w:rsid w:val="00554D3E"/>
    <w:rsid w:val="005674F9"/>
    <w:rsid w:val="00570F1D"/>
    <w:rsid w:val="00573ECD"/>
    <w:rsid w:val="00585766"/>
    <w:rsid w:val="005863ED"/>
    <w:rsid w:val="005864A4"/>
    <w:rsid w:val="00590784"/>
    <w:rsid w:val="005918B2"/>
    <w:rsid w:val="00597F85"/>
    <w:rsid w:val="005D5050"/>
    <w:rsid w:val="005E193D"/>
    <w:rsid w:val="005F5F7E"/>
    <w:rsid w:val="005F6A04"/>
    <w:rsid w:val="005F6B5B"/>
    <w:rsid w:val="005F7377"/>
    <w:rsid w:val="006032C4"/>
    <w:rsid w:val="0061454F"/>
    <w:rsid w:val="006150A0"/>
    <w:rsid w:val="0061712A"/>
    <w:rsid w:val="0062085F"/>
    <w:rsid w:val="006332DF"/>
    <w:rsid w:val="006368CC"/>
    <w:rsid w:val="00637591"/>
    <w:rsid w:val="00640611"/>
    <w:rsid w:val="00643904"/>
    <w:rsid w:val="00651CF2"/>
    <w:rsid w:val="006532D6"/>
    <w:rsid w:val="0065453B"/>
    <w:rsid w:val="006551C4"/>
    <w:rsid w:val="00660080"/>
    <w:rsid w:val="006620B0"/>
    <w:rsid w:val="0066285F"/>
    <w:rsid w:val="00665205"/>
    <w:rsid w:val="0066607A"/>
    <w:rsid w:val="0067484F"/>
    <w:rsid w:val="00675C00"/>
    <w:rsid w:val="00677703"/>
    <w:rsid w:val="006835C1"/>
    <w:rsid w:val="0068367B"/>
    <w:rsid w:val="00690A3D"/>
    <w:rsid w:val="00691FAF"/>
    <w:rsid w:val="006A2AA3"/>
    <w:rsid w:val="006B0168"/>
    <w:rsid w:val="006B13E0"/>
    <w:rsid w:val="006B5756"/>
    <w:rsid w:val="006B6194"/>
    <w:rsid w:val="006B6511"/>
    <w:rsid w:val="006C142B"/>
    <w:rsid w:val="006C28B1"/>
    <w:rsid w:val="006C4C0B"/>
    <w:rsid w:val="006C4F5E"/>
    <w:rsid w:val="006D67EB"/>
    <w:rsid w:val="006E3686"/>
    <w:rsid w:val="006F0183"/>
    <w:rsid w:val="00716A26"/>
    <w:rsid w:val="00740D35"/>
    <w:rsid w:val="00746675"/>
    <w:rsid w:val="0074722F"/>
    <w:rsid w:val="00751FC5"/>
    <w:rsid w:val="00753F94"/>
    <w:rsid w:val="00766DD5"/>
    <w:rsid w:val="00781DA4"/>
    <w:rsid w:val="007825CC"/>
    <w:rsid w:val="00783697"/>
    <w:rsid w:val="007856A2"/>
    <w:rsid w:val="0078669D"/>
    <w:rsid w:val="00786F00"/>
    <w:rsid w:val="00791FF2"/>
    <w:rsid w:val="0079281D"/>
    <w:rsid w:val="00794EA2"/>
    <w:rsid w:val="007A0737"/>
    <w:rsid w:val="007C1FEF"/>
    <w:rsid w:val="007C46D3"/>
    <w:rsid w:val="007C74F5"/>
    <w:rsid w:val="007D3453"/>
    <w:rsid w:val="007E36F4"/>
    <w:rsid w:val="007F45E6"/>
    <w:rsid w:val="007F66F9"/>
    <w:rsid w:val="0080292B"/>
    <w:rsid w:val="008034BE"/>
    <w:rsid w:val="008056C5"/>
    <w:rsid w:val="00805C23"/>
    <w:rsid w:val="00807113"/>
    <w:rsid w:val="00812E58"/>
    <w:rsid w:val="008131BA"/>
    <w:rsid w:val="008177A5"/>
    <w:rsid w:val="00817DDA"/>
    <w:rsid w:val="00821011"/>
    <w:rsid w:val="008258DA"/>
    <w:rsid w:val="00827AE5"/>
    <w:rsid w:val="00845162"/>
    <w:rsid w:val="00847243"/>
    <w:rsid w:val="008503D6"/>
    <w:rsid w:val="00852DE6"/>
    <w:rsid w:val="008642E1"/>
    <w:rsid w:val="00875A7C"/>
    <w:rsid w:val="00877383"/>
    <w:rsid w:val="00880686"/>
    <w:rsid w:val="008836F4"/>
    <w:rsid w:val="00883E75"/>
    <w:rsid w:val="008860C1"/>
    <w:rsid w:val="008909D4"/>
    <w:rsid w:val="008942FA"/>
    <w:rsid w:val="00897A68"/>
    <w:rsid w:val="008B07E3"/>
    <w:rsid w:val="008B362E"/>
    <w:rsid w:val="008B52A0"/>
    <w:rsid w:val="008B7801"/>
    <w:rsid w:val="008D01E1"/>
    <w:rsid w:val="008D4D55"/>
    <w:rsid w:val="008D7CAA"/>
    <w:rsid w:val="008E063A"/>
    <w:rsid w:val="008E155C"/>
    <w:rsid w:val="008F3D47"/>
    <w:rsid w:val="008F41A6"/>
    <w:rsid w:val="009004B3"/>
    <w:rsid w:val="00910468"/>
    <w:rsid w:val="009108ED"/>
    <w:rsid w:val="00915CDA"/>
    <w:rsid w:val="00925394"/>
    <w:rsid w:val="0092540D"/>
    <w:rsid w:val="009254F0"/>
    <w:rsid w:val="00925FB5"/>
    <w:rsid w:val="009268A3"/>
    <w:rsid w:val="0094204C"/>
    <w:rsid w:val="00963DD8"/>
    <w:rsid w:val="009650F0"/>
    <w:rsid w:val="00970C70"/>
    <w:rsid w:val="00974411"/>
    <w:rsid w:val="00981D62"/>
    <w:rsid w:val="00984174"/>
    <w:rsid w:val="009A1BF5"/>
    <w:rsid w:val="009A2F4E"/>
    <w:rsid w:val="009A4106"/>
    <w:rsid w:val="009A616E"/>
    <w:rsid w:val="009A69F0"/>
    <w:rsid w:val="009B3EAF"/>
    <w:rsid w:val="009C105C"/>
    <w:rsid w:val="009C1092"/>
    <w:rsid w:val="009D4970"/>
    <w:rsid w:val="009E2519"/>
    <w:rsid w:val="009E45C3"/>
    <w:rsid w:val="009E6189"/>
    <w:rsid w:val="009F2769"/>
    <w:rsid w:val="009F71F8"/>
    <w:rsid w:val="00A03C1A"/>
    <w:rsid w:val="00A11155"/>
    <w:rsid w:val="00A147FE"/>
    <w:rsid w:val="00A14B89"/>
    <w:rsid w:val="00A201E2"/>
    <w:rsid w:val="00A21675"/>
    <w:rsid w:val="00A21E6E"/>
    <w:rsid w:val="00A258E6"/>
    <w:rsid w:val="00A279B7"/>
    <w:rsid w:val="00A316A8"/>
    <w:rsid w:val="00A341DF"/>
    <w:rsid w:val="00A35251"/>
    <w:rsid w:val="00A36DEE"/>
    <w:rsid w:val="00A41D01"/>
    <w:rsid w:val="00A4491A"/>
    <w:rsid w:val="00A4607B"/>
    <w:rsid w:val="00A476CD"/>
    <w:rsid w:val="00A505B9"/>
    <w:rsid w:val="00A52BD7"/>
    <w:rsid w:val="00A53BE4"/>
    <w:rsid w:val="00A54831"/>
    <w:rsid w:val="00A6078F"/>
    <w:rsid w:val="00A62968"/>
    <w:rsid w:val="00A63ACE"/>
    <w:rsid w:val="00A64E44"/>
    <w:rsid w:val="00A82E1A"/>
    <w:rsid w:val="00A8476F"/>
    <w:rsid w:val="00A97939"/>
    <w:rsid w:val="00AA0916"/>
    <w:rsid w:val="00AA222D"/>
    <w:rsid w:val="00AA5E8C"/>
    <w:rsid w:val="00AA7335"/>
    <w:rsid w:val="00AB725C"/>
    <w:rsid w:val="00AC0386"/>
    <w:rsid w:val="00AC62F8"/>
    <w:rsid w:val="00AD0CA7"/>
    <w:rsid w:val="00AD4FA7"/>
    <w:rsid w:val="00AE4AD2"/>
    <w:rsid w:val="00AE5F43"/>
    <w:rsid w:val="00AE7070"/>
    <w:rsid w:val="00AE7E37"/>
    <w:rsid w:val="00AF1271"/>
    <w:rsid w:val="00AF6A23"/>
    <w:rsid w:val="00B055DC"/>
    <w:rsid w:val="00B0704C"/>
    <w:rsid w:val="00B11F28"/>
    <w:rsid w:val="00B27095"/>
    <w:rsid w:val="00B27D9D"/>
    <w:rsid w:val="00B31728"/>
    <w:rsid w:val="00B34F9E"/>
    <w:rsid w:val="00B42C55"/>
    <w:rsid w:val="00B43DE0"/>
    <w:rsid w:val="00B44B23"/>
    <w:rsid w:val="00B4625A"/>
    <w:rsid w:val="00B472AA"/>
    <w:rsid w:val="00B54864"/>
    <w:rsid w:val="00B608D5"/>
    <w:rsid w:val="00B61D81"/>
    <w:rsid w:val="00B700A5"/>
    <w:rsid w:val="00B709CE"/>
    <w:rsid w:val="00B70D5A"/>
    <w:rsid w:val="00B71307"/>
    <w:rsid w:val="00B75DD0"/>
    <w:rsid w:val="00B764F8"/>
    <w:rsid w:val="00B80F25"/>
    <w:rsid w:val="00B81607"/>
    <w:rsid w:val="00B8227E"/>
    <w:rsid w:val="00B8714D"/>
    <w:rsid w:val="00B90F20"/>
    <w:rsid w:val="00B91F1E"/>
    <w:rsid w:val="00B93382"/>
    <w:rsid w:val="00BA3246"/>
    <w:rsid w:val="00BA411F"/>
    <w:rsid w:val="00BA4B16"/>
    <w:rsid w:val="00BA527A"/>
    <w:rsid w:val="00BB272C"/>
    <w:rsid w:val="00BB28CF"/>
    <w:rsid w:val="00BB4ABC"/>
    <w:rsid w:val="00BB4C9F"/>
    <w:rsid w:val="00BB5574"/>
    <w:rsid w:val="00BC12BF"/>
    <w:rsid w:val="00BC2A48"/>
    <w:rsid w:val="00BC3EF9"/>
    <w:rsid w:val="00BC5FF1"/>
    <w:rsid w:val="00BC6236"/>
    <w:rsid w:val="00BC6C11"/>
    <w:rsid w:val="00BC7B47"/>
    <w:rsid w:val="00BD2C4F"/>
    <w:rsid w:val="00BD3EF3"/>
    <w:rsid w:val="00BE08F3"/>
    <w:rsid w:val="00BE51FF"/>
    <w:rsid w:val="00BE5B2C"/>
    <w:rsid w:val="00BF3561"/>
    <w:rsid w:val="00BF556C"/>
    <w:rsid w:val="00C00460"/>
    <w:rsid w:val="00C05015"/>
    <w:rsid w:val="00C05EFD"/>
    <w:rsid w:val="00C0768E"/>
    <w:rsid w:val="00C11B88"/>
    <w:rsid w:val="00C22083"/>
    <w:rsid w:val="00C24C23"/>
    <w:rsid w:val="00C32DEA"/>
    <w:rsid w:val="00C346D4"/>
    <w:rsid w:val="00C45053"/>
    <w:rsid w:val="00C52D74"/>
    <w:rsid w:val="00C5365F"/>
    <w:rsid w:val="00C55A39"/>
    <w:rsid w:val="00C56C48"/>
    <w:rsid w:val="00C616FD"/>
    <w:rsid w:val="00C63B58"/>
    <w:rsid w:val="00C7001F"/>
    <w:rsid w:val="00C71F16"/>
    <w:rsid w:val="00C7573D"/>
    <w:rsid w:val="00C76F4A"/>
    <w:rsid w:val="00C77723"/>
    <w:rsid w:val="00C800A9"/>
    <w:rsid w:val="00C80222"/>
    <w:rsid w:val="00C8169B"/>
    <w:rsid w:val="00C86826"/>
    <w:rsid w:val="00C86D2C"/>
    <w:rsid w:val="00C90C76"/>
    <w:rsid w:val="00CA10D7"/>
    <w:rsid w:val="00CA71AC"/>
    <w:rsid w:val="00CB09E0"/>
    <w:rsid w:val="00CC210F"/>
    <w:rsid w:val="00CC2F5C"/>
    <w:rsid w:val="00CC3545"/>
    <w:rsid w:val="00CC5D92"/>
    <w:rsid w:val="00CC66AD"/>
    <w:rsid w:val="00CC69E8"/>
    <w:rsid w:val="00CC6AF3"/>
    <w:rsid w:val="00CD2613"/>
    <w:rsid w:val="00CD3412"/>
    <w:rsid w:val="00CD7FA8"/>
    <w:rsid w:val="00CE06A2"/>
    <w:rsid w:val="00CE118B"/>
    <w:rsid w:val="00CF34BC"/>
    <w:rsid w:val="00D06314"/>
    <w:rsid w:val="00D07030"/>
    <w:rsid w:val="00D17A66"/>
    <w:rsid w:val="00D216E6"/>
    <w:rsid w:val="00D23E74"/>
    <w:rsid w:val="00D31DDA"/>
    <w:rsid w:val="00D44D7D"/>
    <w:rsid w:val="00D52978"/>
    <w:rsid w:val="00D54C5C"/>
    <w:rsid w:val="00D57E53"/>
    <w:rsid w:val="00D60F74"/>
    <w:rsid w:val="00D632DC"/>
    <w:rsid w:val="00D67139"/>
    <w:rsid w:val="00D708C3"/>
    <w:rsid w:val="00D72CCC"/>
    <w:rsid w:val="00D75DBC"/>
    <w:rsid w:val="00D81A4C"/>
    <w:rsid w:val="00D86FCF"/>
    <w:rsid w:val="00D95985"/>
    <w:rsid w:val="00D9642E"/>
    <w:rsid w:val="00DA5E37"/>
    <w:rsid w:val="00DA7AD4"/>
    <w:rsid w:val="00DA7FA2"/>
    <w:rsid w:val="00DB041B"/>
    <w:rsid w:val="00DB12AC"/>
    <w:rsid w:val="00DB17B2"/>
    <w:rsid w:val="00DC0672"/>
    <w:rsid w:val="00DC5CEE"/>
    <w:rsid w:val="00DC75CD"/>
    <w:rsid w:val="00DD42DB"/>
    <w:rsid w:val="00DE7976"/>
    <w:rsid w:val="00DF1658"/>
    <w:rsid w:val="00DF1D5C"/>
    <w:rsid w:val="00DF5973"/>
    <w:rsid w:val="00DF7501"/>
    <w:rsid w:val="00E12A67"/>
    <w:rsid w:val="00E12E4F"/>
    <w:rsid w:val="00E13C55"/>
    <w:rsid w:val="00E14C90"/>
    <w:rsid w:val="00E16205"/>
    <w:rsid w:val="00E22E06"/>
    <w:rsid w:val="00E22EF5"/>
    <w:rsid w:val="00E254D9"/>
    <w:rsid w:val="00E25A14"/>
    <w:rsid w:val="00E25ACC"/>
    <w:rsid w:val="00E36856"/>
    <w:rsid w:val="00E450AE"/>
    <w:rsid w:val="00E501C6"/>
    <w:rsid w:val="00E55AD1"/>
    <w:rsid w:val="00E57CE2"/>
    <w:rsid w:val="00E642B3"/>
    <w:rsid w:val="00E7049B"/>
    <w:rsid w:val="00E727F2"/>
    <w:rsid w:val="00E73A43"/>
    <w:rsid w:val="00E749F1"/>
    <w:rsid w:val="00E80DE6"/>
    <w:rsid w:val="00E84E1D"/>
    <w:rsid w:val="00E87116"/>
    <w:rsid w:val="00E90F22"/>
    <w:rsid w:val="00E91701"/>
    <w:rsid w:val="00E96021"/>
    <w:rsid w:val="00E97968"/>
    <w:rsid w:val="00EA13B2"/>
    <w:rsid w:val="00EA2AEE"/>
    <w:rsid w:val="00EA3B77"/>
    <w:rsid w:val="00EA7AFE"/>
    <w:rsid w:val="00EB3C20"/>
    <w:rsid w:val="00EC0B9E"/>
    <w:rsid w:val="00EC1EB5"/>
    <w:rsid w:val="00EC6B80"/>
    <w:rsid w:val="00ED0C45"/>
    <w:rsid w:val="00ED1CB5"/>
    <w:rsid w:val="00ED4142"/>
    <w:rsid w:val="00ED537E"/>
    <w:rsid w:val="00EF15CD"/>
    <w:rsid w:val="00EF6E21"/>
    <w:rsid w:val="00EF775B"/>
    <w:rsid w:val="00F0239E"/>
    <w:rsid w:val="00F07EFD"/>
    <w:rsid w:val="00F1164D"/>
    <w:rsid w:val="00F1200D"/>
    <w:rsid w:val="00F154DF"/>
    <w:rsid w:val="00F1798B"/>
    <w:rsid w:val="00F17C08"/>
    <w:rsid w:val="00F21FBD"/>
    <w:rsid w:val="00F27D5C"/>
    <w:rsid w:val="00F30264"/>
    <w:rsid w:val="00F340B8"/>
    <w:rsid w:val="00F37373"/>
    <w:rsid w:val="00F43A46"/>
    <w:rsid w:val="00F43F29"/>
    <w:rsid w:val="00F509AE"/>
    <w:rsid w:val="00F53EAF"/>
    <w:rsid w:val="00F60941"/>
    <w:rsid w:val="00F60C52"/>
    <w:rsid w:val="00F60FAC"/>
    <w:rsid w:val="00F7110B"/>
    <w:rsid w:val="00F81080"/>
    <w:rsid w:val="00F8191D"/>
    <w:rsid w:val="00F82701"/>
    <w:rsid w:val="00F86156"/>
    <w:rsid w:val="00F87CC9"/>
    <w:rsid w:val="00F920EB"/>
    <w:rsid w:val="00F92784"/>
    <w:rsid w:val="00F927BD"/>
    <w:rsid w:val="00F938A3"/>
    <w:rsid w:val="00F94D4D"/>
    <w:rsid w:val="00F95896"/>
    <w:rsid w:val="00FA24D1"/>
    <w:rsid w:val="00FA6F3F"/>
    <w:rsid w:val="00FA70EA"/>
    <w:rsid w:val="00FA7DDB"/>
    <w:rsid w:val="00FB039C"/>
    <w:rsid w:val="00FB0E89"/>
    <w:rsid w:val="00FB231A"/>
    <w:rsid w:val="00FB390A"/>
    <w:rsid w:val="00FB4AA9"/>
    <w:rsid w:val="00FC1435"/>
    <w:rsid w:val="00FC45CA"/>
    <w:rsid w:val="00FC49AB"/>
    <w:rsid w:val="00FC7F0C"/>
    <w:rsid w:val="00FD45A4"/>
    <w:rsid w:val="00FD4866"/>
    <w:rsid w:val="00FE084D"/>
    <w:rsid w:val="00FF3007"/>
    <w:rsid w:val="00FF4BC4"/>
    <w:rsid w:val="00FF558C"/>
    <w:rsid w:val="00FF7279"/>
    <w:rsid w:val="00FF796B"/>
    <w:rsid w:val="00FF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90215352">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34960971">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92915616">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11172696">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67403471">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10209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Overall</a:t>
            </a:r>
            <a:r>
              <a:rPr lang="en-US" sz="1200" baseline="0"/>
              <a:t> Department Completions</a:t>
            </a:r>
          </a:p>
          <a:p>
            <a:pPr>
              <a:defRPr/>
            </a:pPr>
            <a:r>
              <a:rPr lang="en-US" sz="1200" baseline="0"/>
              <a:t>(Degrees, Certificates, and Short-term Certificates</a:t>
            </a:r>
            <a:r>
              <a:rPr lang="en-US" baseline="0"/>
              <a:t>)</a:t>
            </a:r>
            <a:endParaRPr lang="en-US"/>
          </a:p>
        </c:rich>
      </c:tx>
      <c:layout>
        <c:manualLayout>
          <c:xMode val="edge"/>
          <c:yMode val="edge"/>
          <c:x val="0.13550000000000001"/>
          <c:y val="0"/>
        </c:manualLayout>
      </c:layout>
      <c:overlay val="0"/>
    </c:title>
    <c:autoTitleDeleted val="0"/>
    <c:plotArea>
      <c:layout/>
      <c:barChart>
        <c:barDir val="col"/>
        <c:grouping val="clustered"/>
        <c:varyColors val="0"/>
        <c:ser>
          <c:idx val="0"/>
          <c:order val="0"/>
          <c:tx>
            <c:strRef>
              <c:f>'Reported Data Publish'!$N$54</c:f>
              <c:strCache>
                <c:ptCount val="1"/>
                <c:pt idx="0">
                  <c:v>Graduation</c:v>
                </c:pt>
              </c:strCache>
            </c:strRef>
          </c:tx>
          <c:invertIfNegative val="0"/>
          <c:dLbls>
            <c:showLegendKey val="0"/>
            <c:showVal val="1"/>
            <c:showCatName val="0"/>
            <c:showSerName val="0"/>
            <c:showPercent val="0"/>
            <c:showBubbleSize val="0"/>
            <c:showLeaderLines val="0"/>
          </c:dLbls>
          <c:cat>
            <c:strRef>
              <c:f>'Reported Data Publish'!$O$53:$T$53</c:f>
              <c:strCache>
                <c:ptCount val="6"/>
                <c:pt idx="0">
                  <c:v>FY 07-08</c:v>
                </c:pt>
                <c:pt idx="1">
                  <c:v>FY 08-09</c:v>
                </c:pt>
                <c:pt idx="2">
                  <c:v>FY 09-10</c:v>
                </c:pt>
                <c:pt idx="3">
                  <c:v>FY 10-11</c:v>
                </c:pt>
                <c:pt idx="4">
                  <c:v>FY 11-12</c:v>
                </c:pt>
                <c:pt idx="5">
                  <c:v>FY 12-13</c:v>
                </c:pt>
              </c:strCache>
            </c:strRef>
          </c:cat>
          <c:val>
            <c:numRef>
              <c:f>'Reported Data Publish'!$O$54:$T$54</c:f>
              <c:numCache>
                <c:formatCode>_(* #,##0_);_(* \(#,##0\);_(* "-"??_);_(@_)</c:formatCode>
                <c:ptCount val="6"/>
                <c:pt idx="0">
                  <c:v>33</c:v>
                </c:pt>
                <c:pt idx="1">
                  <c:v>31</c:v>
                </c:pt>
                <c:pt idx="2">
                  <c:v>37</c:v>
                </c:pt>
                <c:pt idx="3">
                  <c:v>47</c:v>
                </c:pt>
                <c:pt idx="4">
                  <c:v>53</c:v>
                </c:pt>
                <c:pt idx="5">
                  <c:v>48</c:v>
                </c:pt>
              </c:numCache>
            </c:numRef>
          </c:val>
        </c:ser>
        <c:dLbls>
          <c:showLegendKey val="0"/>
          <c:showVal val="0"/>
          <c:showCatName val="0"/>
          <c:showSerName val="0"/>
          <c:showPercent val="0"/>
          <c:showBubbleSize val="0"/>
        </c:dLbls>
        <c:gapWidth val="150"/>
        <c:axId val="139738112"/>
        <c:axId val="111547136"/>
      </c:barChart>
      <c:catAx>
        <c:axId val="139738112"/>
        <c:scaling>
          <c:orientation val="minMax"/>
        </c:scaling>
        <c:delete val="0"/>
        <c:axPos val="b"/>
        <c:majorTickMark val="out"/>
        <c:minorTickMark val="none"/>
        <c:tickLblPos val="nextTo"/>
        <c:crossAx val="111547136"/>
        <c:crosses val="autoZero"/>
        <c:auto val="1"/>
        <c:lblAlgn val="ctr"/>
        <c:lblOffset val="100"/>
        <c:noMultiLvlLbl val="0"/>
      </c:catAx>
      <c:valAx>
        <c:axId val="111547136"/>
        <c:scaling>
          <c:orientation val="minMax"/>
        </c:scaling>
        <c:delete val="1"/>
        <c:axPos val="l"/>
        <c:majorGridlines/>
        <c:numFmt formatCode="_(* #,##0_);_(* \(#,##0\);_(* &quot;-&quot;??_);_(@_)" sourceLinked="1"/>
        <c:majorTickMark val="out"/>
        <c:minorTickMark val="none"/>
        <c:tickLblPos val="nextTo"/>
        <c:crossAx val="13973811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0410 - Accounting Instruction</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0.64400000000000002</c:v>
                </c:pt>
                <c:pt idx="1">
                  <c:v>0.64400000000000002</c:v>
                </c:pt>
                <c:pt idx="2">
                  <c:v>0.66</c:v>
                </c:pt>
                <c:pt idx="3">
                  <c:v>0.67700000000000005</c:v>
                </c:pt>
                <c:pt idx="4">
                  <c:v>0.68200000000000005</c:v>
                </c:pt>
                <c:pt idx="5">
                  <c:v>0.621</c:v>
                </c:pt>
              </c:numCache>
            </c:numRef>
          </c:val>
        </c:ser>
        <c:ser>
          <c:idx val="1"/>
          <c:order val="1"/>
          <c:tx>
            <c:strRef>
              <c:f>'CHART FOR SUCCESS RATES'!$C$7</c:f>
              <c:strCache>
                <c:ptCount val="1"/>
                <c:pt idx="0">
                  <c:v>BPS</c:v>
                </c:pt>
              </c:strCache>
            </c:strRef>
          </c:tx>
          <c:invertIfNegative val="0"/>
          <c:dLbls>
            <c:dLblPos val="inEnd"/>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0.73199999999999998</c:v>
                </c:pt>
                <c:pt idx="1">
                  <c:v>0.72799999999999998</c:v>
                </c:pt>
                <c:pt idx="2">
                  <c:v>0.71799999999999997</c:v>
                </c:pt>
                <c:pt idx="3">
                  <c:v>0.70599999999999996</c:v>
                </c:pt>
                <c:pt idx="4">
                  <c:v>0.72699999999999998</c:v>
                </c:pt>
                <c:pt idx="5">
                  <c:v>0.67900000000000005</c:v>
                </c:pt>
              </c:numCache>
            </c:numRef>
          </c:val>
        </c:ser>
        <c:ser>
          <c:idx val="2"/>
          <c:order val="2"/>
          <c:tx>
            <c:strRef>
              <c:f>'CHART FOR SUCCESS RATES'!$C$8</c:f>
              <c:strCache>
                <c:ptCount val="1"/>
                <c:pt idx="0">
                  <c:v>COLLEGEWIDE</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141007872"/>
        <c:axId val="141026048"/>
      </c:barChart>
      <c:catAx>
        <c:axId val="141007872"/>
        <c:scaling>
          <c:orientation val="minMax"/>
        </c:scaling>
        <c:delete val="0"/>
        <c:axPos val="b"/>
        <c:numFmt formatCode="0.0%" sourceLinked="1"/>
        <c:majorTickMark val="none"/>
        <c:minorTickMark val="none"/>
        <c:tickLblPos val="nextTo"/>
        <c:crossAx val="141026048"/>
        <c:crosses val="autoZero"/>
        <c:auto val="1"/>
        <c:lblAlgn val="ctr"/>
        <c:lblOffset val="100"/>
        <c:noMultiLvlLbl val="0"/>
      </c:catAx>
      <c:valAx>
        <c:axId val="141026048"/>
        <c:scaling>
          <c:orientation val="minMax"/>
          <c:max val="1"/>
          <c:min val="0"/>
        </c:scaling>
        <c:delete val="1"/>
        <c:axPos val="l"/>
        <c:majorGridlines>
          <c:spPr>
            <a:ln>
              <a:solidFill>
                <a:srgbClr val="4F81BD">
                  <a:alpha val="31000"/>
                </a:srgbClr>
              </a:solidFill>
            </a:ln>
          </c:spPr>
        </c:majorGridlines>
        <c:numFmt formatCode="0.0%" sourceLinked="1"/>
        <c:majorTickMark val="none"/>
        <c:minorTickMark val="none"/>
        <c:tickLblPos val="nextTo"/>
        <c:crossAx val="141007872"/>
        <c:crosses val="autoZero"/>
        <c:crossBetween val="between"/>
      </c:valAx>
    </c:plotArea>
    <c:legend>
      <c:legendPos val="b"/>
      <c:layout/>
      <c:overlay val="0"/>
    </c:legend>
    <c:plotVisOnly val="1"/>
    <c:dispBlanksAs val="gap"/>
    <c:showDLblsOverMax val="0"/>
  </c:chart>
  <c:spPr>
    <a:ln w="25400">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Sheet1!$I$4</c:f>
              <c:strCache>
                <c:ptCount val="1"/>
                <c:pt idx="0">
                  <c:v>FA12</c:v>
                </c:pt>
              </c:strCache>
            </c:strRef>
          </c:tx>
          <c:invertIfNegative val="0"/>
          <c:dLbls>
            <c:showLegendKey val="0"/>
            <c:showVal val="1"/>
            <c:showCatName val="0"/>
            <c:showSerName val="0"/>
            <c:showPercent val="0"/>
            <c:showBubbleSize val="0"/>
            <c:showLeaderLines val="0"/>
          </c:dLbls>
          <c:cat>
            <c:strRef>
              <c:f>Sheet1!$J$3:$L$3</c:f>
              <c:strCache>
                <c:ptCount val="3"/>
                <c:pt idx="0">
                  <c:v>% over 70%</c:v>
                </c:pt>
                <c:pt idx="1">
                  <c:v>% over 80%</c:v>
                </c:pt>
                <c:pt idx="2">
                  <c:v> % over 90%</c:v>
                </c:pt>
              </c:strCache>
            </c:strRef>
          </c:cat>
          <c:val>
            <c:numRef>
              <c:f>Sheet1!$J$4:$L$4</c:f>
              <c:numCache>
                <c:formatCode>0%</c:formatCode>
                <c:ptCount val="3"/>
                <c:pt idx="0">
                  <c:v>0.88709677419354838</c:v>
                </c:pt>
                <c:pt idx="1">
                  <c:v>0.79032258064516125</c:v>
                </c:pt>
                <c:pt idx="2">
                  <c:v>0.62903225806451613</c:v>
                </c:pt>
              </c:numCache>
            </c:numRef>
          </c:val>
        </c:ser>
        <c:ser>
          <c:idx val="1"/>
          <c:order val="1"/>
          <c:tx>
            <c:strRef>
              <c:f>Sheet1!$I$5</c:f>
              <c:strCache>
                <c:ptCount val="1"/>
                <c:pt idx="0">
                  <c:v>SP13</c:v>
                </c:pt>
              </c:strCache>
            </c:strRef>
          </c:tx>
          <c:invertIfNegative val="0"/>
          <c:dLbls>
            <c:showLegendKey val="0"/>
            <c:showVal val="1"/>
            <c:showCatName val="0"/>
            <c:showSerName val="0"/>
            <c:showPercent val="0"/>
            <c:showBubbleSize val="0"/>
            <c:showLeaderLines val="0"/>
          </c:dLbls>
          <c:cat>
            <c:strRef>
              <c:f>Sheet1!$J$3:$L$3</c:f>
              <c:strCache>
                <c:ptCount val="3"/>
                <c:pt idx="0">
                  <c:v>% over 70%</c:v>
                </c:pt>
                <c:pt idx="1">
                  <c:v>% over 80%</c:v>
                </c:pt>
                <c:pt idx="2">
                  <c:v> % over 90%</c:v>
                </c:pt>
              </c:strCache>
            </c:strRef>
          </c:cat>
          <c:val>
            <c:numRef>
              <c:f>Sheet1!$J$5:$L$5</c:f>
              <c:numCache>
                <c:formatCode>0%</c:formatCode>
                <c:ptCount val="3"/>
                <c:pt idx="0">
                  <c:v>0.90804597701149425</c:v>
                </c:pt>
                <c:pt idx="1">
                  <c:v>0.7931034482758621</c:v>
                </c:pt>
                <c:pt idx="2">
                  <c:v>0.67816091954022983</c:v>
                </c:pt>
              </c:numCache>
            </c:numRef>
          </c:val>
        </c:ser>
        <c:ser>
          <c:idx val="2"/>
          <c:order val="2"/>
          <c:tx>
            <c:strRef>
              <c:f>Sheet1!$I$6</c:f>
              <c:strCache>
                <c:ptCount val="1"/>
                <c:pt idx="0">
                  <c:v>SU13</c:v>
                </c:pt>
              </c:strCache>
            </c:strRef>
          </c:tx>
          <c:invertIfNegative val="0"/>
          <c:dLbls>
            <c:showLegendKey val="0"/>
            <c:showVal val="1"/>
            <c:showCatName val="0"/>
            <c:showSerName val="0"/>
            <c:showPercent val="0"/>
            <c:showBubbleSize val="0"/>
            <c:showLeaderLines val="0"/>
          </c:dLbls>
          <c:cat>
            <c:strRef>
              <c:f>Sheet1!$J$3:$L$3</c:f>
              <c:strCache>
                <c:ptCount val="3"/>
                <c:pt idx="0">
                  <c:v>% over 70%</c:v>
                </c:pt>
                <c:pt idx="1">
                  <c:v>% over 80%</c:v>
                </c:pt>
                <c:pt idx="2">
                  <c:v> % over 90%</c:v>
                </c:pt>
              </c:strCache>
            </c:strRef>
          </c:cat>
          <c:val>
            <c:numRef>
              <c:f>Sheet1!$J$6:$L$6</c:f>
              <c:numCache>
                <c:formatCode>0%</c:formatCode>
                <c:ptCount val="3"/>
                <c:pt idx="0">
                  <c:v>0.90196078431372551</c:v>
                </c:pt>
                <c:pt idx="1">
                  <c:v>0.82352941176470584</c:v>
                </c:pt>
                <c:pt idx="2">
                  <c:v>0.70588235294117652</c:v>
                </c:pt>
              </c:numCache>
            </c:numRef>
          </c:val>
        </c:ser>
        <c:dLbls>
          <c:showLegendKey val="0"/>
          <c:showVal val="0"/>
          <c:showCatName val="0"/>
          <c:showSerName val="0"/>
          <c:showPercent val="0"/>
          <c:showBubbleSize val="0"/>
        </c:dLbls>
        <c:gapWidth val="150"/>
        <c:axId val="141194368"/>
        <c:axId val="141195904"/>
      </c:barChart>
      <c:catAx>
        <c:axId val="141194368"/>
        <c:scaling>
          <c:orientation val="minMax"/>
        </c:scaling>
        <c:delete val="0"/>
        <c:axPos val="b"/>
        <c:majorTickMark val="out"/>
        <c:minorTickMark val="none"/>
        <c:tickLblPos val="nextTo"/>
        <c:crossAx val="141195904"/>
        <c:crosses val="autoZero"/>
        <c:auto val="1"/>
        <c:lblAlgn val="ctr"/>
        <c:lblOffset val="100"/>
        <c:noMultiLvlLbl val="0"/>
      </c:catAx>
      <c:valAx>
        <c:axId val="141195904"/>
        <c:scaling>
          <c:orientation val="minMax"/>
        </c:scaling>
        <c:delete val="1"/>
        <c:axPos val="l"/>
        <c:majorGridlines/>
        <c:numFmt formatCode="0%" sourceLinked="1"/>
        <c:majorTickMark val="out"/>
        <c:minorTickMark val="none"/>
        <c:tickLblPos val="nextTo"/>
        <c:crossAx val="141194368"/>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'12-13RawData'!$F$4</c:f>
              <c:strCache>
                <c:ptCount val="1"/>
                <c:pt idx="0">
                  <c:v>FA12</c:v>
                </c:pt>
              </c:strCache>
            </c:strRef>
          </c:tx>
          <c:invertIfNegative val="0"/>
          <c:cat>
            <c:strRef>
              <c:f>'12-13RawData'!$G$3:$I$3</c:f>
              <c:strCache>
                <c:ptCount val="3"/>
                <c:pt idx="0">
                  <c:v>% over 70%</c:v>
                </c:pt>
                <c:pt idx="1">
                  <c:v>% over 80%</c:v>
                </c:pt>
                <c:pt idx="2">
                  <c:v> % over 90%</c:v>
                </c:pt>
              </c:strCache>
            </c:strRef>
          </c:cat>
          <c:val>
            <c:numRef>
              <c:f>'12-13RawData'!$G$4:$I$4</c:f>
              <c:numCache>
                <c:formatCode>0%</c:formatCode>
                <c:ptCount val="3"/>
                <c:pt idx="0">
                  <c:v>0.75</c:v>
                </c:pt>
                <c:pt idx="1">
                  <c:v>0.75</c:v>
                </c:pt>
                <c:pt idx="2">
                  <c:v>0.66666666666666663</c:v>
                </c:pt>
              </c:numCache>
            </c:numRef>
          </c:val>
        </c:ser>
        <c:ser>
          <c:idx val="1"/>
          <c:order val="1"/>
          <c:tx>
            <c:strRef>
              <c:f>'12-13RawData'!$F$5</c:f>
              <c:strCache>
                <c:ptCount val="1"/>
                <c:pt idx="0">
                  <c:v>SP13</c:v>
                </c:pt>
              </c:strCache>
            </c:strRef>
          </c:tx>
          <c:invertIfNegative val="0"/>
          <c:cat>
            <c:strRef>
              <c:f>'12-13RawData'!$G$3:$I$3</c:f>
              <c:strCache>
                <c:ptCount val="3"/>
                <c:pt idx="0">
                  <c:v>% over 70%</c:v>
                </c:pt>
                <c:pt idx="1">
                  <c:v>% over 80%</c:v>
                </c:pt>
                <c:pt idx="2">
                  <c:v> % over 90%</c:v>
                </c:pt>
              </c:strCache>
            </c:strRef>
          </c:cat>
          <c:val>
            <c:numRef>
              <c:f>'12-13RawData'!$G$5:$I$5</c:f>
              <c:numCache>
                <c:formatCode>0%</c:formatCode>
                <c:ptCount val="3"/>
                <c:pt idx="0">
                  <c:v>0.76470588235294112</c:v>
                </c:pt>
                <c:pt idx="1">
                  <c:v>0.76470588235294112</c:v>
                </c:pt>
                <c:pt idx="2">
                  <c:v>0.76470588235294112</c:v>
                </c:pt>
              </c:numCache>
            </c:numRef>
          </c:val>
        </c:ser>
        <c:ser>
          <c:idx val="2"/>
          <c:order val="2"/>
          <c:tx>
            <c:strRef>
              <c:f>'12-13RawData'!$F$6</c:f>
              <c:strCache>
                <c:ptCount val="1"/>
                <c:pt idx="0">
                  <c:v>SU13</c:v>
                </c:pt>
              </c:strCache>
            </c:strRef>
          </c:tx>
          <c:invertIfNegative val="0"/>
          <c:cat>
            <c:strRef>
              <c:f>'12-13RawData'!$G$3:$I$3</c:f>
              <c:strCache>
                <c:ptCount val="3"/>
                <c:pt idx="0">
                  <c:v>% over 70%</c:v>
                </c:pt>
                <c:pt idx="1">
                  <c:v>% over 80%</c:v>
                </c:pt>
                <c:pt idx="2">
                  <c:v> % over 90%</c:v>
                </c:pt>
              </c:strCache>
            </c:strRef>
          </c:cat>
          <c:val>
            <c:numRef>
              <c:f>'12-13RawData'!$G$6:$I$6</c:f>
              <c:numCache>
                <c:formatCode>0%</c:formatCode>
                <c:ptCount val="3"/>
                <c:pt idx="0">
                  <c:v>1</c:v>
                </c:pt>
                <c:pt idx="1">
                  <c:v>1</c:v>
                </c:pt>
                <c:pt idx="2">
                  <c:v>1</c:v>
                </c:pt>
              </c:numCache>
            </c:numRef>
          </c:val>
        </c:ser>
        <c:dLbls>
          <c:dLblPos val="outEnd"/>
          <c:showLegendKey val="0"/>
          <c:showVal val="1"/>
          <c:showCatName val="0"/>
          <c:showSerName val="0"/>
          <c:showPercent val="0"/>
          <c:showBubbleSize val="0"/>
        </c:dLbls>
        <c:gapWidth val="150"/>
        <c:axId val="142419456"/>
        <c:axId val="142420992"/>
      </c:barChart>
      <c:catAx>
        <c:axId val="142419456"/>
        <c:scaling>
          <c:orientation val="minMax"/>
        </c:scaling>
        <c:delete val="0"/>
        <c:axPos val="b"/>
        <c:majorTickMark val="out"/>
        <c:minorTickMark val="none"/>
        <c:tickLblPos val="nextTo"/>
        <c:crossAx val="142420992"/>
        <c:crosses val="autoZero"/>
        <c:auto val="1"/>
        <c:lblAlgn val="ctr"/>
        <c:lblOffset val="100"/>
        <c:noMultiLvlLbl val="0"/>
      </c:catAx>
      <c:valAx>
        <c:axId val="142420992"/>
        <c:scaling>
          <c:orientation val="minMax"/>
        </c:scaling>
        <c:delete val="1"/>
        <c:axPos val="l"/>
        <c:majorGridlines/>
        <c:numFmt formatCode="0%" sourceLinked="1"/>
        <c:majorTickMark val="out"/>
        <c:minorTickMark val="none"/>
        <c:tickLblPos val="nextTo"/>
        <c:crossAx val="142419456"/>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Sheet2!$A$21</c:f>
              <c:strCache>
                <c:ptCount val="1"/>
                <c:pt idx="0">
                  <c:v>FA11</c:v>
                </c:pt>
              </c:strCache>
            </c:strRef>
          </c:tx>
          <c:invertIfNegative val="0"/>
          <c:cat>
            <c:strRef>
              <c:f>Sheet2!$B$20:$D$20</c:f>
              <c:strCache>
                <c:ptCount val="3"/>
                <c:pt idx="0">
                  <c:v>% over 70%</c:v>
                </c:pt>
                <c:pt idx="1">
                  <c:v>% over 75%</c:v>
                </c:pt>
                <c:pt idx="2">
                  <c:v>% over 80%</c:v>
                </c:pt>
              </c:strCache>
            </c:strRef>
          </c:cat>
          <c:val>
            <c:numRef>
              <c:f>Sheet2!$B$21:$D$21</c:f>
              <c:numCache>
                <c:formatCode>0%</c:formatCode>
                <c:ptCount val="3"/>
                <c:pt idx="0">
                  <c:v>0.96296296296296291</c:v>
                </c:pt>
                <c:pt idx="1">
                  <c:v>0.92592592592592593</c:v>
                </c:pt>
                <c:pt idx="2">
                  <c:v>0.87037037037037035</c:v>
                </c:pt>
              </c:numCache>
            </c:numRef>
          </c:val>
        </c:ser>
        <c:ser>
          <c:idx val="1"/>
          <c:order val="1"/>
          <c:tx>
            <c:strRef>
              <c:f>Sheet2!$A$22</c:f>
              <c:strCache>
                <c:ptCount val="1"/>
                <c:pt idx="0">
                  <c:v>WI12</c:v>
                </c:pt>
              </c:strCache>
            </c:strRef>
          </c:tx>
          <c:invertIfNegative val="0"/>
          <c:cat>
            <c:strRef>
              <c:f>Sheet2!$B$20:$D$20</c:f>
              <c:strCache>
                <c:ptCount val="3"/>
                <c:pt idx="0">
                  <c:v>% over 70%</c:v>
                </c:pt>
                <c:pt idx="1">
                  <c:v>% over 75%</c:v>
                </c:pt>
                <c:pt idx="2">
                  <c:v>% over 80%</c:v>
                </c:pt>
              </c:strCache>
            </c:strRef>
          </c:cat>
          <c:val>
            <c:numRef>
              <c:f>Sheet2!$B$22:$D$22</c:f>
              <c:numCache>
                <c:formatCode>0%</c:formatCode>
                <c:ptCount val="3"/>
                <c:pt idx="0">
                  <c:v>0.76923076923076927</c:v>
                </c:pt>
                <c:pt idx="1">
                  <c:v>0.69230769230769229</c:v>
                </c:pt>
                <c:pt idx="2">
                  <c:v>0.61538461538461542</c:v>
                </c:pt>
              </c:numCache>
            </c:numRef>
          </c:val>
        </c:ser>
        <c:ser>
          <c:idx val="2"/>
          <c:order val="2"/>
          <c:tx>
            <c:strRef>
              <c:f>Sheet2!$A$23</c:f>
              <c:strCache>
                <c:ptCount val="1"/>
                <c:pt idx="0">
                  <c:v>FA12</c:v>
                </c:pt>
              </c:strCache>
            </c:strRef>
          </c:tx>
          <c:invertIfNegative val="0"/>
          <c:cat>
            <c:strRef>
              <c:f>Sheet2!$B$20:$D$20</c:f>
              <c:strCache>
                <c:ptCount val="3"/>
                <c:pt idx="0">
                  <c:v>% over 70%</c:v>
                </c:pt>
                <c:pt idx="1">
                  <c:v>% over 75%</c:v>
                </c:pt>
                <c:pt idx="2">
                  <c:v>% over 80%</c:v>
                </c:pt>
              </c:strCache>
            </c:strRef>
          </c:cat>
          <c:val>
            <c:numRef>
              <c:f>Sheet2!$B$23:$D$23</c:f>
              <c:numCache>
                <c:formatCode>0%</c:formatCode>
                <c:ptCount val="3"/>
                <c:pt idx="0">
                  <c:v>0.8529411764705882</c:v>
                </c:pt>
                <c:pt idx="1">
                  <c:v>0.70588235294117652</c:v>
                </c:pt>
                <c:pt idx="2">
                  <c:v>0.70588235294117652</c:v>
                </c:pt>
              </c:numCache>
            </c:numRef>
          </c:val>
        </c:ser>
        <c:ser>
          <c:idx val="3"/>
          <c:order val="3"/>
          <c:tx>
            <c:strRef>
              <c:f>Sheet2!$A$24</c:f>
              <c:strCache>
                <c:ptCount val="1"/>
                <c:pt idx="0">
                  <c:v>SP13</c:v>
                </c:pt>
              </c:strCache>
            </c:strRef>
          </c:tx>
          <c:invertIfNegative val="0"/>
          <c:cat>
            <c:strRef>
              <c:f>Sheet2!$B$20:$D$20</c:f>
              <c:strCache>
                <c:ptCount val="3"/>
                <c:pt idx="0">
                  <c:v>% over 70%</c:v>
                </c:pt>
                <c:pt idx="1">
                  <c:v>% over 75%</c:v>
                </c:pt>
                <c:pt idx="2">
                  <c:v>% over 80%</c:v>
                </c:pt>
              </c:strCache>
            </c:strRef>
          </c:cat>
          <c:val>
            <c:numRef>
              <c:f>Sheet2!$B$24:$D$24</c:f>
              <c:numCache>
                <c:formatCode>0%</c:formatCode>
                <c:ptCount val="3"/>
                <c:pt idx="0">
                  <c:v>0.82352941176470584</c:v>
                </c:pt>
                <c:pt idx="1">
                  <c:v>0.70588235294117652</c:v>
                </c:pt>
                <c:pt idx="2">
                  <c:v>0.58823529411764708</c:v>
                </c:pt>
              </c:numCache>
            </c:numRef>
          </c:val>
        </c:ser>
        <c:dLbls>
          <c:dLblPos val="outEnd"/>
          <c:showLegendKey val="0"/>
          <c:showVal val="1"/>
          <c:showCatName val="0"/>
          <c:showSerName val="0"/>
          <c:showPercent val="0"/>
          <c:showBubbleSize val="0"/>
        </c:dLbls>
        <c:gapWidth val="150"/>
        <c:axId val="142564736"/>
        <c:axId val="142578816"/>
      </c:barChart>
      <c:catAx>
        <c:axId val="142564736"/>
        <c:scaling>
          <c:orientation val="minMax"/>
        </c:scaling>
        <c:delete val="0"/>
        <c:axPos val="b"/>
        <c:majorTickMark val="out"/>
        <c:minorTickMark val="none"/>
        <c:tickLblPos val="nextTo"/>
        <c:crossAx val="142578816"/>
        <c:crosses val="autoZero"/>
        <c:auto val="1"/>
        <c:lblAlgn val="ctr"/>
        <c:lblOffset val="100"/>
        <c:noMultiLvlLbl val="0"/>
      </c:catAx>
      <c:valAx>
        <c:axId val="142578816"/>
        <c:scaling>
          <c:orientation val="minMax"/>
        </c:scaling>
        <c:delete val="1"/>
        <c:axPos val="l"/>
        <c:majorGridlines/>
        <c:numFmt formatCode="0%" sourceLinked="1"/>
        <c:majorTickMark val="out"/>
        <c:minorTickMark val="none"/>
        <c:tickLblPos val="nextTo"/>
        <c:crossAx val="142564736"/>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Sheet1!$I$4</c:f>
              <c:strCache>
                <c:ptCount val="1"/>
                <c:pt idx="0">
                  <c:v>FA12</c:v>
                </c:pt>
              </c:strCache>
            </c:strRef>
          </c:tx>
          <c:invertIfNegative val="0"/>
          <c:dLbls>
            <c:dLblPos val="outEnd"/>
            <c:showLegendKey val="0"/>
            <c:showVal val="1"/>
            <c:showCatName val="0"/>
            <c:showSerName val="0"/>
            <c:showPercent val="0"/>
            <c:showBubbleSize val="0"/>
            <c:showLeaderLines val="0"/>
          </c:dLbls>
          <c:cat>
            <c:strRef>
              <c:f>Sheet1!$J$3:$L$3</c:f>
              <c:strCache>
                <c:ptCount val="3"/>
                <c:pt idx="0">
                  <c:v>% over 70%</c:v>
                </c:pt>
                <c:pt idx="1">
                  <c:v>% over 80%</c:v>
                </c:pt>
                <c:pt idx="2">
                  <c:v> % over 90%</c:v>
                </c:pt>
              </c:strCache>
            </c:strRef>
          </c:cat>
          <c:val>
            <c:numRef>
              <c:f>Sheet1!$J$4:$L$4</c:f>
              <c:numCache>
                <c:formatCode>0%</c:formatCode>
                <c:ptCount val="3"/>
                <c:pt idx="0">
                  <c:v>0.81818181818181823</c:v>
                </c:pt>
                <c:pt idx="1">
                  <c:v>0.72727272727272729</c:v>
                </c:pt>
                <c:pt idx="2">
                  <c:v>0.27272727272727271</c:v>
                </c:pt>
              </c:numCache>
            </c:numRef>
          </c:val>
        </c:ser>
        <c:ser>
          <c:idx val="1"/>
          <c:order val="1"/>
          <c:tx>
            <c:strRef>
              <c:f>Sheet1!$I$5</c:f>
              <c:strCache>
                <c:ptCount val="1"/>
                <c:pt idx="0">
                  <c:v>SP13</c:v>
                </c:pt>
              </c:strCache>
            </c:strRef>
          </c:tx>
          <c:invertIfNegative val="0"/>
          <c:dLbls>
            <c:dLblPos val="outEnd"/>
            <c:showLegendKey val="0"/>
            <c:showVal val="1"/>
            <c:showCatName val="0"/>
            <c:showSerName val="0"/>
            <c:showPercent val="0"/>
            <c:showBubbleSize val="0"/>
            <c:showLeaderLines val="0"/>
          </c:dLbls>
          <c:cat>
            <c:strRef>
              <c:f>Sheet1!$J$3:$L$3</c:f>
              <c:strCache>
                <c:ptCount val="3"/>
                <c:pt idx="0">
                  <c:v>% over 70%</c:v>
                </c:pt>
                <c:pt idx="1">
                  <c:v>% over 80%</c:v>
                </c:pt>
                <c:pt idx="2">
                  <c:v> % over 90%</c:v>
                </c:pt>
              </c:strCache>
            </c:strRef>
          </c:cat>
          <c:val>
            <c:numRef>
              <c:f>Sheet1!$J$5:$L$5</c:f>
              <c:numCache>
                <c:formatCode>0%</c:formatCode>
                <c:ptCount val="3"/>
                <c:pt idx="0">
                  <c:v>0.86206896551724133</c:v>
                </c:pt>
                <c:pt idx="1">
                  <c:v>0.75862068965517238</c:v>
                </c:pt>
                <c:pt idx="2">
                  <c:v>0.58620689655172409</c:v>
                </c:pt>
              </c:numCache>
            </c:numRef>
          </c:val>
        </c:ser>
        <c:ser>
          <c:idx val="2"/>
          <c:order val="2"/>
          <c:tx>
            <c:strRef>
              <c:f>Sheet1!$I$6</c:f>
              <c:strCache>
                <c:ptCount val="1"/>
                <c:pt idx="0">
                  <c:v>SU13</c:v>
                </c:pt>
              </c:strCache>
            </c:strRef>
          </c:tx>
          <c:invertIfNegative val="0"/>
          <c:dLbls>
            <c:dLblPos val="outEnd"/>
            <c:showLegendKey val="0"/>
            <c:showVal val="1"/>
            <c:showCatName val="0"/>
            <c:showSerName val="0"/>
            <c:showPercent val="0"/>
            <c:showBubbleSize val="0"/>
            <c:showLeaderLines val="0"/>
          </c:dLbls>
          <c:cat>
            <c:strRef>
              <c:f>Sheet1!$J$3:$L$3</c:f>
              <c:strCache>
                <c:ptCount val="3"/>
                <c:pt idx="0">
                  <c:v>% over 70%</c:v>
                </c:pt>
                <c:pt idx="1">
                  <c:v>% over 80%</c:v>
                </c:pt>
                <c:pt idx="2">
                  <c:v> % over 90%</c:v>
                </c:pt>
              </c:strCache>
            </c:strRef>
          </c:cat>
          <c:val>
            <c:numRef>
              <c:f>Sheet1!$J$6:$L$6</c:f>
              <c:numCache>
                <c:formatCode>0%</c:formatCode>
                <c:ptCount val="3"/>
                <c:pt idx="0">
                  <c:v>1</c:v>
                </c:pt>
                <c:pt idx="1">
                  <c:v>0.90909090909090906</c:v>
                </c:pt>
                <c:pt idx="2">
                  <c:v>0.63636363636363635</c:v>
                </c:pt>
              </c:numCache>
            </c:numRef>
          </c:val>
        </c:ser>
        <c:dLbls>
          <c:showLegendKey val="0"/>
          <c:showVal val="0"/>
          <c:showCatName val="0"/>
          <c:showSerName val="0"/>
          <c:showPercent val="0"/>
          <c:showBubbleSize val="0"/>
        </c:dLbls>
        <c:gapWidth val="150"/>
        <c:axId val="142773248"/>
        <c:axId val="142783232"/>
      </c:barChart>
      <c:catAx>
        <c:axId val="142773248"/>
        <c:scaling>
          <c:orientation val="minMax"/>
        </c:scaling>
        <c:delete val="0"/>
        <c:axPos val="b"/>
        <c:majorTickMark val="out"/>
        <c:minorTickMark val="none"/>
        <c:tickLblPos val="nextTo"/>
        <c:crossAx val="142783232"/>
        <c:crosses val="autoZero"/>
        <c:auto val="1"/>
        <c:lblAlgn val="ctr"/>
        <c:lblOffset val="100"/>
        <c:noMultiLvlLbl val="0"/>
      </c:catAx>
      <c:valAx>
        <c:axId val="142783232"/>
        <c:scaling>
          <c:orientation val="minMax"/>
        </c:scaling>
        <c:delete val="1"/>
        <c:axPos val="l"/>
        <c:majorGridlines/>
        <c:numFmt formatCode="0%" sourceLinked="1"/>
        <c:majorTickMark val="out"/>
        <c:minorTickMark val="none"/>
        <c:tickLblPos val="nextTo"/>
        <c:crossAx val="142773248"/>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Sheet1!$E$3</c:f>
              <c:strCache>
                <c:ptCount val="1"/>
                <c:pt idx="0">
                  <c:v>FA12</c:v>
                </c:pt>
              </c:strCache>
            </c:strRef>
          </c:tx>
          <c:invertIfNegative val="0"/>
          <c:cat>
            <c:strRef>
              <c:f>Sheet1!$F$2:$H$2</c:f>
              <c:strCache>
                <c:ptCount val="3"/>
                <c:pt idx="0">
                  <c:v>% over 70%</c:v>
                </c:pt>
                <c:pt idx="1">
                  <c:v>% over 80%</c:v>
                </c:pt>
                <c:pt idx="2">
                  <c:v>% over 90%</c:v>
                </c:pt>
              </c:strCache>
            </c:strRef>
          </c:cat>
          <c:val>
            <c:numRef>
              <c:f>Sheet1!$F$3:$H$3</c:f>
              <c:numCache>
                <c:formatCode>0%</c:formatCode>
                <c:ptCount val="3"/>
                <c:pt idx="0">
                  <c:v>0.95238095238095233</c:v>
                </c:pt>
                <c:pt idx="1">
                  <c:v>0.8571428571428571</c:v>
                </c:pt>
                <c:pt idx="2">
                  <c:v>0.7142857142857143</c:v>
                </c:pt>
              </c:numCache>
            </c:numRef>
          </c:val>
        </c:ser>
        <c:ser>
          <c:idx val="1"/>
          <c:order val="1"/>
          <c:tx>
            <c:strRef>
              <c:f>Sheet1!$E$4</c:f>
              <c:strCache>
                <c:ptCount val="1"/>
                <c:pt idx="0">
                  <c:v>SP13</c:v>
                </c:pt>
              </c:strCache>
            </c:strRef>
          </c:tx>
          <c:invertIfNegative val="0"/>
          <c:cat>
            <c:strRef>
              <c:f>Sheet1!$F$2:$H$2</c:f>
              <c:strCache>
                <c:ptCount val="3"/>
                <c:pt idx="0">
                  <c:v>% over 70%</c:v>
                </c:pt>
                <c:pt idx="1">
                  <c:v>% over 80%</c:v>
                </c:pt>
                <c:pt idx="2">
                  <c:v>% over 90%</c:v>
                </c:pt>
              </c:strCache>
            </c:strRef>
          </c:cat>
          <c:val>
            <c:numRef>
              <c:f>Sheet1!$F$4:$H$4</c:f>
              <c:numCache>
                <c:formatCode>0%</c:formatCode>
                <c:ptCount val="3"/>
                <c:pt idx="0">
                  <c:v>0.88461538461538458</c:v>
                </c:pt>
                <c:pt idx="1">
                  <c:v>0.80769230769230771</c:v>
                </c:pt>
                <c:pt idx="2">
                  <c:v>0.65384615384615385</c:v>
                </c:pt>
              </c:numCache>
            </c:numRef>
          </c:val>
        </c:ser>
        <c:ser>
          <c:idx val="2"/>
          <c:order val="2"/>
          <c:tx>
            <c:strRef>
              <c:f>Sheet1!$E$5</c:f>
              <c:strCache>
                <c:ptCount val="1"/>
                <c:pt idx="0">
                  <c:v>SU13</c:v>
                </c:pt>
              </c:strCache>
            </c:strRef>
          </c:tx>
          <c:invertIfNegative val="0"/>
          <c:cat>
            <c:strRef>
              <c:f>Sheet1!$F$2:$H$2</c:f>
              <c:strCache>
                <c:ptCount val="3"/>
                <c:pt idx="0">
                  <c:v>% over 70%</c:v>
                </c:pt>
                <c:pt idx="1">
                  <c:v>% over 80%</c:v>
                </c:pt>
                <c:pt idx="2">
                  <c:v>% over 90%</c:v>
                </c:pt>
              </c:strCache>
            </c:strRef>
          </c:cat>
          <c:val>
            <c:numRef>
              <c:f>Sheet1!$F$5:$H$5</c:f>
              <c:numCache>
                <c:formatCode>0%</c:formatCode>
                <c:ptCount val="3"/>
                <c:pt idx="0">
                  <c:v>1</c:v>
                </c:pt>
                <c:pt idx="1">
                  <c:v>1</c:v>
                </c:pt>
                <c:pt idx="2">
                  <c:v>1</c:v>
                </c:pt>
              </c:numCache>
            </c:numRef>
          </c:val>
        </c:ser>
        <c:dLbls>
          <c:dLblPos val="outEnd"/>
          <c:showLegendKey val="0"/>
          <c:showVal val="1"/>
          <c:showCatName val="0"/>
          <c:showSerName val="0"/>
          <c:showPercent val="0"/>
          <c:showBubbleSize val="0"/>
        </c:dLbls>
        <c:gapWidth val="150"/>
        <c:axId val="142871936"/>
        <c:axId val="142881920"/>
      </c:barChart>
      <c:catAx>
        <c:axId val="142871936"/>
        <c:scaling>
          <c:orientation val="minMax"/>
        </c:scaling>
        <c:delete val="0"/>
        <c:axPos val="b"/>
        <c:majorTickMark val="out"/>
        <c:minorTickMark val="none"/>
        <c:tickLblPos val="nextTo"/>
        <c:crossAx val="142881920"/>
        <c:crosses val="autoZero"/>
        <c:auto val="1"/>
        <c:lblAlgn val="ctr"/>
        <c:lblOffset val="100"/>
        <c:noMultiLvlLbl val="0"/>
      </c:catAx>
      <c:valAx>
        <c:axId val="142881920"/>
        <c:scaling>
          <c:orientation val="minMax"/>
        </c:scaling>
        <c:delete val="1"/>
        <c:axPos val="l"/>
        <c:majorGridlines/>
        <c:numFmt formatCode="0%" sourceLinked="1"/>
        <c:majorTickMark val="out"/>
        <c:minorTickMark val="none"/>
        <c:tickLblPos val="nextTo"/>
        <c:crossAx val="142871936"/>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EADFD-70F2-47D9-ACBA-84951B5E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14</Pages>
  <Words>3088</Words>
  <Characters>17605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richard.andrews</cp:lastModifiedBy>
  <cp:revision>57</cp:revision>
  <cp:lastPrinted>2012-09-24T13:16:00Z</cp:lastPrinted>
  <dcterms:created xsi:type="dcterms:W3CDTF">2013-10-23T19:05:00Z</dcterms:created>
  <dcterms:modified xsi:type="dcterms:W3CDTF">2013-12-02T18:18:00Z</dcterms:modified>
</cp:coreProperties>
</file>