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77C" w:rsidRPr="00F60941" w:rsidRDefault="0054777C" w:rsidP="0054777C">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54777C" w:rsidRDefault="0054777C" w:rsidP="0054777C">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Pr>
          <w:rFonts w:ascii="Arial" w:hAnsi="Arial" w:cs="Arial"/>
          <w:b/>
          <w:color w:val="000000" w:themeColor="text1"/>
        </w:rPr>
        <w:t>2012-13</w:t>
      </w:r>
    </w:p>
    <w:p w:rsidR="0054777C" w:rsidRDefault="0054777C" w:rsidP="0054777C">
      <w:pPr>
        <w:jc w:val="center"/>
        <w:rPr>
          <w:rFonts w:ascii="Arial" w:hAnsi="Arial" w:cs="Arial"/>
          <w:b/>
          <w:color w:val="000000" w:themeColor="text1"/>
        </w:rPr>
      </w:pPr>
    </w:p>
    <w:p w:rsidR="0054777C" w:rsidRPr="00CD2613" w:rsidRDefault="0054777C" w:rsidP="0054777C">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2012</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637591">
        <w:rPr>
          <w:rFonts w:ascii="Arial" w:hAnsi="Arial" w:cs="Arial"/>
          <w:color w:val="000000" w:themeColor="text1"/>
          <w:u w:val="single"/>
        </w:rPr>
        <w:t>0410 - Accounting</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sidRPr="00B43DE0">
        <w:rPr>
          <w:rFonts w:ascii="Arial" w:hAnsi="Arial" w:cs="Arial"/>
          <w:b/>
          <w:color w:val="000000" w:themeColor="text1"/>
          <w:u w:val="single"/>
        </w:rPr>
        <w:t>Year of Last Program Review:</w:t>
      </w:r>
      <w:r>
        <w:rPr>
          <w:rFonts w:ascii="Arial" w:hAnsi="Arial" w:cs="Arial"/>
          <w:color w:val="000000" w:themeColor="text1"/>
          <w:u w:val="single"/>
        </w:rPr>
        <w:t xml:space="preserve"> </w:t>
      </w:r>
      <w:r>
        <w:rPr>
          <w:rFonts w:ascii="Arial" w:hAnsi="Arial" w:cs="Arial"/>
          <w:color w:val="000000" w:themeColor="text1"/>
        </w:rPr>
        <w:t xml:space="preserve">  FY 20</w:t>
      </w:r>
      <w:r w:rsidR="00637591">
        <w:rPr>
          <w:rFonts w:ascii="Arial" w:hAnsi="Arial" w:cs="Arial"/>
          <w:color w:val="000000" w:themeColor="text1"/>
        </w:rPr>
        <w:t>08</w:t>
      </w:r>
      <w:r>
        <w:rPr>
          <w:rFonts w:ascii="Arial" w:hAnsi="Arial" w:cs="Arial"/>
          <w:color w:val="000000" w:themeColor="text1"/>
        </w:rPr>
        <w:t>-</w:t>
      </w:r>
      <w:r w:rsidR="006B0168">
        <w:rPr>
          <w:rFonts w:ascii="Arial" w:hAnsi="Arial" w:cs="Arial"/>
          <w:color w:val="000000" w:themeColor="text1"/>
        </w:rPr>
        <w:t>20</w:t>
      </w:r>
      <w:r w:rsidR="00637591">
        <w:rPr>
          <w:rFonts w:ascii="Arial" w:hAnsi="Arial" w:cs="Arial"/>
          <w:color w:val="000000" w:themeColor="text1"/>
        </w:rPr>
        <w:t>09</w:t>
      </w:r>
    </w:p>
    <w:p w:rsidR="009A2F4E" w:rsidRPr="009A2F4E" w:rsidRDefault="009A2F4E" w:rsidP="001026AA">
      <w:pPr>
        <w:tabs>
          <w:tab w:val="left" w:pos="7920"/>
        </w:tabs>
        <w:spacing w:after="240"/>
        <w:rPr>
          <w:rFonts w:ascii="Arial" w:hAnsi="Arial" w:cs="Arial"/>
          <w:color w:val="000000" w:themeColor="text1"/>
        </w:rPr>
      </w:pPr>
      <w:r w:rsidRPr="00B43DE0">
        <w:rPr>
          <w:rFonts w:ascii="Arial" w:hAnsi="Arial" w:cs="Arial"/>
          <w:b/>
          <w:color w:val="000000" w:themeColor="text1"/>
          <w:u w:val="single"/>
        </w:rPr>
        <w:t>Year of Next Program Review:</w:t>
      </w:r>
      <w:r w:rsidRPr="00B43DE0">
        <w:rPr>
          <w:rFonts w:ascii="Arial" w:hAnsi="Arial" w:cs="Arial"/>
          <w:b/>
          <w:color w:val="000000" w:themeColor="text1"/>
        </w:rPr>
        <w:t xml:space="preserve">  </w:t>
      </w:r>
      <w:r>
        <w:rPr>
          <w:rFonts w:ascii="Arial" w:hAnsi="Arial" w:cs="Arial"/>
          <w:color w:val="000000" w:themeColor="text1"/>
        </w:rPr>
        <w:t>FY 20</w:t>
      </w:r>
      <w:r w:rsidR="00637591">
        <w:rPr>
          <w:rFonts w:ascii="Arial" w:hAnsi="Arial" w:cs="Arial"/>
          <w:color w:val="000000" w:themeColor="text1"/>
        </w:rPr>
        <w:t>15</w:t>
      </w:r>
      <w:r>
        <w:rPr>
          <w:rFonts w:ascii="Arial" w:hAnsi="Arial" w:cs="Arial"/>
          <w:color w:val="000000" w:themeColor="text1"/>
        </w:rPr>
        <w:t>-201</w:t>
      </w:r>
      <w:r w:rsidR="00637591">
        <w:rPr>
          <w:rFonts w:ascii="Arial" w:hAnsi="Arial" w:cs="Arial"/>
          <w:color w:val="000000" w:themeColor="text1"/>
        </w:rPr>
        <w:t>6</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4A1E40" w:rsidP="00585766">
      <w:pPr>
        <w:rPr>
          <w:rFonts w:ascii="Arial" w:hAnsi="Arial" w:cs="Arial"/>
          <w:noProof/>
          <w:color w:val="000000" w:themeColor="text1"/>
        </w:rPr>
      </w:pPr>
      <w:r>
        <w:rPr>
          <w:noProof/>
        </w:rPr>
        <w:drawing>
          <wp:anchor distT="0" distB="0" distL="114300" distR="114300" simplePos="0" relativeHeight="251658240" behindDoc="1" locked="0" layoutInCell="1" allowOverlap="1">
            <wp:simplePos x="0" y="0"/>
            <wp:positionH relativeFrom="column">
              <wp:posOffset>419100</wp:posOffset>
            </wp:positionH>
            <wp:positionV relativeFrom="paragraph">
              <wp:posOffset>155575</wp:posOffset>
            </wp:positionV>
            <wp:extent cx="4572000" cy="2743200"/>
            <wp:effectExtent l="0" t="0" r="0" b="0"/>
            <wp:wrapTight wrapText="bothSides">
              <wp:wrapPolygon edited="0">
                <wp:start x="0" y="0"/>
                <wp:lineTo x="0" y="21600"/>
                <wp:lineTo x="21600" y="21600"/>
                <wp:lineTo x="21600"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637591" w:rsidRDefault="00637591" w:rsidP="00585766">
      <w:pPr>
        <w:rPr>
          <w:rFonts w:ascii="Arial" w:hAnsi="Arial" w:cs="Arial"/>
          <w:noProof/>
          <w:color w:val="000000" w:themeColor="text1"/>
        </w:rPr>
      </w:pP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4A1E40" w:rsidRDefault="004A1E40" w:rsidP="00585766">
      <w:pPr>
        <w:ind w:left="720"/>
        <w:rPr>
          <w:rFonts w:ascii="Arial" w:hAnsi="Arial" w:cs="Arial"/>
          <w:color w:val="000000" w:themeColor="text1"/>
        </w:rPr>
      </w:pPr>
    </w:p>
    <w:p w:rsidR="004A1E40" w:rsidRDefault="004A1E40" w:rsidP="00585766">
      <w:pPr>
        <w:ind w:left="720"/>
        <w:rPr>
          <w:rFonts w:ascii="Arial" w:hAnsi="Arial" w:cs="Arial"/>
          <w:color w:val="000000" w:themeColor="text1"/>
        </w:rPr>
      </w:pPr>
    </w:p>
    <w:p w:rsidR="004A1E40" w:rsidRDefault="004A1E40" w:rsidP="00585766">
      <w:pPr>
        <w:ind w:left="720"/>
        <w:rPr>
          <w:rFonts w:ascii="Arial" w:hAnsi="Arial" w:cs="Arial"/>
          <w:color w:val="000000" w:themeColor="text1"/>
        </w:rPr>
      </w:pPr>
    </w:p>
    <w:p w:rsidR="004A1E40" w:rsidRDefault="004A1E40" w:rsidP="00585766">
      <w:pPr>
        <w:ind w:left="720"/>
        <w:rPr>
          <w:rFonts w:ascii="Arial" w:hAnsi="Arial" w:cs="Arial"/>
          <w:color w:val="000000" w:themeColor="text1"/>
        </w:rPr>
      </w:pPr>
    </w:p>
    <w:p w:rsidR="004A1E40" w:rsidRDefault="004A1E40" w:rsidP="00585766">
      <w:pPr>
        <w:ind w:left="720"/>
        <w:rPr>
          <w:rFonts w:ascii="Arial" w:hAnsi="Arial" w:cs="Arial"/>
          <w:color w:val="000000" w:themeColor="text1"/>
        </w:rPr>
      </w:pPr>
    </w:p>
    <w:p w:rsidR="004A1E40" w:rsidRDefault="004A1E40" w:rsidP="00585766">
      <w:pPr>
        <w:ind w:left="720"/>
        <w:rPr>
          <w:rFonts w:ascii="Arial" w:hAnsi="Arial" w:cs="Arial"/>
          <w:color w:val="000000" w:themeColor="text1"/>
        </w:rPr>
      </w:pPr>
    </w:p>
    <w:p w:rsidR="004A1E40" w:rsidRDefault="004A1E40" w:rsidP="00585766">
      <w:pPr>
        <w:ind w:left="720"/>
        <w:rPr>
          <w:rFonts w:ascii="Arial" w:hAnsi="Arial" w:cs="Arial"/>
          <w:color w:val="000000" w:themeColor="text1"/>
        </w:rPr>
      </w:pPr>
    </w:p>
    <w:p w:rsidR="004A1E40" w:rsidRDefault="004A1E40" w:rsidP="00585766">
      <w:pPr>
        <w:ind w:left="720"/>
        <w:rPr>
          <w:rFonts w:ascii="Arial" w:hAnsi="Arial" w:cs="Arial"/>
          <w:color w:val="000000" w:themeColor="text1"/>
        </w:rPr>
      </w:pPr>
    </w:p>
    <w:p w:rsidR="004A1E40" w:rsidRDefault="004A1E40" w:rsidP="00585766">
      <w:pPr>
        <w:ind w:left="720"/>
        <w:rPr>
          <w:rFonts w:ascii="Arial" w:hAnsi="Arial" w:cs="Arial"/>
          <w:color w:val="000000" w:themeColor="text1"/>
        </w:rPr>
      </w:pPr>
    </w:p>
    <w:p w:rsidR="004A1E40" w:rsidRDefault="004A1E40" w:rsidP="00585766">
      <w:pPr>
        <w:ind w:left="720"/>
        <w:rPr>
          <w:rFonts w:ascii="Arial" w:hAnsi="Arial" w:cs="Arial"/>
          <w:color w:val="000000" w:themeColor="text1"/>
        </w:rPr>
      </w:pPr>
    </w:p>
    <w:p w:rsidR="004A1E40" w:rsidRDefault="004A1E40" w:rsidP="00585766">
      <w:pPr>
        <w:ind w:left="720"/>
        <w:rPr>
          <w:rFonts w:ascii="Arial" w:hAnsi="Arial" w:cs="Arial"/>
          <w:color w:val="000000" w:themeColor="text1"/>
        </w:rPr>
      </w:pPr>
    </w:p>
    <w:p w:rsidR="004A1E40" w:rsidRDefault="004A1E40" w:rsidP="00585766">
      <w:pPr>
        <w:ind w:left="720"/>
        <w:rPr>
          <w:rFonts w:ascii="Arial" w:hAnsi="Arial" w:cs="Arial"/>
          <w:color w:val="000000" w:themeColor="text1"/>
        </w:rPr>
      </w:pPr>
    </w:p>
    <w:p w:rsidR="004A1E40" w:rsidRDefault="004A1E40" w:rsidP="00585766">
      <w:pPr>
        <w:ind w:left="720"/>
        <w:rPr>
          <w:rFonts w:ascii="Arial" w:hAnsi="Arial" w:cs="Arial"/>
          <w:color w:val="000000" w:themeColor="text1"/>
        </w:rPr>
      </w:pPr>
    </w:p>
    <w:p w:rsidR="004A1E40" w:rsidRDefault="004A1E40" w:rsidP="008258DA">
      <w:pPr>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t>
      </w:r>
      <w:proofErr w:type="gramStart"/>
      <w:r w:rsidRPr="008258DA">
        <w:rPr>
          <w:rFonts w:ascii="Arial" w:hAnsi="Arial" w:cs="Arial"/>
          <w:i/>
          <w:color w:val="000000" w:themeColor="text1"/>
        </w:rPr>
        <w:t>What</w:t>
      </w:r>
      <w:proofErr w:type="gramEnd"/>
      <w:r w:rsidRPr="008258DA">
        <w:rPr>
          <w:rFonts w:ascii="Arial" w:hAnsi="Arial" w:cs="Arial"/>
          <w:i/>
          <w:color w:val="000000" w:themeColor="text1"/>
        </w:rPr>
        <w:t xml:space="preserve">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E254D9" w:rsidRDefault="00E254D9">
      <w:pPr>
        <w:spacing w:after="200" w:line="276" w:lineRule="auto"/>
        <w:rPr>
          <w:rFonts w:ascii="Arial" w:hAnsi="Arial" w:cs="Arial"/>
          <w:b/>
          <w:color w:val="000000" w:themeColor="text1"/>
        </w:rPr>
      </w:pPr>
    </w:p>
    <w:p w:rsidR="001A3179" w:rsidRDefault="00A505B9" w:rsidP="00326281">
      <w:pPr>
        <w:spacing w:after="200" w:line="276" w:lineRule="auto"/>
        <w:rPr>
          <w:rFonts w:ascii="Arial" w:hAnsi="Arial" w:cs="Arial"/>
          <w:color w:val="000000" w:themeColor="text1"/>
        </w:rPr>
      </w:pPr>
      <w:r>
        <w:rPr>
          <w:rFonts w:ascii="Arial" w:hAnsi="Arial" w:cs="Arial"/>
          <w:color w:val="000000" w:themeColor="text1"/>
        </w:rPr>
        <w:t xml:space="preserve">The number of degrees and </w:t>
      </w:r>
      <w:r w:rsidR="002E7DBB">
        <w:rPr>
          <w:rFonts w:ascii="Arial" w:hAnsi="Arial" w:cs="Arial"/>
          <w:color w:val="000000" w:themeColor="text1"/>
        </w:rPr>
        <w:t>c</w:t>
      </w:r>
      <w:r>
        <w:rPr>
          <w:rFonts w:ascii="Arial" w:hAnsi="Arial" w:cs="Arial"/>
          <w:color w:val="000000" w:themeColor="text1"/>
        </w:rPr>
        <w:t xml:space="preserve">ertificates </w:t>
      </w:r>
      <w:r w:rsidR="00A4607B">
        <w:rPr>
          <w:rFonts w:ascii="Arial" w:hAnsi="Arial" w:cs="Arial"/>
          <w:color w:val="000000" w:themeColor="text1"/>
        </w:rPr>
        <w:t xml:space="preserve">awarded last year </w:t>
      </w:r>
      <w:r>
        <w:rPr>
          <w:rFonts w:ascii="Arial" w:hAnsi="Arial" w:cs="Arial"/>
          <w:color w:val="000000" w:themeColor="text1"/>
        </w:rPr>
        <w:t>increased</w:t>
      </w:r>
      <w:r w:rsidR="002E7DBB">
        <w:rPr>
          <w:rFonts w:ascii="Arial" w:hAnsi="Arial" w:cs="Arial"/>
          <w:color w:val="000000" w:themeColor="text1"/>
        </w:rPr>
        <w:t xml:space="preserve"> 12.8% from academic year FY 10-11 to FY 11-12.  The department believes this increase </w:t>
      </w:r>
      <w:r w:rsidR="00A4607B">
        <w:rPr>
          <w:rFonts w:ascii="Arial" w:hAnsi="Arial" w:cs="Arial"/>
          <w:color w:val="000000" w:themeColor="text1"/>
        </w:rPr>
        <w:t>was</w:t>
      </w:r>
      <w:r w:rsidR="002E7DBB">
        <w:rPr>
          <w:rFonts w:ascii="Arial" w:hAnsi="Arial" w:cs="Arial"/>
          <w:color w:val="000000" w:themeColor="text1"/>
        </w:rPr>
        <w:t xml:space="preserve"> the result of students trying to complete degrees prior to semester conversion.  </w:t>
      </w:r>
      <w:r w:rsidR="00FB390A">
        <w:rPr>
          <w:rFonts w:ascii="Arial" w:hAnsi="Arial" w:cs="Arial"/>
          <w:color w:val="000000" w:themeColor="text1"/>
        </w:rPr>
        <w:t>The push to complete degrees had a corresponding impact on fall 2012</w:t>
      </w:r>
      <w:r w:rsidR="00CA71AC">
        <w:rPr>
          <w:rFonts w:ascii="Arial" w:hAnsi="Arial" w:cs="Arial"/>
          <w:color w:val="000000" w:themeColor="text1"/>
        </w:rPr>
        <w:t xml:space="preserve"> </w:t>
      </w:r>
      <w:r w:rsidR="00FB390A">
        <w:rPr>
          <w:rFonts w:ascii="Arial" w:hAnsi="Arial" w:cs="Arial"/>
          <w:color w:val="000000" w:themeColor="text1"/>
        </w:rPr>
        <w:t>enrollment with a 14.8% decrease in upper level accounting class enrollment</w:t>
      </w:r>
      <w:r w:rsidR="00ED537E">
        <w:rPr>
          <w:rFonts w:ascii="Arial" w:hAnsi="Arial" w:cs="Arial"/>
          <w:color w:val="000000" w:themeColor="text1"/>
        </w:rPr>
        <w:t xml:space="preserve"> </w:t>
      </w:r>
      <w:r w:rsidR="001A3179">
        <w:rPr>
          <w:rFonts w:ascii="Arial" w:hAnsi="Arial" w:cs="Arial"/>
          <w:color w:val="000000" w:themeColor="text1"/>
        </w:rPr>
        <w:t>(see figure below)</w:t>
      </w:r>
      <w:r w:rsidR="008177A5">
        <w:rPr>
          <w:rFonts w:ascii="Arial" w:hAnsi="Arial" w:cs="Arial"/>
          <w:color w:val="000000" w:themeColor="text1"/>
        </w:rPr>
        <w:t xml:space="preserve">.  </w:t>
      </w:r>
    </w:p>
    <w:p w:rsidR="001A3179" w:rsidRDefault="001A3179">
      <w:pPr>
        <w:spacing w:after="200" w:line="276" w:lineRule="auto"/>
        <w:rPr>
          <w:rFonts w:ascii="Arial" w:hAnsi="Arial" w:cs="Arial"/>
          <w:color w:val="000000" w:themeColor="text1"/>
        </w:rPr>
      </w:pPr>
    </w:p>
    <w:p w:rsidR="009E45C3" w:rsidRDefault="00ED537E" w:rsidP="00326281">
      <w:pPr>
        <w:spacing w:after="200" w:line="276" w:lineRule="auto"/>
        <w:rPr>
          <w:rFonts w:ascii="Arial" w:hAnsi="Arial" w:cs="Arial"/>
          <w:color w:val="000000" w:themeColor="text1"/>
        </w:rPr>
      </w:pPr>
      <w:r w:rsidRPr="0067484F">
        <w:rPr>
          <w:rFonts w:ascii="Arial" w:hAnsi="Arial" w:cs="Arial"/>
          <w:color w:val="000000" w:themeColor="text1"/>
        </w:rPr>
        <w:object w:dxaOrig="11509" w:dyaOrig="1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75pt;height:54.75pt" o:ole="">
            <v:imagedata r:id="rId9" o:title=""/>
          </v:shape>
          <o:OLEObject Type="Embed" ProgID="Excel.Sheet.12" ShapeID="_x0000_i1025" DrawAspect="Content" ObjectID="_1410010200" r:id="rId10"/>
        </w:object>
      </w:r>
    </w:p>
    <w:p w:rsidR="009E45C3" w:rsidRDefault="008177A5" w:rsidP="00326281">
      <w:pPr>
        <w:spacing w:after="200" w:line="276" w:lineRule="auto"/>
        <w:rPr>
          <w:rFonts w:ascii="Arial" w:hAnsi="Arial" w:cs="Arial"/>
          <w:color w:val="000000" w:themeColor="text1"/>
        </w:rPr>
      </w:pPr>
      <w:r>
        <w:rPr>
          <w:rFonts w:ascii="Arial" w:hAnsi="Arial" w:cs="Arial"/>
          <w:color w:val="000000" w:themeColor="text1"/>
        </w:rPr>
        <w:t xml:space="preserve">We do not anticipate a </w:t>
      </w:r>
      <w:r w:rsidR="009B3EAF">
        <w:rPr>
          <w:rFonts w:ascii="Arial" w:hAnsi="Arial" w:cs="Arial"/>
          <w:color w:val="000000" w:themeColor="text1"/>
        </w:rPr>
        <w:t>decline in number</w:t>
      </w:r>
      <w:r>
        <w:rPr>
          <w:rFonts w:ascii="Arial" w:hAnsi="Arial" w:cs="Arial"/>
          <w:color w:val="000000" w:themeColor="text1"/>
        </w:rPr>
        <w:t xml:space="preserve"> of degrees and certificates awarded this year</w:t>
      </w:r>
      <w:r w:rsidR="006B5756">
        <w:rPr>
          <w:rFonts w:ascii="Arial" w:hAnsi="Arial" w:cs="Arial"/>
          <w:color w:val="000000" w:themeColor="text1"/>
        </w:rPr>
        <w:t>, but the mix will be different</w:t>
      </w:r>
      <w:r>
        <w:rPr>
          <w:rFonts w:ascii="Arial" w:hAnsi="Arial" w:cs="Arial"/>
          <w:color w:val="000000" w:themeColor="text1"/>
        </w:rPr>
        <w:t>.  We believe the revamped tax certificate</w:t>
      </w:r>
      <w:r w:rsidR="006B5756">
        <w:rPr>
          <w:rFonts w:ascii="Arial" w:hAnsi="Arial" w:cs="Arial"/>
          <w:color w:val="000000" w:themeColor="text1"/>
        </w:rPr>
        <w:t xml:space="preserve"> implemented with semester conversion will keep overall degrees and certificates flat for the 2012 – 2013 school </w:t>
      </w:r>
      <w:proofErr w:type="gramStart"/>
      <w:r w:rsidR="006B5756">
        <w:rPr>
          <w:rFonts w:ascii="Arial" w:hAnsi="Arial" w:cs="Arial"/>
          <w:color w:val="000000" w:themeColor="text1"/>
        </w:rPr>
        <w:t>year</w:t>
      </w:r>
      <w:proofErr w:type="gramEnd"/>
      <w:r w:rsidR="006B5756">
        <w:rPr>
          <w:rFonts w:ascii="Arial" w:hAnsi="Arial" w:cs="Arial"/>
          <w:color w:val="000000" w:themeColor="text1"/>
        </w:rPr>
        <w:t xml:space="preserve"> (see figure below).</w:t>
      </w:r>
    </w:p>
    <w:p w:rsidR="009E45C3" w:rsidRDefault="00EA3B77" w:rsidP="00326281">
      <w:pPr>
        <w:spacing w:after="200" w:line="276" w:lineRule="auto"/>
        <w:rPr>
          <w:rFonts w:ascii="Arial" w:hAnsi="Arial" w:cs="Arial"/>
          <w:color w:val="000000" w:themeColor="text1"/>
        </w:rPr>
      </w:pPr>
      <w:r w:rsidRPr="0067484F">
        <w:rPr>
          <w:rFonts w:ascii="Arial" w:hAnsi="Arial" w:cs="Arial"/>
          <w:color w:val="000000" w:themeColor="text1"/>
        </w:rPr>
        <w:object w:dxaOrig="9836" w:dyaOrig="2281">
          <v:shape id="_x0000_i1026" type="#_x0000_t75" style="width:492pt;height:114pt" o:ole="">
            <v:imagedata r:id="rId11" o:title=""/>
          </v:shape>
          <o:OLEObject Type="Embed" ProgID="Excel.Sheet.12" ShapeID="_x0000_i1026" DrawAspect="Content" ObjectID="_1410010201" r:id="rId12"/>
        </w:object>
      </w:r>
    </w:p>
    <w:p w:rsidR="004C52FC" w:rsidRDefault="004C52FC">
      <w:pPr>
        <w:spacing w:after="200" w:line="276" w:lineRule="auto"/>
        <w:rPr>
          <w:rFonts w:ascii="Arial" w:hAnsi="Arial" w:cs="Arial"/>
          <w:b/>
          <w:color w:val="000000" w:themeColor="text1"/>
        </w:rPr>
      </w:pPr>
    </w:p>
    <w:p w:rsidR="00B93382" w:rsidRDefault="00B93382">
      <w:pPr>
        <w:spacing w:after="200" w:line="276" w:lineRule="auto"/>
        <w:rPr>
          <w:rFonts w:ascii="Arial" w:hAnsi="Arial" w:cs="Arial"/>
          <w:b/>
          <w:color w:val="000000" w:themeColor="text1"/>
        </w:rPr>
      </w:pP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Pr="00585766" w:rsidRDefault="00637591" w:rsidP="00585766">
      <w:pPr>
        <w:rPr>
          <w:rFonts w:ascii="Arial" w:hAnsi="Arial" w:cs="Arial"/>
          <w:color w:val="000000" w:themeColor="text1"/>
        </w:rPr>
      </w:pPr>
      <w:r w:rsidRPr="00637591">
        <w:rPr>
          <w:rFonts w:ascii="Arial" w:hAnsi="Arial" w:cs="Arial"/>
          <w:noProof/>
          <w:color w:val="000000" w:themeColor="text1"/>
        </w:rPr>
        <w:drawing>
          <wp:inline distT="0" distB="0" distL="0" distR="0">
            <wp:extent cx="5600700" cy="2743200"/>
            <wp:effectExtent l="19050" t="0" r="1905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85766" w:rsidRPr="00585766" w:rsidRDefault="00585766" w:rsidP="00585766">
      <w:pPr>
        <w:ind w:left="720"/>
        <w:rPr>
          <w:rFonts w:ascii="Arial" w:hAnsi="Arial" w:cs="Arial"/>
          <w:color w:val="000000" w:themeColor="text1"/>
        </w:rPr>
      </w:pPr>
    </w:p>
    <w:p w:rsidR="008D01E1" w:rsidRDefault="008D01E1">
      <w:pPr>
        <w:spacing w:after="200" w:line="276" w:lineRule="auto"/>
        <w:rPr>
          <w:rFonts w:ascii="Arial" w:hAnsi="Arial" w:cs="Arial"/>
          <w:color w:val="000000" w:themeColor="text1"/>
        </w:rPr>
      </w:pPr>
      <w:r>
        <w:rPr>
          <w:rFonts w:ascii="Arial" w:hAnsi="Arial" w:cs="Arial"/>
          <w:color w:val="000000" w:themeColor="text1"/>
        </w:rPr>
        <w:br w:type="page"/>
      </w:r>
    </w:p>
    <w:p w:rsidR="001D736E" w:rsidRPr="00B93382" w:rsidRDefault="001D3E1D" w:rsidP="008258DA">
      <w:pPr>
        <w:rPr>
          <w:rFonts w:ascii="Arial" w:hAnsi="Arial" w:cs="Arial"/>
          <w:i/>
          <w:color w:val="000000" w:themeColor="text1"/>
        </w:rPr>
      </w:pPr>
      <w:r w:rsidRPr="00B93382">
        <w:rPr>
          <w:rFonts w:ascii="Arial" w:hAnsi="Arial" w:cs="Arial"/>
          <w:i/>
          <w:color w:val="000000" w:themeColor="text1"/>
        </w:rPr>
        <w:lastRenderedPageBreak/>
        <w:t>Please provide an interpretation and analysis of the Course Success Trend Data (Raw Data is located in Appendix A)</w:t>
      </w:r>
      <w:r w:rsidR="00A201E2" w:rsidRPr="00B93382">
        <w:rPr>
          <w:rFonts w:ascii="Arial" w:hAnsi="Arial" w:cs="Arial"/>
          <w:i/>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1D3E1D" w:rsidRDefault="001D3E1D" w:rsidP="001D3E1D">
      <w:pPr>
        <w:pStyle w:val="ListParagraph"/>
        <w:rPr>
          <w:rFonts w:ascii="Arial" w:hAnsi="Arial" w:cs="Arial"/>
          <w:color w:val="000000" w:themeColor="text1"/>
        </w:rPr>
      </w:pPr>
    </w:p>
    <w:p w:rsidR="00D81A4C" w:rsidRDefault="006B6511" w:rsidP="006B6511">
      <w:pPr>
        <w:spacing w:after="200" w:line="276" w:lineRule="auto"/>
        <w:rPr>
          <w:rFonts w:ascii="Arial" w:hAnsi="Arial" w:cs="Arial"/>
          <w:color w:val="000000" w:themeColor="text1"/>
        </w:rPr>
      </w:pPr>
      <w:r w:rsidRPr="006B6511">
        <w:rPr>
          <w:rFonts w:ascii="Arial" w:hAnsi="Arial" w:cs="Arial"/>
          <w:color w:val="000000" w:themeColor="text1"/>
        </w:rPr>
        <w:t>The four principle classes ACC121</w:t>
      </w:r>
      <w:r w:rsidR="009B3EAF">
        <w:rPr>
          <w:rFonts w:ascii="Arial" w:hAnsi="Arial" w:cs="Arial"/>
          <w:color w:val="000000" w:themeColor="text1"/>
        </w:rPr>
        <w:t xml:space="preserve"> </w:t>
      </w:r>
      <w:r w:rsidRPr="006B6511">
        <w:rPr>
          <w:rFonts w:ascii="Arial" w:hAnsi="Arial" w:cs="Arial"/>
          <w:color w:val="000000" w:themeColor="text1"/>
        </w:rPr>
        <w:t xml:space="preserve">(introduction to Financial Accounting), ACC122 (Introduction to Managerial Accounting), ECO216 (Principles of Macroeconomics), ECO218 (Principles of Microeconomics) are state TAG (Transfer Assurance Guide) and thus follow the state mandated curriculum.  These classes require considerable amount of critical thinking and are very challenging </w:t>
      </w:r>
      <w:r w:rsidR="009B3EAF">
        <w:rPr>
          <w:rFonts w:ascii="Arial" w:hAnsi="Arial" w:cs="Arial"/>
          <w:color w:val="000000" w:themeColor="text1"/>
        </w:rPr>
        <w:t xml:space="preserve">to </w:t>
      </w:r>
      <w:r w:rsidRPr="006B6511">
        <w:rPr>
          <w:rFonts w:ascii="Arial" w:hAnsi="Arial" w:cs="Arial"/>
          <w:color w:val="000000" w:themeColor="text1"/>
        </w:rPr>
        <w:t>students.  Because of this</w:t>
      </w:r>
      <w:r w:rsidR="009B3EAF">
        <w:rPr>
          <w:rFonts w:ascii="Arial" w:hAnsi="Arial" w:cs="Arial"/>
          <w:color w:val="000000" w:themeColor="text1"/>
        </w:rPr>
        <w:t>,</w:t>
      </w:r>
      <w:r w:rsidRPr="006B6511">
        <w:rPr>
          <w:rFonts w:ascii="Arial" w:hAnsi="Arial" w:cs="Arial"/>
          <w:color w:val="000000" w:themeColor="text1"/>
        </w:rPr>
        <w:t xml:space="preserve"> the department struggles with the success rates in these courses (ACC122 success rates are higher because ACC121 is a prerequisite for the course).  </w:t>
      </w:r>
    </w:p>
    <w:p w:rsidR="00D81A4C" w:rsidRDefault="00D81A4C" w:rsidP="006B6511">
      <w:pPr>
        <w:spacing w:after="200" w:line="276" w:lineRule="auto"/>
        <w:rPr>
          <w:rFonts w:ascii="Arial" w:hAnsi="Arial" w:cs="Arial"/>
          <w:color w:val="000000" w:themeColor="text1"/>
        </w:rPr>
      </w:pPr>
    </w:p>
    <w:bookmarkStart w:id="0" w:name="_MON_1409725866"/>
    <w:bookmarkEnd w:id="0"/>
    <w:p w:rsidR="00D81A4C" w:rsidRDefault="001D6D23" w:rsidP="006B6511">
      <w:pPr>
        <w:spacing w:after="200" w:line="276" w:lineRule="auto"/>
        <w:rPr>
          <w:rFonts w:ascii="Arial" w:hAnsi="Arial" w:cs="Arial"/>
          <w:color w:val="000000" w:themeColor="text1"/>
        </w:rPr>
      </w:pPr>
      <w:r w:rsidRPr="0067484F">
        <w:rPr>
          <w:rFonts w:ascii="Arial" w:hAnsi="Arial" w:cs="Arial"/>
          <w:color w:val="000000" w:themeColor="text1"/>
        </w:rPr>
        <w:object w:dxaOrig="9835" w:dyaOrig="1979">
          <v:shape id="_x0000_i1027" type="#_x0000_t75" style="width:492pt;height:99pt" o:ole="">
            <v:imagedata r:id="rId14" o:title=""/>
          </v:shape>
          <o:OLEObject Type="Embed" ProgID="Excel.Sheet.12" ShapeID="_x0000_i1027" DrawAspect="Content" ObjectID="_1410010202" r:id="rId15"/>
        </w:object>
      </w:r>
    </w:p>
    <w:p w:rsidR="006B6511" w:rsidRPr="006B6511" w:rsidRDefault="006B6511" w:rsidP="006B6511">
      <w:pPr>
        <w:spacing w:after="200" w:line="276" w:lineRule="auto"/>
        <w:rPr>
          <w:rFonts w:ascii="Arial" w:hAnsi="Arial" w:cs="Arial"/>
          <w:color w:val="000000" w:themeColor="text1"/>
        </w:rPr>
      </w:pPr>
      <w:r w:rsidRPr="006B6511">
        <w:rPr>
          <w:rFonts w:ascii="Arial" w:hAnsi="Arial" w:cs="Arial"/>
          <w:color w:val="000000" w:themeColor="text1"/>
        </w:rPr>
        <w:t>To address the low success rates the following actions have been taken:</w:t>
      </w:r>
    </w:p>
    <w:p w:rsidR="006B6511" w:rsidRDefault="006B6511" w:rsidP="006B6511">
      <w:pPr>
        <w:spacing w:after="200" w:line="276" w:lineRule="auto"/>
        <w:rPr>
          <w:rFonts w:ascii="Arial" w:hAnsi="Arial" w:cs="Arial"/>
          <w:color w:val="000000" w:themeColor="text1"/>
        </w:rPr>
      </w:pPr>
      <w:r w:rsidRPr="006B6511">
        <w:rPr>
          <w:rFonts w:ascii="Arial" w:hAnsi="Arial" w:cs="Arial"/>
          <w:color w:val="000000" w:themeColor="text1"/>
        </w:rPr>
        <w:t>a)</w:t>
      </w:r>
      <w:r w:rsidRPr="006B6511">
        <w:rPr>
          <w:rFonts w:ascii="Arial" w:hAnsi="Arial" w:cs="Arial"/>
          <w:color w:val="000000" w:themeColor="text1"/>
        </w:rPr>
        <w:tab/>
      </w:r>
      <w:r w:rsidR="001D6D23">
        <w:rPr>
          <w:rFonts w:ascii="Arial" w:hAnsi="Arial" w:cs="Arial"/>
          <w:color w:val="000000" w:themeColor="text1"/>
        </w:rPr>
        <w:t xml:space="preserve">Implemented </w:t>
      </w:r>
      <w:r w:rsidRPr="006B6511">
        <w:rPr>
          <w:rFonts w:ascii="Arial" w:hAnsi="Arial" w:cs="Arial"/>
          <w:color w:val="000000" w:themeColor="text1"/>
        </w:rPr>
        <w:t xml:space="preserve">an online homework and study system, (McGraw-Hill’s Connect and </w:t>
      </w:r>
      <w:proofErr w:type="spellStart"/>
      <w:r w:rsidRPr="006B6511">
        <w:rPr>
          <w:rFonts w:ascii="Arial" w:hAnsi="Arial" w:cs="Arial"/>
          <w:color w:val="000000" w:themeColor="text1"/>
        </w:rPr>
        <w:t>LearnSmart</w:t>
      </w:r>
      <w:proofErr w:type="spellEnd"/>
      <w:r w:rsidR="00EA3B77">
        <w:rPr>
          <w:rFonts w:ascii="Arial" w:hAnsi="Arial" w:cs="Arial"/>
          <w:color w:val="000000" w:themeColor="text1"/>
        </w:rPr>
        <w:t>)</w:t>
      </w:r>
      <w:r w:rsidR="001D6D23">
        <w:rPr>
          <w:rFonts w:ascii="Arial" w:hAnsi="Arial" w:cs="Arial"/>
          <w:color w:val="000000" w:themeColor="text1"/>
        </w:rPr>
        <w:t xml:space="preserve"> for ECO216 and ECO218 classes</w:t>
      </w:r>
      <w:r w:rsidRPr="006B6511">
        <w:rPr>
          <w:rFonts w:ascii="Arial" w:hAnsi="Arial" w:cs="Arial"/>
          <w:color w:val="000000" w:themeColor="text1"/>
        </w:rPr>
        <w:t>.  The online homework</w:t>
      </w:r>
      <w:r w:rsidR="001D6D23">
        <w:rPr>
          <w:rFonts w:ascii="Arial" w:hAnsi="Arial" w:cs="Arial"/>
          <w:color w:val="000000" w:themeColor="text1"/>
        </w:rPr>
        <w:t xml:space="preserve">, Connect, </w:t>
      </w:r>
      <w:r w:rsidRPr="006B6511">
        <w:rPr>
          <w:rFonts w:ascii="Arial" w:hAnsi="Arial" w:cs="Arial"/>
          <w:color w:val="000000" w:themeColor="text1"/>
        </w:rPr>
        <w:t>gives student</w:t>
      </w:r>
      <w:r w:rsidR="001D6D23">
        <w:rPr>
          <w:rFonts w:ascii="Arial" w:hAnsi="Arial" w:cs="Arial"/>
          <w:color w:val="000000" w:themeColor="text1"/>
        </w:rPr>
        <w:t>s</w:t>
      </w:r>
      <w:r w:rsidRPr="006B6511">
        <w:rPr>
          <w:rFonts w:ascii="Arial" w:hAnsi="Arial" w:cs="Arial"/>
          <w:color w:val="000000" w:themeColor="text1"/>
        </w:rPr>
        <w:t xml:space="preserve"> instant feedback and allows them to repeat the problem for additional credit.  The </w:t>
      </w:r>
      <w:proofErr w:type="spellStart"/>
      <w:r w:rsidRPr="006B6511">
        <w:rPr>
          <w:rFonts w:ascii="Arial" w:hAnsi="Arial" w:cs="Arial"/>
          <w:color w:val="000000" w:themeColor="text1"/>
        </w:rPr>
        <w:t>LearnSmart</w:t>
      </w:r>
      <w:proofErr w:type="spellEnd"/>
      <w:r w:rsidRPr="006B6511">
        <w:rPr>
          <w:rFonts w:ascii="Arial" w:hAnsi="Arial" w:cs="Arial"/>
          <w:color w:val="000000" w:themeColor="text1"/>
        </w:rPr>
        <w:t xml:space="preserve"> portion reviews </w:t>
      </w:r>
      <w:r w:rsidR="000E7FB4" w:rsidRPr="006B6511">
        <w:rPr>
          <w:rFonts w:ascii="Arial" w:hAnsi="Arial" w:cs="Arial"/>
          <w:color w:val="000000" w:themeColor="text1"/>
        </w:rPr>
        <w:t>student’s</w:t>
      </w:r>
      <w:r w:rsidRPr="006B6511">
        <w:rPr>
          <w:rFonts w:ascii="Arial" w:hAnsi="Arial" w:cs="Arial"/>
          <w:color w:val="000000" w:themeColor="text1"/>
        </w:rPr>
        <w:t xml:space="preserve"> comprehension of required reading</w:t>
      </w:r>
      <w:r w:rsidR="001D6D23">
        <w:rPr>
          <w:rFonts w:ascii="Arial" w:hAnsi="Arial" w:cs="Arial"/>
          <w:color w:val="000000" w:themeColor="text1"/>
        </w:rPr>
        <w:t>,</w:t>
      </w:r>
      <w:r w:rsidRPr="006B6511">
        <w:rPr>
          <w:rFonts w:ascii="Arial" w:hAnsi="Arial" w:cs="Arial"/>
          <w:color w:val="000000" w:themeColor="text1"/>
        </w:rPr>
        <w:t xml:space="preserve"> asking questions in various formats and not letting them proceed until mastery of the subject.  </w:t>
      </w:r>
    </w:p>
    <w:p w:rsidR="000E7FB4" w:rsidRPr="006B6511" w:rsidRDefault="00FA70EA" w:rsidP="006B6511">
      <w:pPr>
        <w:spacing w:after="200" w:line="276" w:lineRule="auto"/>
        <w:rPr>
          <w:rFonts w:ascii="Arial" w:hAnsi="Arial" w:cs="Arial"/>
          <w:color w:val="000000" w:themeColor="text1"/>
        </w:rPr>
      </w:pPr>
      <w:r>
        <w:rPr>
          <w:rFonts w:ascii="Arial" w:hAnsi="Arial" w:cs="Arial"/>
          <w:color w:val="000000" w:themeColor="text1"/>
        </w:rPr>
        <w:t>b)</w:t>
      </w:r>
      <w:r>
        <w:rPr>
          <w:rFonts w:ascii="Arial" w:hAnsi="Arial" w:cs="Arial"/>
          <w:color w:val="000000" w:themeColor="text1"/>
        </w:rPr>
        <w:tab/>
        <w:t>Last year John Wilson and Jackie Myers, full-time faculty</w:t>
      </w:r>
      <w:r w:rsidR="00FB039C">
        <w:rPr>
          <w:rFonts w:ascii="Arial" w:hAnsi="Arial" w:cs="Arial"/>
          <w:color w:val="000000" w:themeColor="text1"/>
        </w:rPr>
        <w:t>,</w:t>
      </w:r>
      <w:r>
        <w:rPr>
          <w:rFonts w:ascii="Arial" w:hAnsi="Arial" w:cs="Arial"/>
          <w:color w:val="000000" w:themeColor="text1"/>
        </w:rPr>
        <w:t xml:space="preserve"> did a complete redesign of the new financial accounting course ACC1210 (formerly ACC121)</w:t>
      </w:r>
      <w:r w:rsidR="006B13E0">
        <w:rPr>
          <w:rFonts w:ascii="Arial" w:hAnsi="Arial" w:cs="Arial"/>
          <w:color w:val="000000" w:themeColor="text1"/>
        </w:rPr>
        <w:t>.  The new</w:t>
      </w:r>
      <w:r w:rsidR="00EA3B77">
        <w:rPr>
          <w:rFonts w:ascii="Arial" w:hAnsi="Arial" w:cs="Arial"/>
          <w:color w:val="000000" w:themeColor="text1"/>
        </w:rPr>
        <w:t xml:space="preserve">ly designed course </w:t>
      </w:r>
      <w:r w:rsidR="00665205">
        <w:rPr>
          <w:rFonts w:ascii="Arial" w:hAnsi="Arial" w:cs="Arial"/>
          <w:color w:val="000000" w:themeColor="text1"/>
        </w:rPr>
        <w:t>f</w:t>
      </w:r>
      <w:r w:rsidR="006B13E0">
        <w:rPr>
          <w:rFonts w:ascii="Arial" w:hAnsi="Arial" w:cs="Arial"/>
          <w:color w:val="000000" w:themeColor="text1"/>
        </w:rPr>
        <w:t xml:space="preserve">or </w:t>
      </w:r>
      <w:r w:rsidR="00EA3B77">
        <w:rPr>
          <w:rFonts w:ascii="Arial" w:hAnsi="Arial" w:cs="Arial"/>
          <w:color w:val="000000" w:themeColor="text1"/>
        </w:rPr>
        <w:t>semesters</w:t>
      </w:r>
      <w:r w:rsidR="007D3453">
        <w:rPr>
          <w:rFonts w:ascii="Arial" w:hAnsi="Arial" w:cs="Arial"/>
          <w:color w:val="000000" w:themeColor="text1"/>
        </w:rPr>
        <w:t xml:space="preserve"> uses a </w:t>
      </w:r>
      <w:r w:rsidR="00394144">
        <w:rPr>
          <w:rFonts w:ascii="Arial" w:hAnsi="Arial" w:cs="Arial"/>
          <w:color w:val="000000" w:themeColor="text1"/>
        </w:rPr>
        <w:t>contextual learning</w:t>
      </w:r>
      <w:r w:rsidR="007D3453">
        <w:rPr>
          <w:rFonts w:ascii="Arial" w:hAnsi="Arial" w:cs="Arial"/>
          <w:color w:val="000000" w:themeColor="text1"/>
        </w:rPr>
        <w:t xml:space="preserve"> approach to teaching accounting.  Instructors are provided with everything to manage </w:t>
      </w:r>
      <w:r w:rsidR="00EA3B77">
        <w:rPr>
          <w:rFonts w:ascii="Arial" w:hAnsi="Arial" w:cs="Arial"/>
          <w:color w:val="000000" w:themeColor="text1"/>
        </w:rPr>
        <w:t xml:space="preserve">the </w:t>
      </w:r>
      <w:r w:rsidR="007D3453">
        <w:rPr>
          <w:rFonts w:ascii="Arial" w:hAnsi="Arial" w:cs="Arial"/>
          <w:color w:val="000000" w:themeColor="text1"/>
        </w:rPr>
        <w:t>course</w:t>
      </w:r>
      <w:r w:rsidR="00665205">
        <w:rPr>
          <w:rFonts w:ascii="Arial" w:hAnsi="Arial" w:cs="Arial"/>
          <w:color w:val="000000" w:themeColor="text1"/>
        </w:rPr>
        <w:t xml:space="preserve"> including student </w:t>
      </w:r>
      <w:r w:rsidR="007D3453">
        <w:rPr>
          <w:rFonts w:ascii="Arial" w:hAnsi="Arial" w:cs="Arial"/>
          <w:color w:val="000000" w:themeColor="text1"/>
        </w:rPr>
        <w:t>worksheets, teaching guide</w:t>
      </w:r>
      <w:r w:rsidR="00665205">
        <w:rPr>
          <w:rFonts w:ascii="Arial" w:hAnsi="Arial" w:cs="Arial"/>
          <w:color w:val="000000" w:themeColor="text1"/>
        </w:rPr>
        <w:t>s</w:t>
      </w:r>
      <w:r w:rsidR="007D3453">
        <w:rPr>
          <w:rFonts w:ascii="Arial" w:hAnsi="Arial" w:cs="Arial"/>
          <w:color w:val="000000" w:themeColor="text1"/>
        </w:rPr>
        <w:t>, exams, quizzes and homework.  Imbedded into the course management system (Angel</w:t>
      </w:r>
      <w:r w:rsidR="00394144">
        <w:rPr>
          <w:rFonts w:ascii="Arial" w:hAnsi="Arial" w:cs="Arial"/>
          <w:color w:val="000000" w:themeColor="text1"/>
        </w:rPr>
        <w:t>)</w:t>
      </w:r>
      <w:r w:rsidR="007D3453">
        <w:rPr>
          <w:rFonts w:ascii="Arial" w:hAnsi="Arial" w:cs="Arial"/>
          <w:color w:val="000000" w:themeColor="text1"/>
        </w:rPr>
        <w:t xml:space="preserve"> is </w:t>
      </w:r>
      <w:r w:rsidR="00665205">
        <w:rPr>
          <w:rFonts w:ascii="Arial" w:hAnsi="Arial" w:cs="Arial"/>
          <w:color w:val="000000" w:themeColor="text1"/>
        </w:rPr>
        <w:t xml:space="preserve">the ability </w:t>
      </w:r>
      <w:r w:rsidR="00394144">
        <w:rPr>
          <w:rFonts w:ascii="Arial" w:hAnsi="Arial" w:cs="Arial"/>
          <w:color w:val="000000" w:themeColor="text1"/>
        </w:rPr>
        <w:t xml:space="preserve">for the department </w:t>
      </w:r>
      <w:r w:rsidR="00665205">
        <w:rPr>
          <w:rFonts w:ascii="Arial" w:hAnsi="Arial" w:cs="Arial"/>
          <w:color w:val="000000" w:themeColor="text1"/>
        </w:rPr>
        <w:t xml:space="preserve">to capture assessment data for all financial accounting traditional classes.  </w:t>
      </w:r>
      <w:r w:rsidR="00394144">
        <w:rPr>
          <w:rFonts w:ascii="Arial" w:hAnsi="Arial" w:cs="Arial"/>
          <w:color w:val="000000" w:themeColor="text1"/>
        </w:rPr>
        <w:t xml:space="preserve">This data will be </w:t>
      </w:r>
      <w:r w:rsidR="00665205">
        <w:rPr>
          <w:rFonts w:ascii="Arial" w:hAnsi="Arial" w:cs="Arial"/>
          <w:color w:val="000000" w:themeColor="text1"/>
        </w:rPr>
        <w:t>use</w:t>
      </w:r>
      <w:r w:rsidR="00394144">
        <w:rPr>
          <w:rFonts w:ascii="Arial" w:hAnsi="Arial" w:cs="Arial"/>
          <w:color w:val="000000" w:themeColor="text1"/>
        </w:rPr>
        <w:t>d</w:t>
      </w:r>
      <w:r w:rsidR="00665205">
        <w:rPr>
          <w:rFonts w:ascii="Arial" w:hAnsi="Arial" w:cs="Arial"/>
          <w:color w:val="000000" w:themeColor="text1"/>
        </w:rPr>
        <w:t xml:space="preserve"> to improve student learning.  </w:t>
      </w:r>
    </w:p>
    <w:p w:rsidR="00326281" w:rsidRDefault="006B13E0" w:rsidP="006B6511">
      <w:pPr>
        <w:spacing w:after="200" w:line="276" w:lineRule="auto"/>
        <w:rPr>
          <w:rFonts w:ascii="Arial" w:hAnsi="Arial" w:cs="Arial"/>
          <w:color w:val="000000" w:themeColor="text1"/>
        </w:rPr>
      </w:pPr>
      <w:r>
        <w:rPr>
          <w:rFonts w:ascii="Arial" w:hAnsi="Arial" w:cs="Arial"/>
          <w:color w:val="000000" w:themeColor="text1"/>
        </w:rPr>
        <w:t>c</w:t>
      </w:r>
      <w:r w:rsidR="006B6511" w:rsidRPr="006B6511">
        <w:rPr>
          <w:rFonts w:ascii="Arial" w:hAnsi="Arial" w:cs="Arial"/>
          <w:color w:val="000000" w:themeColor="text1"/>
        </w:rPr>
        <w:t>)</w:t>
      </w:r>
      <w:r w:rsidR="006B6511" w:rsidRPr="006B6511">
        <w:rPr>
          <w:rFonts w:ascii="Arial" w:hAnsi="Arial" w:cs="Arial"/>
          <w:color w:val="000000" w:themeColor="text1"/>
        </w:rPr>
        <w:tab/>
        <w:t>For both accounting and economics principle classes we have common course syllabi, assignments, quizzes and exams.  Twice a year fulltime faculty and adjuncts meet to review the course and make changes to provid</w:t>
      </w:r>
      <w:r w:rsidR="00EA3B77">
        <w:rPr>
          <w:rFonts w:ascii="Arial" w:hAnsi="Arial" w:cs="Arial"/>
          <w:color w:val="000000" w:themeColor="text1"/>
        </w:rPr>
        <w:t>e a better learning experience f</w:t>
      </w:r>
      <w:r w:rsidR="006B6511" w:rsidRPr="006B6511">
        <w:rPr>
          <w:rFonts w:ascii="Arial" w:hAnsi="Arial" w:cs="Arial"/>
          <w:color w:val="000000" w:themeColor="text1"/>
        </w:rPr>
        <w:t>o</w:t>
      </w:r>
      <w:r w:rsidR="00EA3B77">
        <w:rPr>
          <w:rFonts w:ascii="Arial" w:hAnsi="Arial" w:cs="Arial"/>
          <w:color w:val="000000" w:themeColor="text1"/>
        </w:rPr>
        <w:t>r</w:t>
      </w:r>
      <w:r w:rsidR="006B6511" w:rsidRPr="006B6511">
        <w:rPr>
          <w:rFonts w:ascii="Arial" w:hAnsi="Arial" w:cs="Arial"/>
          <w:color w:val="000000" w:themeColor="text1"/>
        </w:rPr>
        <w:t xml:space="preserve"> </w:t>
      </w:r>
      <w:r w:rsidR="006B6511" w:rsidRPr="006B6511">
        <w:rPr>
          <w:rFonts w:ascii="Arial" w:hAnsi="Arial" w:cs="Arial"/>
          <w:color w:val="000000" w:themeColor="text1"/>
        </w:rPr>
        <w:lastRenderedPageBreak/>
        <w:t>students.  Both accounting and principle web courses offer optional exam reviews to help clarify material that that might be a challenge when studying online.</w:t>
      </w: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Pr="00B93382" w:rsidRDefault="001D3E1D" w:rsidP="008258DA">
      <w:pPr>
        <w:rPr>
          <w:rFonts w:ascii="Arial" w:hAnsi="Arial" w:cs="Arial"/>
          <w:i/>
          <w:color w:val="000000" w:themeColor="text1"/>
        </w:rPr>
      </w:pPr>
      <w:r w:rsidRPr="00B93382">
        <w:rPr>
          <w:rFonts w:ascii="Arial" w:hAnsi="Arial" w:cs="Arial"/>
          <w:i/>
          <w:color w:val="000000" w:themeColor="text1"/>
        </w:rPr>
        <w:t>Please provide a</w:t>
      </w:r>
      <w:r w:rsidR="00CD2613" w:rsidRPr="00B93382">
        <w:rPr>
          <w:rFonts w:ascii="Arial" w:hAnsi="Arial" w:cs="Arial"/>
          <w:i/>
          <w:color w:val="000000" w:themeColor="text1"/>
        </w:rPr>
        <w:t>ny additional data</w:t>
      </w:r>
      <w:r w:rsidRPr="00B93382">
        <w:rPr>
          <w:rFonts w:ascii="Arial" w:hAnsi="Arial" w:cs="Arial"/>
          <w:i/>
          <w:color w:val="000000" w:themeColor="text1"/>
        </w:rPr>
        <w:t xml:space="preserve"> and analysis</w:t>
      </w:r>
      <w:r w:rsidR="00CD2613" w:rsidRPr="00B93382">
        <w:rPr>
          <w:rFonts w:ascii="Arial" w:hAnsi="Arial" w:cs="Arial"/>
          <w:i/>
          <w:color w:val="000000" w:themeColor="text1"/>
        </w:rPr>
        <w:t xml:space="preserve"> that illustrates what is going on in the </w:t>
      </w:r>
      <w:r w:rsidR="001C42D0" w:rsidRPr="00B93382">
        <w:rPr>
          <w:rFonts w:ascii="Arial" w:hAnsi="Arial" w:cs="Arial"/>
          <w:i/>
          <w:color w:val="000000" w:themeColor="text1"/>
        </w:rPr>
        <w:t xml:space="preserve">department </w:t>
      </w:r>
      <w:r w:rsidR="00CD2613" w:rsidRPr="00B93382">
        <w:rPr>
          <w:rFonts w:ascii="Arial" w:hAnsi="Arial" w:cs="Arial"/>
          <w:i/>
          <w:color w:val="000000" w:themeColor="text1"/>
        </w:rPr>
        <w:t>(examples might include</w:t>
      </w:r>
      <w:r w:rsidR="00F37373" w:rsidRPr="00B93382">
        <w:rPr>
          <w:rFonts w:ascii="Arial" w:hAnsi="Arial" w:cs="Arial"/>
          <w:i/>
          <w:color w:val="000000" w:themeColor="text1"/>
        </w:rPr>
        <w:t xml:space="preserve"> accreditation data</w:t>
      </w:r>
      <w:r w:rsidR="001D736E" w:rsidRPr="00B93382">
        <w:rPr>
          <w:rFonts w:ascii="Arial" w:hAnsi="Arial" w:cs="Arial"/>
          <w:i/>
          <w:color w:val="000000" w:themeColor="text1"/>
        </w:rPr>
        <w:t xml:space="preserve">, </w:t>
      </w:r>
      <w:r w:rsidR="001C42D0" w:rsidRPr="00B93382">
        <w:rPr>
          <w:rFonts w:ascii="Arial" w:hAnsi="Arial" w:cs="Arial"/>
          <w:i/>
          <w:color w:val="000000" w:themeColor="text1"/>
        </w:rPr>
        <w:t xml:space="preserve">program data, </w:t>
      </w:r>
      <w:r w:rsidR="008B52A0" w:rsidRPr="00B93382">
        <w:rPr>
          <w:rFonts w:ascii="Arial" w:hAnsi="Arial" w:cs="Arial"/>
          <w:i/>
          <w:color w:val="000000" w:themeColor="text1"/>
        </w:rPr>
        <w:t xml:space="preserve">benchmark data from national exams, </w:t>
      </w:r>
      <w:r w:rsidR="00CD2613" w:rsidRPr="00B93382">
        <w:rPr>
          <w:rFonts w:ascii="Arial" w:hAnsi="Arial" w:cs="Arial"/>
          <w:i/>
          <w:color w:val="000000" w:themeColor="text1"/>
        </w:rPr>
        <w:t>course sequence completion, retention, demographic data, data on placement of graduates, graduate survey data, etc.)</w:t>
      </w:r>
    </w:p>
    <w:p w:rsidR="004C52FC" w:rsidRDefault="004C52FC" w:rsidP="00377D40">
      <w:pPr>
        <w:spacing w:after="200" w:line="276" w:lineRule="auto"/>
        <w:rPr>
          <w:rFonts w:ascii="Arial" w:hAnsi="Arial" w:cs="Arial"/>
          <w:color w:val="000000" w:themeColor="text1"/>
        </w:rPr>
      </w:pPr>
    </w:p>
    <w:p w:rsidR="009E6189" w:rsidRDefault="009E6189" w:rsidP="009E6189">
      <w:pPr>
        <w:spacing w:after="200" w:line="276" w:lineRule="auto"/>
        <w:rPr>
          <w:rFonts w:ascii="Arial" w:hAnsi="Arial" w:cs="Arial"/>
          <w:color w:val="000000" w:themeColor="text1"/>
        </w:rPr>
      </w:pPr>
      <w:r w:rsidRPr="00C76F4A">
        <w:rPr>
          <w:rFonts w:ascii="Arial" w:hAnsi="Arial" w:cs="Arial"/>
          <w:color w:val="000000" w:themeColor="text1"/>
        </w:rPr>
        <w:t xml:space="preserve">We </w:t>
      </w:r>
      <w:r>
        <w:rPr>
          <w:rFonts w:ascii="Arial" w:hAnsi="Arial" w:cs="Arial"/>
          <w:color w:val="000000" w:themeColor="text1"/>
        </w:rPr>
        <w:t>continue</w:t>
      </w:r>
      <w:r w:rsidRPr="00C76F4A">
        <w:rPr>
          <w:rFonts w:ascii="Arial" w:hAnsi="Arial" w:cs="Arial"/>
          <w:color w:val="000000" w:themeColor="text1"/>
        </w:rPr>
        <w:t xml:space="preserve"> </w:t>
      </w:r>
      <w:r>
        <w:rPr>
          <w:rFonts w:ascii="Arial" w:hAnsi="Arial" w:cs="Arial"/>
          <w:color w:val="000000" w:themeColor="text1"/>
        </w:rPr>
        <w:t xml:space="preserve">to </w:t>
      </w:r>
      <w:r w:rsidRPr="00C76F4A">
        <w:rPr>
          <w:rFonts w:ascii="Arial" w:hAnsi="Arial" w:cs="Arial"/>
          <w:color w:val="000000" w:themeColor="text1"/>
        </w:rPr>
        <w:t>offer coursework to allow students to meet the educational requirements of the CPA exam</w:t>
      </w:r>
      <w:r>
        <w:rPr>
          <w:rFonts w:ascii="Arial" w:hAnsi="Arial" w:cs="Arial"/>
          <w:color w:val="000000" w:themeColor="text1"/>
        </w:rPr>
        <w:t>.  Our last study identified 24 students who successfully passed the CPA examination that took upper level accounting classes at Sinclair.</w:t>
      </w:r>
    </w:p>
    <w:p w:rsidR="009E6189" w:rsidRDefault="009E6189" w:rsidP="00377D40">
      <w:pPr>
        <w:spacing w:after="200" w:line="276" w:lineRule="auto"/>
        <w:rPr>
          <w:rFonts w:ascii="Arial" w:hAnsi="Arial" w:cs="Arial"/>
          <w:color w:val="000000" w:themeColor="text1"/>
        </w:rPr>
      </w:pPr>
    </w:p>
    <w:p w:rsidR="00326281" w:rsidRDefault="00486741" w:rsidP="00326281">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26281">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26281">
        <w:rPr>
          <w:rFonts w:ascii="Arial" w:hAnsi="Arial" w:cs="Arial"/>
          <w:color w:val="000000" w:themeColor="text1"/>
        </w:rPr>
        <w:t> </w:t>
      </w:r>
      <w:r w:rsidR="00326281">
        <w:rPr>
          <w:rFonts w:ascii="Arial" w:hAnsi="Arial" w:cs="Arial"/>
          <w:color w:val="000000" w:themeColor="text1"/>
        </w:rPr>
        <w:t> </w:t>
      </w:r>
      <w:r w:rsidR="00326281">
        <w:rPr>
          <w:rFonts w:ascii="Arial" w:hAnsi="Arial" w:cs="Arial"/>
          <w:color w:val="000000" w:themeColor="text1"/>
        </w:rPr>
        <w:t> </w:t>
      </w:r>
      <w:r w:rsidR="00326281">
        <w:rPr>
          <w:rFonts w:ascii="Arial" w:hAnsi="Arial" w:cs="Arial"/>
          <w:color w:val="000000" w:themeColor="text1"/>
        </w:rPr>
        <w:t> </w:t>
      </w:r>
      <w:r w:rsidR="00326281">
        <w:rPr>
          <w:rFonts w:ascii="Arial" w:hAnsi="Arial" w:cs="Arial"/>
          <w:color w:val="000000" w:themeColor="text1"/>
        </w:rPr>
        <w:t> </w:t>
      </w:r>
      <w:r>
        <w:rPr>
          <w:rFonts w:ascii="Arial" w:hAnsi="Arial" w:cs="Arial"/>
          <w:color w:val="000000" w:themeColor="text1"/>
        </w:rPr>
        <w:fldChar w:fldCharType="end"/>
      </w:r>
    </w:p>
    <w:p w:rsidR="00326281" w:rsidRDefault="00326281" w:rsidP="00377D40">
      <w:pPr>
        <w:spacing w:after="200" w:line="276" w:lineRule="auto"/>
        <w:rPr>
          <w:rFonts w:ascii="Arial" w:hAnsi="Arial" w:cs="Arial"/>
          <w:color w:val="000000" w:themeColor="text1"/>
        </w:rPr>
        <w:sectPr w:rsidR="00326281" w:rsidSect="00D708C3">
          <w:footerReference w:type="default" r:id="rId16"/>
          <w:pgSz w:w="12240" w:h="15840"/>
          <w:pgMar w:top="1152" w:right="1440" w:bottom="1152" w:left="1440" w:header="720" w:footer="288" w:gutter="0"/>
          <w:cols w:space="720"/>
          <w:docGrid w:linePitch="360"/>
        </w:sectPr>
      </w:pP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tblPr>
      <w:tblGrid>
        <w:gridCol w:w="3690"/>
        <w:gridCol w:w="2700"/>
        <w:gridCol w:w="6840"/>
      </w:tblGrid>
      <w:tr w:rsidR="004C52FC" w:rsidTr="00326281">
        <w:trPr>
          <w:trHeight w:val="466"/>
        </w:trPr>
        <w:tc>
          <w:tcPr>
            <w:tcW w:w="3690"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840"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326281" w:rsidTr="00326281">
        <w:trPr>
          <w:trHeight w:val="1399"/>
        </w:trPr>
        <w:tc>
          <w:tcPr>
            <w:tcW w:w="3690" w:type="dxa"/>
          </w:tcPr>
          <w:p w:rsidR="00326281" w:rsidRPr="0037786D" w:rsidRDefault="00326281" w:rsidP="00D07030">
            <w:pPr>
              <w:spacing w:before="120"/>
              <w:rPr>
                <w:rFonts w:ascii="Arial" w:hAnsi="Arial" w:cs="Arial"/>
                <w:color w:val="000000" w:themeColor="text1"/>
              </w:rPr>
            </w:pPr>
            <w:r>
              <w:rPr>
                <w:rFonts w:ascii="Arial" w:hAnsi="Arial" w:cs="Arial"/>
              </w:rPr>
              <w:t>We are investigating the concept of hybrid courses for the economic and accounting principles courses.</w:t>
            </w:r>
          </w:p>
        </w:tc>
        <w:tc>
          <w:tcPr>
            <w:tcW w:w="2700" w:type="dxa"/>
          </w:tcPr>
          <w:p w:rsidR="00326281" w:rsidRDefault="00326281" w:rsidP="00637591">
            <w:pPr>
              <w:pStyle w:val="ListParagraph"/>
              <w:ind w:left="0"/>
              <w:rPr>
                <w:rFonts w:ascii="Arial" w:hAnsi="Arial" w:cs="Arial"/>
                <w:color w:val="000000" w:themeColor="text1"/>
              </w:rPr>
            </w:pPr>
          </w:p>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86741">
              <w:fldChar w:fldCharType="begin">
                <w:ffData>
                  <w:name w:val=""/>
                  <w:enabled/>
                  <w:calcOnExit w:val="0"/>
                  <w:checkBox>
                    <w:sizeAuto/>
                    <w:default w:val="1"/>
                  </w:checkBox>
                </w:ffData>
              </w:fldChar>
            </w:r>
            <w:r w:rsidR="00DC75CD">
              <w:instrText xml:space="preserve"> FORMCHECKBOX </w:instrText>
            </w:r>
            <w:r w:rsidR="00486741">
              <w:fldChar w:fldCharType="separate"/>
            </w:r>
            <w:r w:rsidR="00486741">
              <w:fldChar w:fldCharType="end"/>
            </w:r>
          </w:p>
          <w:p w:rsidR="00326281" w:rsidRDefault="00326281" w:rsidP="00637591">
            <w:pPr>
              <w:pStyle w:val="ListParagraph"/>
              <w:ind w:left="0"/>
              <w:rPr>
                <w:rFonts w:ascii="Arial" w:hAnsi="Arial" w:cs="Arial"/>
                <w:color w:val="000000" w:themeColor="text1"/>
              </w:rPr>
            </w:pPr>
          </w:p>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Completed </w:t>
            </w:r>
            <w:bookmarkStart w:id="1" w:name="Check1"/>
            <w:r w:rsidR="00486741">
              <w:fldChar w:fldCharType="begin">
                <w:ffData>
                  <w:name w:val="Check1"/>
                  <w:enabled/>
                  <w:calcOnExit w:val="0"/>
                  <w:checkBox>
                    <w:sizeAuto/>
                    <w:default w:val="0"/>
                  </w:checkBox>
                </w:ffData>
              </w:fldChar>
            </w:r>
            <w:r w:rsidR="00DC75CD">
              <w:instrText xml:space="preserve"> FORMCHECKBOX </w:instrText>
            </w:r>
            <w:r w:rsidR="00486741">
              <w:fldChar w:fldCharType="separate"/>
            </w:r>
            <w:r w:rsidR="00486741">
              <w:fldChar w:fldCharType="end"/>
            </w:r>
            <w:bookmarkEnd w:id="1"/>
          </w:p>
          <w:p w:rsidR="00326281" w:rsidRDefault="00326281" w:rsidP="00637591">
            <w:pPr>
              <w:pStyle w:val="ListParagraph"/>
              <w:ind w:left="0"/>
              <w:rPr>
                <w:rFonts w:ascii="Arial" w:hAnsi="Arial" w:cs="Arial"/>
                <w:color w:val="000000" w:themeColor="text1"/>
              </w:rPr>
            </w:pPr>
          </w:p>
          <w:p w:rsidR="00326281" w:rsidRPr="0037786D"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86741">
              <w:fldChar w:fldCharType="begin">
                <w:ffData>
                  <w:name w:val="Check1"/>
                  <w:enabled/>
                  <w:calcOnExit w:val="0"/>
                  <w:checkBox>
                    <w:sizeAuto/>
                    <w:default w:val="0"/>
                  </w:checkBox>
                </w:ffData>
              </w:fldChar>
            </w:r>
            <w:r>
              <w:instrText xml:space="preserve"> FORMCHECKBOX </w:instrText>
            </w:r>
            <w:r w:rsidR="00486741">
              <w:fldChar w:fldCharType="separate"/>
            </w:r>
            <w:r w:rsidR="00486741">
              <w:fldChar w:fldCharType="end"/>
            </w:r>
          </w:p>
        </w:tc>
        <w:tc>
          <w:tcPr>
            <w:tcW w:w="6840" w:type="dxa"/>
          </w:tcPr>
          <w:p w:rsidR="00326281" w:rsidRPr="0037786D" w:rsidRDefault="00DC75CD" w:rsidP="00C11B88">
            <w:pPr>
              <w:pStyle w:val="ListParagraph"/>
              <w:ind w:left="0"/>
              <w:rPr>
                <w:rFonts w:ascii="Arial" w:hAnsi="Arial" w:cs="Arial"/>
                <w:color w:val="000000" w:themeColor="text1"/>
              </w:rPr>
            </w:pPr>
            <w:r>
              <w:rPr>
                <w:rFonts w:ascii="Arial" w:hAnsi="Arial" w:cs="Arial"/>
                <w:color w:val="000000" w:themeColor="text1"/>
              </w:rPr>
              <w:t>Completed hybrid classes for economic classes.  Curren</w:t>
            </w:r>
            <w:r w:rsidR="00C24C23">
              <w:rPr>
                <w:rFonts w:ascii="Arial" w:hAnsi="Arial" w:cs="Arial"/>
                <w:color w:val="000000" w:themeColor="text1"/>
              </w:rPr>
              <w:t>tly reviewing success for econo</w:t>
            </w:r>
            <w:r>
              <w:rPr>
                <w:rFonts w:ascii="Arial" w:hAnsi="Arial" w:cs="Arial"/>
                <w:color w:val="000000" w:themeColor="text1"/>
              </w:rPr>
              <w:t>mics classes before developing hybrid classes for accounting principle classes</w:t>
            </w:r>
            <w:r w:rsidR="008D7CAA">
              <w:rPr>
                <w:rFonts w:ascii="Arial" w:hAnsi="Arial" w:cs="Arial"/>
                <w:color w:val="000000" w:themeColor="text1"/>
              </w:rPr>
              <w:t>.</w:t>
            </w:r>
          </w:p>
        </w:tc>
      </w:tr>
      <w:tr w:rsidR="00326281" w:rsidTr="00326281">
        <w:trPr>
          <w:trHeight w:val="1399"/>
        </w:trPr>
        <w:tc>
          <w:tcPr>
            <w:tcW w:w="3690" w:type="dxa"/>
          </w:tcPr>
          <w:p w:rsidR="00326281" w:rsidRPr="0037786D" w:rsidRDefault="00326281" w:rsidP="0094204C">
            <w:pPr>
              <w:pStyle w:val="ListParagraph"/>
              <w:ind w:left="0"/>
              <w:rPr>
                <w:rFonts w:ascii="Arial" w:hAnsi="Arial" w:cs="Arial"/>
                <w:color w:val="000000" w:themeColor="text1"/>
              </w:rPr>
            </w:pPr>
            <w:r w:rsidRPr="00D807AB">
              <w:rPr>
                <w:rFonts w:ascii="Arial" w:hAnsi="Arial" w:cs="Arial"/>
              </w:rPr>
              <w:t xml:space="preserve">Retention in </w:t>
            </w:r>
            <w:r>
              <w:rPr>
                <w:rFonts w:ascii="Arial" w:hAnsi="Arial" w:cs="Arial"/>
              </w:rPr>
              <w:t>Principles of Financial Accounting (ACC 121) and Principles of Macroeconomics (ECO 216)</w:t>
            </w:r>
            <w:r w:rsidRPr="00D807AB">
              <w:rPr>
                <w:rFonts w:ascii="Arial" w:hAnsi="Arial" w:cs="Arial"/>
              </w:rPr>
              <w:t xml:space="preserve"> continues to be a concern for the department</w:t>
            </w:r>
            <w:r>
              <w:rPr>
                <w:rFonts w:ascii="Arial" w:hAnsi="Arial" w:cs="Arial"/>
              </w:rPr>
              <w:t>.</w:t>
            </w:r>
          </w:p>
        </w:tc>
        <w:tc>
          <w:tcPr>
            <w:tcW w:w="2700" w:type="dxa"/>
          </w:tcPr>
          <w:p w:rsidR="00326281" w:rsidRDefault="00326281" w:rsidP="00637591">
            <w:pPr>
              <w:pStyle w:val="ListParagraph"/>
              <w:ind w:left="0"/>
              <w:rPr>
                <w:rFonts w:ascii="Arial" w:hAnsi="Arial" w:cs="Arial"/>
                <w:color w:val="000000" w:themeColor="text1"/>
              </w:rPr>
            </w:pPr>
          </w:p>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86741">
              <w:fldChar w:fldCharType="begin">
                <w:ffData>
                  <w:name w:val=""/>
                  <w:enabled/>
                  <w:calcOnExit w:val="0"/>
                  <w:checkBox>
                    <w:sizeAuto/>
                    <w:default w:val="1"/>
                  </w:checkBox>
                </w:ffData>
              </w:fldChar>
            </w:r>
            <w:r w:rsidR="00DC75CD">
              <w:instrText xml:space="preserve"> FORMCHECKBOX </w:instrText>
            </w:r>
            <w:r w:rsidR="00486741">
              <w:fldChar w:fldCharType="separate"/>
            </w:r>
            <w:r w:rsidR="00486741">
              <w:fldChar w:fldCharType="end"/>
            </w:r>
          </w:p>
          <w:p w:rsidR="00326281" w:rsidRDefault="00326281" w:rsidP="00637591">
            <w:pPr>
              <w:pStyle w:val="ListParagraph"/>
              <w:ind w:left="0"/>
              <w:rPr>
                <w:rFonts w:ascii="Arial" w:hAnsi="Arial" w:cs="Arial"/>
                <w:color w:val="000000" w:themeColor="text1"/>
              </w:rPr>
            </w:pPr>
          </w:p>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486741">
              <w:fldChar w:fldCharType="begin">
                <w:ffData>
                  <w:name w:val="Check1"/>
                  <w:enabled/>
                  <w:calcOnExit w:val="0"/>
                  <w:checkBox>
                    <w:sizeAuto/>
                    <w:default w:val="0"/>
                  </w:checkBox>
                </w:ffData>
              </w:fldChar>
            </w:r>
            <w:r>
              <w:instrText xml:space="preserve"> FORMCHECKBOX </w:instrText>
            </w:r>
            <w:r w:rsidR="00486741">
              <w:fldChar w:fldCharType="separate"/>
            </w:r>
            <w:r w:rsidR="00486741">
              <w:fldChar w:fldCharType="end"/>
            </w:r>
          </w:p>
          <w:p w:rsidR="00326281" w:rsidRDefault="00326281" w:rsidP="00637591">
            <w:pPr>
              <w:pStyle w:val="ListParagraph"/>
              <w:ind w:left="0"/>
              <w:rPr>
                <w:rFonts w:ascii="Arial" w:hAnsi="Arial" w:cs="Arial"/>
                <w:color w:val="000000" w:themeColor="text1"/>
              </w:rPr>
            </w:pPr>
          </w:p>
          <w:p w:rsidR="00326281" w:rsidRPr="0037786D"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86741">
              <w:fldChar w:fldCharType="begin">
                <w:ffData>
                  <w:name w:val="Check1"/>
                  <w:enabled/>
                  <w:calcOnExit w:val="0"/>
                  <w:checkBox>
                    <w:sizeAuto/>
                    <w:default w:val="0"/>
                  </w:checkBox>
                </w:ffData>
              </w:fldChar>
            </w:r>
            <w:r>
              <w:instrText xml:space="preserve"> FORMCHECKBOX </w:instrText>
            </w:r>
            <w:r w:rsidR="00486741">
              <w:fldChar w:fldCharType="separate"/>
            </w:r>
            <w:r w:rsidR="00486741">
              <w:fldChar w:fldCharType="end"/>
            </w:r>
          </w:p>
        </w:tc>
        <w:tc>
          <w:tcPr>
            <w:tcW w:w="6840" w:type="dxa"/>
          </w:tcPr>
          <w:p w:rsidR="00326281" w:rsidRDefault="00DC75CD" w:rsidP="00DC75CD">
            <w:pPr>
              <w:pStyle w:val="ListParagraph"/>
              <w:ind w:left="0"/>
              <w:rPr>
                <w:rFonts w:ascii="Arial" w:hAnsi="Arial" w:cs="Arial"/>
                <w:color w:val="000000" w:themeColor="text1"/>
              </w:rPr>
            </w:pPr>
            <w:r>
              <w:rPr>
                <w:rFonts w:ascii="Arial" w:hAnsi="Arial" w:cs="Arial"/>
                <w:color w:val="000000" w:themeColor="text1"/>
              </w:rPr>
              <w:t>This will be an ongoing goal as we seek to improve student learning in two very challenging areas of accounting and economics.  Since our last review the following items have been accomplished.</w:t>
            </w:r>
          </w:p>
          <w:p w:rsidR="00DC75CD" w:rsidRDefault="00DC75CD" w:rsidP="00207C4C">
            <w:pPr>
              <w:pStyle w:val="ListParagraph"/>
              <w:numPr>
                <w:ilvl w:val="0"/>
                <w:numId w:val="13"/>
              </w:numPr>
              <w:rPr>
                <w:rFonts w:ascii="Arial" w:hAnsi="Arial" w:cs="Arial"/>
                <w:color w:val="000000" w:themeColor="text1"/>
              </w:rPr>
            </w:pPr>
            <w:r>
              <w:rPr>
                <w:rFonts w:ascii="Arial" w:hAnsi="Arial" w:cs="Arial"/>
                <w:color w:val="000000" w:themeColor="text1"/>
              </w:rPr>
              <w:t>Accounting and economics classes have incorporated online learning systems to give students immediate feedback for all forms of class delivery</w:t>
            </w:r>
            <w:r w:rsidR="00675C00">
              <w:rPr>
                <w:rFonts w:ascii="Arial" w:hAnsi="Arial" w:cs="Arial"/>
                <w:color w:val="000000" w:themeColor="text1"/>
              </w:rPr>
              <w:t xml:space="preserve">, traditional, </w:t>
            </w:r>
            <w:r>
              <w:rPr>
                <w:rFonts w:ascii="Arial" w:hAnsi="Arial" w:cs="Arial"/>
                <w:color w:val="000000" w:themeColor="text1"/>
              </w:rPr>
              <w:t>web</w:t>
            </w:r>
            <w:r w:rsidR="00675C00">
              <w:rPr>
                <w:rFonts w:ascii="Arial" w:hAnsi="Arial" w:cs="Arial"/>
                <w:color w:val="000000" w:themeColor="text1"/>
              </w:rPr>
              <w:t xml:space="preserve"> and</w:t>
            </w:r>
            <w:r>
              <w:rPr>
                <w:rFonts w:ascii="Arial" w:hAnsi="Arial" w:cs="Arial"/>
                <w:color w:val="000000" w:themeColor="text1"/>
              </w:rPr>
              <w:t xml:space="preserve"> </w:t>
            </w:r>
            <w:r w:rsidR="00675C00">
              <w:rPr>
                <w:rFonts w:ascii="Arial" w:hAnsi="Arial" w:cs="Arial"/>
                <w:color w:val="000000" w:themeColor="text1"/>
              </w:rPr>
              <w:t>hybrid</w:t>
            </w:r>
            <w:r w:rsidR="008D7CAA">
              <w:rPr>
                <w:rFonts w:ascii="Arial" w:hAnsi="Arial" w:cs="Arial"/>
                <w:color w:val="000000" w:themeColor="text1"/>
              </w:rPr>
              <w:t>.</w:t>
            </w:r>
          </w:p>
          <w:p w:rsidR="00675C00" w:rsidRDefault="00675C00" w:rsidP="00207C4C">
            <w:pPr>
              <w:pStyle w:val="ListParagraph"/>
              <w:numPr>
                <w:ilvl w:val="0"/>
                <w:numId w:val="13"/>
              </w:numPr>
              <w:rPr>
                <w:rFonts w:ascii="Arial" w:hAnsi="Arial" w:cs="Arial"/>
                <w:color w:val="000000" w:themeColor="text1"/>
              </w:rPr>
            </w:pPr>
            <w:r>
              <w:rPr>
                <w:rFonts w:ascii="Arial" w:hAnsi="Arial" w:cs="Arial"/>
                <w:color w:val="000000" w:themeColor="text1"/>
              </w:rPr>
              <w:t>Incorporated review sessions for accounting and economics web classes.</w:t>
            </w:r>
          </w:p>
          <w:p w:rsidR="00675C00" w:rsidRDefault="00675C00" w:rsidP="00207C4C">
            <w:pPr>
              <w:pStyle w:val="ListParagraph"/>
              <w:numPr>
                <w:ilvl w:val="0"/>
                <w:numId w:val="13"/>
              </w:numPr>
              <w:rPr>
                <w:rFonts w:ascii="Arial" w:hAnsi="Arial" w:cs="Arial"/>
                <w:color w:val="000000" w:themeColor="text1"/>
              </w:rPr>
            </w:pPr>
            <w:r>
              <w:rPr>
                <w:rFonts w:ascii="Arial" w:hAnsi="Arial" w:cs="Arial"/>
                <w:color w:val="000000" w:themeColor="text1"/>
              </w:rPr>
              <w:t>Redesigned traditional accounting principle classes with a contextual learning approach</w:t>
            </w:r>
            <w:r w:rsidR="008D7CAA">
              <w:rPr>
                <w:rFonts w:ascii="Arial" w:hAnsi="Arial" w:cs="Arial"/>
                <w:color w:val="000000" w:themeColor="text1"/>
              </w:rPr>
              <w:t>.</w:t>
            </w:r>
          </w:p>
          <w:p w:rsidR="00675C00" w:rsidRPr="0037786D" w:rsidRDefault="00675C00" w:rsidP="00207C4C">
            <w:pPr>
              <w:pStyle w:val="ListParagraph"/>
              <w:numPr>
                <w:ilvl w:val="0"/>
                <w:numId w:val="13"/>
              </w:numPr>
              <w:rPr>
                <w:rFonts w:ascii="Arial" w:hAnsi="Arial" w:cs="Arial"/>
                <w:color w:val="000000" w:themeColor="text1"/>
              </w:rPr>
            </w:pPr>
            <w:r>
              <w:rPr>
                <w:rFonts w:ascii="Arial" w:hAnsi="Arial" w:cs="Arial"/>
                <w:color w:val="000000" w:themeColor="text1"/>
              </w:rPr>
              <w:t xml:space="preserve">Working with Tutorial Services we have staffed the former accounting lab (5213) with tutors </w:t>
            </w:r>
            <w:r w:rsidR="00845162">
              <w:rPr>
                <w:rFonts w:ascii="Arial" w:hAnsi="Arial" w:cs="Arial"/>
                <w:color w:val="000000" w:themeColor="text1"/>
              </w:rPr>
              <w:t>to assist accounting and economics principle students.</w:t>
            </w:r>
          </w:p>
        </w:tc>
      </w:tr>
      <w:tr w:rsidR="00326281" w:rsidTr="00326281">
        <w:trPr>
          <w:trHeight w:val="1101"/>
        </w:trPr>
        <w:tc>
          <w:tcPr>
            <w:tcW w:w="3690" w:type="dxa"/>
          </w:tcPr>
          <w:p w:rsidR="00326281" w:rsidRPr="0037786D" w:rsidRDefault="00326281" w:rsidP="0094204C">
            <w:pPr>
              <w:pStyle w:val="ListParagraph"/>
              <w:ind w:left="0"/>
              <w:rPr>
                <w:rFonts w:ascii="Arial" w:hAnsi="Arial" w:cs="Arial"/>
                <w:color w:val="000000" w:themeColor="text1"/>
              </w:rPr>
            </w:pPr>
            <w:r>
              <w:rPr>
                <w:rFonts w:ascii="Arial" w:hAnsi="Arial" w:cs="Arial"/>
              </w:rPr>
              <w:t xml:space="preserve">A </w:t>
            </w:r>
            <w:r w:rsidRPr="00D807AB">
              <w:rPr>
                <w:rFonts w:ascii="Arial" w:hAnsi="Arial" w:cs="Arial"/>
              </w:rPr>
              <w:t>long-standing view of the department has been the need for an accounting and economics resource lab that is effectively staffed with personnel qualified to assist at-risk stude</w:t>
            </w:r>
            <w:r>
              <w:rPr>
                <w:rFonts w:ascii="Arial" w:hAnsi="Arial" w:cs="Arial"/>
              </w:rPr>
              <w:t>nts.</w:t>
            </w:r>
          </w:p>
        </w:tc>
        <w:tc>
          <w:tcPr>
            <w:tcW w:w="2700" w:type="dxa"/>
          </w:tcPr>
          <w:p w:rsidR="00326281" w:rsidRDefault="00326281" w:rsidP="00637591">
            <w:pPr>
              <w:pStyle w:val="ListParagraph"/>
              <w:ind w:left="0"/>
              <w:rPr>
                <w:rFonts w:ascii="Arial" w:hAnsi="Arial" w:cs="Arial"/>
                <w:color w:val="000000" w:themeColor="text1"/>
              </w:rPr>
            </w:pPr>
          </w:p>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86741">
              <w:fldChar w:fldCharType="begin">
                <w:ffData>
                  <w:name w:val=""/>
                  <w:enabled/>
                  <w:calcOnExit w:val="0"/>
                  <w:checkBox>
                    <w:sizeAuto/>
                    <w:default w:val="0"/>
                  </w:checkBox>
                </w:ffData>
              </w:fldChar>
            </w:r>
            <w:r w:rsidR="00A4491A">
              <w:instrText xml:space="preserve"> FORMCHECKBOX </w:instrText>
            </w:r>
            <w:r w:rsidR="00486741">
              <w:fldChar w:fldCharType="separate"/>
            </w:r>
            <w:r w:rsidR="00486741">
              <w:fldChar w:fldCharType="end"/>
            </w:r>
          </w:p>
          <w:p w:rsidR="00326281" w:rsidRDefault="00326281" w:rsidP="00637591">
            <w:pPr>
              <w:pStyle w:val="ListParagraph"/>
              <w:ind w:left="0"/>
              <w:rPr>
                <w:rFonts w:ascii="Arial" w:hAnsi="Arial" w:cs="Arial"/>
                <w:color w:val="000000" w:themeColor="text1"/>
              </w:rPr>
            </w:pPr>
          </w:p>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486741">
              <w:fldChar w:fldCharType="begin">
                <w:ffData>
                  <w:name w:val=""/>
                  <w:enabled/>
                  <w:calcOnExit w:val="0"/>
                  <w:checkBox>
                    <w:sizeAuto/>
                    <w:default w:val="1"/>
                  </w:checkBox>
                </w:ffData>
              </w:fldChar>
            </w:r>
            <w:r w:rsidR="00A4491A">
              <w:instrText xml:space="preserve"> FORMCHECKBOX </w:instrText>
            </w:r>
            <w:r w:rsidR="00486741">
              <w:fldChar w:fldCharType="separate"/>
            </w:r>
            <w:r w:rsidR="00486741">
              <w:fldChar w:fldCharType="end"/>
            </w:r>
          </w:p>
          <w:p w:rsidR="00326281" w:rsidRDefault="00326281" w:rsidP="00637591">
            <w:pPr>
              <w:pStyle w:val="ListParagraph"/>
              <w:ind w:left="0"/>
              <w:rPr>
                <w:rFonts w:ascii="Arial" w:hAnsi="Arial" w:cs="Arial"/>
                <w:color w:val="000000" w:themeColor="text1"/>
              </w:rPr>
            </w:pPr>
          </w:p>
          <w:p w:rsidR="00326281" w:rsidRPr="0037786D"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86741">
              <w:fldChar w:fldCharType="begin">
                <w:ffData>
                  <w:name w:val="Check1"/>
                  <w:enabled/>
                  <w:calcOnExit w:val="0"/>
                  <w:checkBox>
                    <w:sizeAuto/>
                    <w:default w:val="0"/>
                  </w:checkBox>
                </w:ffData>
              </w:fldChar>
            </w:r>
            <w:r>
              <w:instrText xml:space="preserve"> FORMCHECKBOX </w:instrText>
            </w:r>
            <w:r w:rsidR="00486741">
              <w:fldChar w:fldCharType="separate"/>
            </w:r>
            <w:r w:rsidR="00486741">
              <w:fldChar w:fldCharType="end"/>
            </w:r>
          </w:p>
        </w:tc>
        <w:tc>
          <w:tcPr>
            <w:tcW w:w="6840" w:type="dxa"/>
          </w:tcPr>
          <w:p w:rsidR="00326281" w:rsidRPr="0037786D" w:rsidRDefault="00A4491A" w:rsidP="00A505B9">
            <w:pPr>
              <w:pStyle w:val="ListParagraph"/>
              <w:ind w:left="0"/>
              <w:rPr>
                <w:rFonts w:ascii="Arial" w:hAnsi="Arial" w:cs="Arial"/>
                <w:color w:val="000000" w:themeColor="text1"/>
              </w:rPr>
            </w:pPr>
            <w:r>
              <w:rPr>
                <w:rFonts w:ascii="Arial" w:hAnsi="Arial" w:cs="Arial"/>
                <w:color w:val="000000" w:themeColor="text1"/>
              </w:rPr>
              <w:t xml:space="preserve">Working with Tutorial Services we have staffed the former accounting lab (5213) with tutors to assist accounting and economics principle students. </w:t>
            </w:r>
          </w:p>
        </w:tc>
      </w:tr>
      <w:tr w:rsidR="00326281" w:rsidTr="00326281">
        <w:trPr>
          <w:trHeight w:val="1101"/>
        </w:trPr>
        <w:tc>
          <w:tcPr>
            <w:tcW w:w="3690" w:type="dxa"/>
          </w:tcPr>
          <w:p w:rsidR="00326281" w:rsidRPr="0037786D" w:rsidRDefault="00326281" w:rsidP="0094204C">
            <w:pPr>
              <w:pStyle w:val="ListParagraph"/>
              <w:ind w:left="0"/>
              <w:rPr>
                <w:rFonts w:ascii="Arial" w:hAnsi="Arial" w:cs="Arial"/>
                <w:color w:val="000000" w:themeColor="text1"/>
              </w:rPr>
            </w:pPr>
            <w:r>
              <w:rPr>
                <w:rFonts w:ascii="Arial" w:hAnsi="Arial" w:cs="Arial"/>
              </w:rPr>
              <w:lastRenderedPageBreak/>
              <w:t>The incorporation of International Financial Accounting Standards (IFRS) into the upper level courses and, potentially, the introductory classes, too.</w:t>
            </w:r>
          </w:p>
        </w:tc>
        <w:tc>
          <w:tcPr>
            <w:tcW w:w="2700" w:type="dxa"/>
          </w:tcPr>
          <w:p w:rsidR="00326281" w:rsidRDefault="00326281" w:rsidP="00637591">
            <w:pPr>
              <w:pStyle w:val="ListParagraph"/>
              <w:ind w:left="0"/>
              <w:rPr>
                <w:rFonts w:ascii="Arial" w:hAnsi="Arial" w:cs="Arial"/>
                <w:color w:val="000000" w:themeColor="text1"/>
              </w:rPr>
            </w:pPr>
          </w:p>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86741">
              <w:fldChar w:fldCharType="begin">
                <w:ffData>
                  <w:name w:val=""/>
                  <w:enabled/>
                  <w:calcOnExit w:val="0"/>
                  <w:checkBox>
                    <w:sizeAuto/>
                    <w:default w:val="1"/>
                  </w:checkBox>
                </w:ffData>
              </w:fldChar>
            </w:r>
            <w:r w:rsidR="00A4491A">
              <w:instrText xml:space="preserve"> FORMCHECKBOX </w:instrText>
            </w:r>
            <w:r w:rsidR="00486741">
              <w:fldChar w:fldCharType="separate"/>
            </w:r>
            <w:r w:rsidR="00486741">
              <w:fldChar w:fldCharType="end"/>
            </w:r>
          </w:p>
          <w:p w:rsidR="00326281" w:rsidRDefault="00326281" w:rsidP="00637591">
            <w:pPr>
              <w:pStyle w:val="ListParagraph"/>
              <w:ind w:left="0"/>
              <w:rPr>
                <w:rFonts w:ascii="Arial" w:hAnsi="Arial" w:cs="Arial"/>
                <w:color w:val="000000" w:themeColor="text1"/>
              </w:rPr>
            </w:pPr>
          </w:p>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486741">
              <w:fldChar w:fldCharType="begin">
                <w:ffData>
                  <w:name w:val=""/>
                  <w:enabled/>
                  <w:calcOnExit w:val="0"/>
                  <w:checkBox>
                    <w:sizeAuto/>
                    <w:default w:val="0"/>
                  </w:checkBox>
                </w:ffData>
              </w:fldChar>
            </w:r>
            <w:r w:rsidR="00A4491A">
              <w:instrText xml:space="preserve"> FORMCHECKBOX </w:instrText>
            </w:r>
            <w:r w:rsidR="00486741">
              <w:fldChar w:fldCharType="separate"/>
            </w:r>
            <w:r w:rsidR="00486741">
              <w:fldChar w:fldCharType="end"/>
            </w:r>
          </w:p>
          <w:p w:rsidR="00326281" w:rsidRDefault="00326281" w:rsidP="00637591">
            <w:pPr>
              <w:pStyle w:val="ListParagraph"/>
              <w:ind w:left="0"/>
              <w:rPr>
                <w:rFonts w:ascii="Arial" w:hAnsi="Arial" w:cs="Arial"/>
                <w:color w:val="000000" w:themeColor="text1"/>
              </w:rPr>
            </w:pPr>
          </w:p>
          <w:p w:rsidR="00326281" w:rsidRPr="0037786D"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86741">
              <w:fldChar w:fldCharType="begin">
                <w:ffData>
                  <w:name w:val="Check1"/>
                  <w:enabled/>
                  <w:calcOnExit w:val="0"/>
                  <w:checkBox>
                    <w:sizeAuto/>
                    <w:default w:val="0"/>
                  </w:checkBox>
                </w:ffData>
              </w:fldChar>
            </w:r>
            <w:r>
              <w:instrText xml:space="preserve"> FORMCHECKBOX </w:instrText>
            </w:r>
            <w:r w:rsidR="00486741">
              <w:fldChar w:fldCharType="separate"/>
            </w:r>
            <w:r w:rsidR="00486741">
              <w:fldChar w:fldCharType="end"/>
            </w:r>
          </w:p>
        </w:tc>
        <w:tc>
          <w:tcPr>
            <w:tcW w:w="6840" w:type="dxa"/>
          </w:tcPr>
          <w:p w:rsidR="00326281" w:rsidRPr="0037786D" w:rsidRDefault="00A4491A" w:rsidP="00A4491A">
            <w:pPr>
              <w:pStyle w:val="ListParagraph"/>
              <w:ind w:left="0"/>
              <w:rPr>
                <w:rFonts w:ascii="Arial" w:hAnsi="Arial" w:cs="Arial"/>
                <w:color w:val="000000" w:themeColor="text1"/>
              </w:rPr>
            </w:pPr>
            <w:r w:rsidRPr="00A4491A">
              <w:rPr>
                <w:rFonts w:ascii="Arial" w:hAnsi="Arial" w:cs="Arial"/>
                <w:color w:val="000000" w:themeColor="text1"/>
              </w:rPr>
              <w:t xml:space="preserve">The incorporation of International Financial Accounting Standards (IFRS) </w:t>
            </w:r>
            <w:r>
              <w:rPr>
                <w:rFonts w:ascii="Arial" w:hAnsi="Arial" w:cs="Arial"/>
                <w:color w:val="000000" w:themeColor="text1"/>
              </w:rPr>
              <w:t>is being integrated into upper level classes.  This will be an ongoing goal as it is incorporated into U.S. accounting.</w:t>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tblPr>
      <w:tblGrid>
        <w:gridCol w:w="3708"/>
        <w:gridCol w:w="2700"/>
        <w:gridCol w:w="6480"/>
      </w:tblGrid>
      <w:tr w:rsidR="004C52FC" w:rsidRPr="0037786D" w:rsidTr="00326281">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326281" w:rsidRPr="0037786D" w:rsidTr="00326281">
        <w:tc>
          <w:tcPr>
            <w:tcW w:w="3708" w:type="dxa"/>
          </w:tcPr>
          <w:p w:rsidR="00326281" w:rsidRPr="00D07030" w:rsidRDefault="00326281" w:rsidP="00D07030">
            <w:pPr>
              <w:rPr>
                <w:rFonts w:ascii="Arial" w:hAnsi="Arial" w:cs="Arial"/>
              </w:rPr>
            </w:pPr>
            <w:r w:rsidRPr="00D07030">
              <w:rPr>
                <w:rFonts w:ascii="Arial" w:hAnsi="Arial" w:cs="Arial"/>
              </w:rPr>
              <w:t xml:space="preserve">It is important that the department develop a more complete understanding of why students are not completing the associate degree and explore strategies to improve acceptance of Sinclair courses by four year institutions.  </w:t>
            </w:r>
          </w:p>
          <w:p w:rsidR="00326281" w:rsidRPr="0037786D" w:rsidRDefault="00326281" w:rsidP="003E791C">
            <w:pPr>
              <w:pStyle w:val="ListParagraph"/>
              <w:ind w:left="0"/>
              <w:rPr>
                <w:rFonts w:ascii="Arial" w:hAnsi="Arial" w:cs="Arial"/>
                <w:color w:val="000000" w:themeColor="text1"/>
              </w:rPr>
            </w:pPr>
          </w:p>
        </w:tc>
        <w:tc>
          <w:tcPr>
            <w:tcW w:w="2700" w:type="dxa"/>
          </w:tcPr>
          <w:p w:rsidR="00326281" w:rsidRDefault="00326281" w:rsidP="00637591">
            <w:pPr>
              <w:pStyle w:val="ListParagraph"/>
              <w:ind w:left="0"/>
              <w:rPr>
                <w:rFonts w:ascii="Arial" w:hAnsi="Arial" w:cs="Arial"/>
                <w:color w:val="000000" w:themeColor="text1"/>
              </w:rPr>
            </w:pPr>
          </w:p>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86741">
              <w:fldChar w:fldCharType="begin">
                <w:ffData>
                  <w:name w:val=""/>
                  <w:enabled/>
                  <w:calcOnExit w:val="0"/>
                  <w:checkBox>
                    <w:sizeAuto/>
                    <w:default w:val="1"/>
                  </w:checkBox>
                </w:ffData>
              </w:fldChar>
            </w:r>
            <w:r w:rsidR="00207C4C">
              <w:instrText xml:space="preserve"> FORMCHECKBOX </w:instrText>
            </w:r>
            <w:r w:rsidR="00486741">
              <w:fldChar w:fldCharType="separate"/>
            </w:r>
            <w:r w:rsidR="00486741">
              <w:fldChar w:fldCharType="end"/>
            </w:r>
          </w:p>
          <w:p w:rsidR="00326281" w:rsidRDefault="00326281" w:rsidP="00637591">
            <w:pPr>
              <w:pStyle w:val="ListParagraph"/>
              <w:ind w:left="0"/>
              <w:rPr>
                <w:rFonts w:ascii="Arial" w:hAnsi="Arial" w:cs="Arial"/>
                <w:color w:val="000000" w:themeColor="text1"/>
              </w:rPr>
            </w:pPr>
          </w:p>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486741">
              <w:fldChar w:fldCharType="begin">
                <w:ffData>
                  <w:name w:val="Check1"/>
                  <w:enabled/>
                  <w:calcOnExit w:val="0"/>
                  <w:checkBox>
                    <w:sizeAuto/>
                    <w:default w:val="0"/>
                  </w:checkBox>
                </w:ffData>
              </w:fldChar>
            </w:r>
            <w:r>
              <w:instrText xml:space="preserve"> FORMCHECKBOX </w:instrText>
            </w:r>
            <w:r w:rsidR="00486741">
              <w:fldChar w:fldCharType="separate"/>
            </w:r>
            <w:r w:rsidR="00486741">
              <w:fldChar w:fldCharType="end"/>
            </w:r>
          </w:p>
          <w:p w:rsidR="00326281" w:rsidRDefault="00326281" w:rsidP="00637591">
            <w:pPr>
              <w:pStyle w:val="ListParagraph"/>
              <w:ind w:left="0"/>
              <w:rPr>
                <w:rFonts w:ascii="Arial" w:hAnsi="Arial" w:cs="Arial"/>
                <w:color w:val="000000" w:themeColor="text1"/>
              </w:rPr>
            </w:pPr>
          </w:p>
          <w:p w:rsidR="00326281" w:rsidRPr="0037786D"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86741">
              <w:fldChar w:fldCharType="begin">
                <w:ffData>
                  <w:name w:val="Check1"/>
                  <w:enabled/>
                  <w:calcOnExit w:val="0"/>
                  <w:checkBox>
                    <w:sizeAuto/>
                    <w:default w:val="0"/>
                  </w:checkBox>
                </w:ffData>
              </w:fldChar>
            </w:r>
            <w:r>
              <w:instrText xml:space="preserve"> FORMCHECKBOX </w:instrText>
            </w:r>
            <w:r w:rsidR="00486741">
              <w:fldChar w:fldCharType="separate"/>
            </w:r>
            <w:r w:rsidR="00486741">
              <w:fldChar w:fldCharType="end"/>
            </w:r>
          </w:p>
        </w:tc>
        <w:tc>
          <w:tcPr>
            <w:tcW w:w="6480" w:type="dxa"/>
          </w:tcPr>
          <w:p w:rsidR="00326281" w:rsidRDefault="00207C4C" w:rsidP="00A505B9">
            <w:pPr>
              <w:pStyle w:val="ListParagraph"/>
              <w:ind w:left="0"/>
              <w:rPr>
                <w:rFonts w:ascii="Arial" w:hAnsi="Arial" w:cs="Arial"/>
                <w:color w:val="000000" w:themeColor="text1"/>
              </w:rPr>
            </w:pPr>
            <w:r>
              <w:rPr>
                <w:rFonts w:ascii="Arial" w:hAnsi="Arial" w:cs="Arial"/>
                <w:color w:val="000000" w:themeColor="text1"/>
              </w:rPr>
              <w:t>No formal study into why students do not complete accounting degree.</w:t>
            </w:r>
            <w:r w:rsidR="008E155C">
              <w:rPr>
                <w:rFonts w:ascii="Arial" w:hAnsi="Arial" w:cs="Arial"/>
                <w:color w:val="000000" w:themeColor="text1"/>
              </w:rPr>
              <w:t xml:space="preserve">  This we do know:</w:t>
            </w:r>
          </w:p>
          <w:p w:rsidR="00207C4C" w:rsidRDefault="008E155C" w:rsidP="00207C4C">
            <w:pPr>
              <w:pStyle w:val="ListParagraph"/>
              <w:numPr>
                <w:ilvl w:val="0"/>
                <w:numId w:val="12"/>
              </w:numPr>
              <w:rPr>
                <w:rFonts w:ascii="Arial" w:hAnsi="Arial" w:cs="Arial"/>
                <w:color w:val="000000" w:themeColor="text1"/>
              </w:rPr>
            </w:pPr>
            <w:r>
              <w:rPr>
                <w:rFonts w:ascii="Arial" w:hAnsi="Arial" w:cs="Arial"/>
                <w:color w:val="000000" w:themeColor="text1"/>
              </w:rPr>
              <w:t>257% increase in graduation rates since 2007. (14 students in 2007 and 50 students in 2012)</w:t>
            </w:r>
          </w:p>
          <w:p w:rsidR="008E155C" w:rsidRDefault="008E155C" w:rsidP="008E155C">
            <w:pPr>
              <w:pStyle w:val="ListParagraph"/>
              <w:numPr>
                <w:ilvl w:val="0"/>
                <w:numId w:val="12"/>
              </w:numPr>
              <w:rPr>
                <w:rFonts w:ascii="Arial" w:hAnsi="Arial" w:cs="Arial"/>
                <w:color w:val="000000" w:themeColor="text1"/>
              </w:rPr>
            </w:pPr>
            <w:r>
              <w:rPr>
                <w:rFonts w:ascii="Arial" w:hAnsi="Arial" w:cs="Arial"/>
                <w:color w:val="000000" w:themeColor="text1"/>
              </w:rPr>
              <w:t>Many declared accounting majors are students planning to transfer to four year universities and only take the accounting principles classes.</w:t>
            </w:r>
          </w:p>
          <w:p w:rsidR="008E155C" w:rsidRPr="0037786D" w:rsidRDefault="008E155C" w:rsidP="008E155C">
            <w:pPr>
              <w:pStyle w:val="ListParagraph"/>
              <w:numPr>
                <w:ilvl w:val="0"/>
                <w:numId w:val="12"/>
              </w:numPr>
              <w:rPr>
                <w:rFonts w:ascii="Arial" w:hAnsi="Arial" w:cs="Arial"/>
                <w:color w:val="000000" w:themeColor="text1"/>
              </w:rPr>
            </w:pPr>
            <w:r>
              <w:rPr>
                <w:rFonts w:ascii="Arial" w:hAnsi="Arial" w:cs="Arial"/>
                <w:color w:val="000000" w:themeColor="text1"/>
              </w:rPr>
              <w:t>Many declared accounting majors are students that already have a bachelor or master’s degree and are taking upper level courses to be CPA eligible.</w:t>
            </w:r>
          </w:p>
        </w:tc>
      </w:tr>
      <w:tr w:rsidR="00326281" w:rsidRPr="0037786D" w:rsidTr="00326281">
        <w:tc>
          <w:tcPr>
            <w:tcW w:w="3708" w:type="dxa"/>
          </w:tcPr>
          <w:p w:rsidR="00326281" w:rsidRPr="00D07030" w:rsidRDefault="00326281" w:rsidP="00D07030">
            <w:pPr>
              <w:rPr>
                <w:rFonts w:ascii="Arial" w:hAnsi="Arial" w:cs="Arial"/>
              </w:rPr>
            </w:pPr>
            <w:r w:rsidRPr="00D07030">
              <w:rPr>
                <w:rFonts w:ascii="Arial" w:hAnsi="Arial" w:cs="Arial"/>
              </w:rPr>
              <w:t xml:space="preserve">Investigate the need for developing a certificate program for those students who only want to enroll in particular courses and are not seeking an associate degree. </w:t>
            </w:r>
          </w:p>
          <w:p w:rsidR="00326281" w:rsidRPr="0037786D" w:rsidRDefault="00326281" w:rsidP="003E791C">
            <w:pPr>
              <w:pStyle w:val="ListParagraph"/>
              <w:ind w:left="0"/>
              <w:rPr>
                <w:rFonts w:ascii="Arial" w:hAnsi="Arial" w:cs="Arial"/>
                <w:color w:val="000000" w:themeColor="text1"/>
              </w:rPr>
            </w:pPr>
          </w:p>
        </w:tc>
        <w:tc>
          <w:tcPr>
            <w:tcW w:w="2700" w:type="dxa"/>
          </w:tcPr>
          <w:p w:rsidR="00326281" w:rsidRDefault="00326281" w:rsidP="00637591">
            <w:pPr>
              <w:pStyle w:val="ListParagraph"/>
              <w:ind w:left="0"/>
              <w:rPr>
                <w:rFonts w:ascii="Arial" w:hAnsi="Arial" w:cs="Arial"/>
                <w:color w:val="000000" w:themeColor="text1"/>
              </w:rPr>
            </w:pPr>
          </w:p>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86741">
              <w:fldChar w:fldCharType="begin">
                <w:ffData>
                  <w:name w:val="Check1"/>
                  <w:enabled/>
                  <w:calcOnExit w:val="0"/>
                  <w:checkBox>
                    <w:sizeAuto/>
                    <w:default w:val="0"/>
                  </w:checkBox>
                </w:ffData>
              </w:fldChar>
            </w:r>
            <w:r>
              <w:instrText xml:space="preserve"> FORMCHECKBOX </w:instrText>
            </w:r>
            <w:r w:rsidR="00486741">
              <w:fldChar w:fldCharType="separate"/>
            </w:r>
            <w:r w:rsidR="00486741">
              <w:fldChar w:fldCharType="end"/>
            </w:r>
          </w:p>
          <w:p w:rsidR="00326281" w:rsidRDefault="00326281" w:rsidP="00637591">
            <w:pPr>
              <w:pStyle w:val="ListParagraph"/>
              <w:ind w:left="0"/>
              <w:rPr>
                <w:rFonts w:ascii="Arial" w:hAnsi="Arial" w:cs="Arial"/>
                <w:color w:val="000000" w:themeColor="text1"/>
              </w:rPr>
            </w:pPr>
          </w:p>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486741">
              <w:fldChar w:fldCharType="begin">
                <w:ffData>
                  <w:name w:val=""/>
                  <w:enabled/>
                  <w:calcOnExit w:val="0"/>
                  <w:checkBox>
                    <w:sizeAuto/>
                    <w:default w:val="1"/>
                  </w:checkBox>
                </w:ffData>
              </w:fldChar>
            </w:r>
            <w:r w:rsidR="008E155C">
              <w:instrText xml:space="preserve"> FORMCHECKBOX </w:instrText>
            </w:r>
            <w:r w:rsidR="00486741">
              <w:fldChar w:fldCharType="separate"/>
            </w:r>
            <w:r w:rsidR="00486741">
              <w:fldChar w:fldCharType="end"/>
            </w:r>
          </w:p>
          <w:p w:rsidR="00326281" w:rsidRDefault="00326281" w:rsidP="00637591">
            <w:pPr>
              <w:pStyle w:val="ListParagraph"/>
              <w:ind w:left="0"/>
              <w:rPr>
                <w:rFonts w:ascii="Arial" w:hAnsi="Arial" w:cs="Arial"/>
                <w:color w:val="000000" w:themeColor="text1"/>
              </w:rPr>
            </w:pPr>
          </w:p>
          <w:p w:rsidR="00326281" w:rsidRPr="0037786D"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86741">
              <w:fldChar w:fldCharType="begin">
                <w:ffData>
                  <w:name w:val="Check1"/>
                  <w:enabled/>
                  <w:calcOnExit w:val="0"/>
                  <w:checkBox>
                    <w:sizeAuto/>
                    <w:default w:val="0"/>
                  </w:checkBox>
                </w:ffData>
              </w:fldChar>
            </w:r>
            <w:r>
              <w:instrText xml:space="preserve"> FORMCHECKBOX </w:instrText>
            </w:r>
            <w:r w:rsidR="00486741">
              <w:fldChar w:fldCharType="separate"/>
            </w:r>
            <w:r w:rsidR="00486741">
              <w:fldChar w:fldCharType="end"/>
            </w:r>
          </w:p>
        </w:tc>
        <w:tc>
          <w:tcPr>
            <w:tcW w:w="6480" w:type="dxa"/>
          </w:tcPr>
          <w:p w:rsidR="00B70D5A" w:rsidRDefault="003263AE" w:rsidP="00B70D5A">
            <w:pPr>
              <w:pStyle w:val="ListParagraph"/>
              <w:ind w:left="0"/>
              <w:rPr>
                <w:rFonts w:ascii="Arial" w:hAnsi="Arial" w:cs="Arial"/>
                <w:color w:val="000000" w:themeColor="text1"/>
              </w:rPr>
            </w:pPr>
            <w:r w:rsidRPr="003263AE">
              <w:rPr>
                <w:rFonts w:ascii="Arial" w:hAnsi="Arial" w:cs="Arial"/>
                <w:color w:val="000000" w:themeColor="text1"/>
              </w:rPr>
              <w:t xml:space="preserve">The accounting department has revamped its tax certificate to attract a new market.  The revised tax certificate </w:t>
            </w:r>
            <w:r w:rsidR="00B70D5A">
              <w:rPr>
                <w:rFonts w:ascii="Arial" w:hAnsi="Arial" w:cs="Arial"/>
                <w:color w:val="000000" w:themeColor="text1"/>
              </w:rPr>
              <w:t xml:space="preserve">was implemented in the </w:t>
            </w:r>
            <w:r w:rsidRPr="003263AE">
              <w:rPr>
                <w:rFonts w:ascii="Arial" w:hAnsi="Arial" w:cs="Arial"/>
                <w:color w:val="000000" w:themeColor="text1"/>
              </w:rPr>
              <w:t>semester</w:t>
            </w:r>
            <w:r w:rsidR="00B70D5A">
              <w:rPr>
                <w:rFonts w:ascii="Arial" w:hAnsi="Arial" w:cs="Arial"/>
                <w:color w:val="000000" w:themeColor="text1"/>
              </w:rPr>
              <w:t xml:space="preserve"> curriculum. We anticipate an increase in tax certificates for the following reasons.</w:t>
            </w:r>
          </w:p>
          <w:p w:rsidR="00B70D5A" w:rsidRDefault="00B70D5A" w:rsidP="00B70D5A">
            <w:pPr>
              <w:pStyle w:val="ListParagraph"/>
              <w:numPr>
                <w:ilvl w:val="0"/>
                <w:numId w:val="14"/>
              </w:numPr>
              <w:rPr>
                <w:rFonts w:ascii="Arial" w:hAnsi="Arial" w:cs="Arial"/>
                <w:color w:val="000000" w:themeColor="text1"/>
              </w:rPr>
            </w:pPr>
            <w:r>
              <w:rPr>
                <w:rFonts w:ascii="Arial" w:hAnsi="Arial" w:cs="Arial"/>
                <w:color w:val="000000" w:themeColor="text1"/>
              </w:rPr>
              <w:t>T</w:t>
            </w:r>
            <w:r w:rsidR="003263AE" w:rsidRPr="003263AE">
              <w:rPr>
                <w:rFonts w:ascii="Arial" w:hAnsi="Arial" w:cs="Arial"/>
                <w:color w:val="000000" w:themeColor="text1"/>
              </w:rPr>
              <w:t>he federal government’s requirement for all tax prepare</w:t>
            </w:r>
            <w:r w:rsidR="0062085F">
              <w:rPr>
                <w:rFonts w:ascii="Arial" w:hAnsi="Arial" w:cs="Arial"/>
                <w:color w:val="000000" w:themeColor="text1"/>
              </w:rPr>
              <w:t>r</w:t>
            </w:r>
            <w:r w:rsidR="003263AE" w:rsidRPr="003263AE">
              <w:rPr>
                <w:rFonts w:ascii="Arial" w:hAnsi="Arial" w:cs="Arial"/>
                <w:color w:val="000000" w:themeColor="text1"/>
              </w:rPr>
              <w:t xml:space="preserve">s to be licensed by 2013. </w:t>
            </w:r>
          </w:p>
          <w:p w:rsidR="00326281" w:rsidRPr="0037786D" w:rsidRDefault="003263AE" w:rsidP="00B70D5A">
            <w:pPr>
              <w:pStyle w:val="ListParagraph"/>
              <w:numPr>
                <w:ilvl w:val="0"/>
                <w:numId w:val="14"/>
              </w:numPr>
              <w:rPr>
                <w:rFonts w:ascii="Arial" w:hAnsi="Arial" w:cs="Arial"/>
                <w:color w:val="000000" w:themeColor="text1"/>
              </w:rPr>
            </w:pPr>
            <w:r w:rsidRPr="003263AE">
              <w:rPr>
                <w:rFonts w:ascii="Arial" w:hAnsi="Arial" w:cs="Arial"/>
                <w:color w:val="000000" w:themeColor="text1"/>
              </w:rPr>
              <w:t>The new tax certificate is stackable allowing student to complete first and then complet</w:t>
            </w:r>
            <w:r w:rsidR="00B70D5A">
              <w:rPr>
                <w:rFonts w:ascii="Arial" w:hAnsi="Arial" w:cs="Arial"/>
                <w:color w:val="000000" w:themeColor="text1"/>
              </w:rPr>
              <w:t>e the two year degree.</w:t>
            </w:r>
          </w:p>
        </w:tc>
      </w:tr>
      <w:tr w:rsidR="00326281" w:rsidRPr="0037786D" w:rsidTr="00326281">
        <w:tc>
          <w:tcPr>
            <w:tcW w:w="3708" w:type="dxa"/>
          </w:tcPr>
          <w:p w:rsidR="00326281" w:rsidRPr="00D07030" w:rsidRDefault="00326281" w:rsidP="00D07030">
            <w:pPr>
              <w:rPr>
                <w:rFonts w:ascii="Arial" w:hAnsi="Arial" w:cs="Arial"/>
              </w:rPr>
            </w:pPr>
            <w:r w:rsidRPr="00D07030">
              <w:rPr>
                <w:rFonts w:ascii="Arial" w:hAnsi="Arial" w:cs="Arial"/>
              </w:rPr>
              <w:t>Secure additional high quality internship and coop opportunities for students.</w:t>
            </w:r>
          </w:p>
          <w:p w:rsidR="00326281" w:rsidRPr="0037786D" w:rsidRDefault="00326281" w:rsidP="003E791C">
            <w:pPr>
              <w:pStyle w:val="ListParagraph"/>
              <w:ind w:left="0"/>
              <w:rPr>
                <w:rFonts w:ascii="Arial" w:hAnsi="Arial" w:cs="Arial"/>
                <w:color w:val="000000" w:themeColor="text1"/>
              </w:rPr>
            </w:pPr>
          </w:p>
        </w:tc>
        <w:tc>
          <w:tcPr>
            <w:tcW w:w="2700" w:type="dxa"/>
          </w:tcPr>
          <w:p w:rsidR="00326281" w:rsidRDefault="00326281" w:rsidP="00637591">
            <w:pPr>
              <w:pStyle w:val="ListParagraph"/>
              <w:ind w:left="0"/>
              <w:rPr>
                <w:rFonts w:ascii="Arial" w:hAnsi="Arial" w:cs="Arial"/>
                <w:color w:val="000000" w:themeColor="text1"/>
              </w:rPr>
            </w:pPr>
          </w:p>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86741">
              <w:fldChar w:fldCharType="begin">
                <w:ffData>
                  <w:name w:val=""/>
                  <w:enabled/>
                  <w:calcOnExit w:val="0"/>
                  <w:checkBox>
                    <w:sizeAuto/>
                    <w:default w:val="1"/>
                  </w:checkBox>
                </w:ffData>
              </w:fldChar>
            </w:r>
            <w:r w:rsidR="00FA6F3F">
              <w:instrText xml:space="preserve"> FORMCHECKBOX </w:instrText>
            </w:r>
            <w:r w:rsidR="00486741">
              <w:fldChar w:fldCharType="separate"/>
            </w:r>
            <w:r w:rsidR="00486741">
              <w:fldChar w:fldCharType="end"/>
            </w:r>
          </w:p>
          <w:p w:rsidR="00326281" w:rsidRDefault="00326281" w:rsidP="00637591">
            <w:pPr>
              <w:pStyle w:val="ListParagraph"/>
              <w:ind w:left="0"/>
              <w:rPr>
                <w:rFonts w:ascii="Arial" w:hAnsi="Arial" w:cs="Arial"/>
                <w:color w:val="000000" w:themeColor="text1"/>
              </w:rPr>
            </w:pPr>
          </w:p>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486741">
              <w:fldChar w:fldCharType="begin">
                <w:ffData>
                  <w:name w:val="Check1"/>
                  <w:enabled/>
                  <w:calcOnExit w:val="0"/>
                  <w:checkBox>
                    <w:sizeAuto/>
                    <w:default w:val="0"/>
                  </w:checkBox>
                </w:ffData>
              </w:fldChar>
            </w:r>
            <w:r>
              <w:instrText xml:space="preserve"> FORMCHECKBOX </w:instrText>
            </w:r>
            <w:r w:rsidR="00486741">
              <w:fldChar w:fldCharType="separate"/>
            </w:r>
            <w:r w:rsidR="00486741">
              <w:fldChar w:fldCharType="end"/>
            </w:r>
          </w:p>
          <w:p w:rsidR="00326281" w:rsidRDefault="00326281" w:rsidP="00637591">
            <w:pPr>
              <w:pStyle w:val="ListParagraph"/>
              <w:ind w:left="0"/>
              <w:rPr>
                <w:rFonts w:ascii="Arial" w:hAnsi="Arial" w:cs="Arial"/>
                <w:color w:val="000000" w:themeColor="text1"/>
              </w:rPr>
            </w:pPr>
          </w:p>
          <w:p w:rsidR="00326281" w:rsidRPr="0037786D"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86741">
              <w:fldChar w:fldCharType="begin">
                <w:ffData>
                  <w:name w:val="Check1"/>
                  <w:enabled/>
                  <w:calcOnExit w:val="0"/>
                  <w:checkBox>
                    <w:sizeAuto/>
                    <w:default w:val="0"/>
                  </w:checkBox>
                </w:ffData>
              </w:fldChar>
            </w:r>
            <w:r>
              <w:instrText xml:space="preserve"> FORMCHECKBOX </w:instrText>
            </w:r>
            <w:r w:rsidR="00486741">
              <w:fldChar w:fldCharType="separate"/>
            </w:r>
            <w:r w:rsidR="00486741">
              <w:fldChar w:fldCharType="end"/>
            </w:r>
          </w:p>
        </w:tc>
        <w:tc>
          <w:tcPr>
            <w:tcW w:w="6480" w:type="dxa"/>
          </w:tcPr>
          <w:p w:rsidR="00FA6F3F" w:rsidRPr="00FA6F3F" w:rsidRDefault="00FA6F3F" w:rsidP="00FA6F3F">
            <w:pPr>
              <w:rPr>
                <w:rFonts w:ascii="Arial" w:hAnsi="Arial" w:cs="Arial"/>
                <w:color w:val="000000" w:themeColor="text1"/>
              </w:rPr>
            </w:pPr>
            <w:r w:rsidRPr="00FA6F3F">
              <w:rPr>
                <w:rFonts w:ascii="Arial" w:hAnsi="Arial" w:cs="Arial"/>
                <w:color w:val="000000" w:themeColor="text1"/>
              </w:rPr>
              <w:t xml:space="preserve">We have cultivated a relationship with </w:t>
            </w:r>
            <w:r w:rsidR="0062085F">
              <w:rPr>
                <w:rFonts w:ascii="Arial" w:hAnsi="Arial" w:cs="Arial"/>
                <w:color w:val="000000" w:themeColor="text1"/>
              </w:rPr>
              <w:t xml:space="preserve">a </w:t>
            </w:r>
            <w:r w:rsidRPr="00FA6F3F">
              <w:rPr>
                <w:rFonts w:ascii="Arial" w:hAnsi="Arial" w:cs="Arial"/>
                <w:color w:val="000000" w:themeColor="text1"/>
              </w:rPr>
              <w:t xml:space="preserve">small accounting firm, McGraw Timmons.  This relationship has yielded </w:t>
            </w:r>
            <w:r>
              <w:rPr>
                <w:rFonts w:ascii="Arial" w:hAnsi="Arial" w:cs="Arial"/>
                <w:color w:val="000000" w:themeColor="text1"/>
              </w:rPr>
              <w:t>multiple internships.</w:t>
            </w:r>
          </w:p>
          <w:p w:rsidR="00326281" w:rsidRPr="0037786D" w:rsidRDefault="00FA6F3F" w:rsidP="00FA6F3F">
            <w:pPr>
              <w:pStyle w:val="ListParagraph"/>
              <w:ind w:left="0"/>
              <w:rPr>
                <w:rFonts w:ascii="Arial" w:hAnsi="Arial" w:cs="Arial"/>
                <w:color w:val="000000" w:themeColor="text1"/>
              </w:rPr>
            </w:pPr>
            <w:r w:rsidRPr="00FA6F3F">
              <w:rPr>
                <w:rFonts w:ascii="Arial" w:hAnsi="Arial" w:cs="Arial"/>
                <w:color w:val="000000" w:themeColor="text1"/>
              </w:rPr>
              <w:t>The department has become more active in Financial Executives International (FEI).  As a part of this initiative we are hoping to develop more high quality contacts in the financial field in the Dayton area.</w:t>
            </w:r>
          </w:p>
        </w:tc>
      </w:tr>
      <w:tr w:rsidR="00326281" w:rsidRPr="0037786D" w:rsidTr="00326281">
        <w:tc>
          <w:tcPr>
            <w:tcW w:w="3708" w:type="dxa"/>
          </w:tcPr>
          <w:p w:rsidR="00326281" w:rsidRPr="0037786D" w:rsidRDefault="00326281" w:rsidP="003E791C">
            <w:pPr>
              <w:pStyle w:val="ListParagraph"/>
              <w:ind w:left="0"/>
              <w:rPr>
                <w:rFonts w:ascii="Arial" w:hAnsi="Arial" w:cs="Arial"/>
                <w:color w:val="000000" w:themeColor="text1"/>
              </w:rPr>
            </w:pPr>
            <w:r w:rsidRPr="0087351B">
              <w:rPr>
                <w:rFonts w:ascii="Arial" w:hAnsi="Arial" w:cs="Arial"/>
              </w:rPr>
              <w:t xml:space="preserve">Develop means to document direct measures of general education </w:t>
            </w:r>
            <w:r>
              <w:rPr>
                <w:rFonts w:ascii="Arial" w:hAnsi="Arial" w:cs="Arial"/>
              </w:rPr>
              <w:t xml:space="preserve">outcomes </w:t>
            </w:r>
            <w:r w:rsidRPr="0087351B">
              <w:rPr>
                <w:rFonts w:ascii="Arial" w:hAnsi="Arial" w:cs="Arial"/>
              </w:rPr>
              <w:t>and program outcomes</w:t>
            </w:r>
            <w:r>
              <w:rPr>
                <w:rFonts w:ascii="Arial" w:hAnsi="Arial" w:cs="Arial"/>
              </w:rPr>
              <w:t>,</w:t>
            </w:r>
            <w:r w:rsidRPr="0087351B">
              <w:rPr>
                <w:rFonts w:ascii="Arial" w:hAnsi="Arial" w:cs="Arial"/>
              </w:rPr>
              <w:t xml:space="preserve"> and demonstrate how data are being used to improve learning outcomes</w:t>
            </w:r>
          </w:p>
        </w:tc>
        <w:tc>
          <w:tcPr>
            <w:tcW w:w="2700" w:type="dxa"/>
          </w:tcPr>
          <w:p w:rsidR="00326281" w:rsidRDefault="00326281" w:rsidP="00637591">
            <w:pPr>
              <w:pStyle w:val="ListParagraph"/>
              <w:ind w:left="0"/>
              <w:rPr>
                <w:rFonts w:ascii="Arial" w:hAnsi="Arial" w:cs="Arial"/>
                <w:color w:val="000000" w:themeColor="text1"/>
              </w:rPr>
            </w:pPr>
          </w:p>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86741">
              <w:fldChar w:fldCharType="begin">
                <w:ffData>
                  <w:name w:val=""/>
                  <w:enabled/>
                  <w:calcOnExit w:val="0"/>
                  <w:checkBox>
                    <w:sizeAuto/>
                    <w:default w:val="1"/>
                  </w:checkBox>
                </w:ffData>
              </w:fldChar>
            </w:r>
            <w:r w:rsidR="00DB12AC">
              <w:instrText xml:space="preserve"> FORMCHECKBOX </w:instrText>
            </w:r>
            <w:r w:rsidR="00486741">
              <w:fldChar w:fldCharType="separate"/>
            </w:r>
            <w:r w:rsidR="00486741">
              <w:fldChar w:fldCharType="end"/>
            </w:r>
          </w:p>
          <w:p w:rsidR="00326281" w:rsidRDefault="00326281" w:rsidP="00637591">
            <w:pPr>
              <w:pStyle w:val="ListParagraph"/>
              <w:ind w:left="0"/>
              <w:rPr>
                <w:rFonts w:ascii="Arial" w:hAnsi="Arial" w:cs="Arial"/>
                <w:color w:val="000000" w:themeColor="text1"/>
              </w:rPr>
            </w:pPr>
          </w:p>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486741">
              <w:fldChar w:fldCharType="begin">
                <w:ffData>
                  <w:name w:val="Check1"/>
                  <w:enabled/>
                  <w:calcOnExit w:val="0"/>
                  <w:checkBox>
                    <w:sizeAuto/>
                    <w:default w:val="0"/>
                  </w:checkBox>
                </w:ffData>
              </w:fldChar>
            </w:r>
            <w:r>
              <w:instrText xml:space="preserve"> FORMCHECKBOX </w:instrText>
            </w:r>
            <w:r w:rsidR="00486741">
              <w:fldChar w:fldCharType="separate"/>
            </w:r>
            <w:r w:rsidR="00486741">
              <w:fldChar w:fldCharType="end"/>
            </w:r>
          </w:p>
          <w:p w:rsidR="00326281" w:rsidRDefault="00326281" w:rsidP="00637591">
            <w:pPr>
              <w:pStyle w:val="ListParagraph"/>
              <w:ind w:left="0"/>
              <w:rPr>
                <w:rFonts w:ascii="Arial" w:hAnsi="Arial" w:cs="Arial"/>
                <w:color w:val="000000" w:themeColor="text1"/>
              </w:rPr>
            </w:pPr>
          </w:p>
          <w:p w:rsidR="00326281" w:rsidRPr="0037786D"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86741">
              <w:fldChar w:fldCharType="begin">
                <w:ffData>
                  <w:name w:val="Check1"/>
                  <w:enabled/>
                  <w:calcOnExit w:val="0"/>
                  <w:checkBox>
                    <w:sizeAuto/>
                    <w:default w:val="0"/>
                  </w:checkBox>
                </w:ffData>
              </w:fldChar>
            </w:r>
            <w:r>
              <w:instrText xml:space="preserve"> FORMCHECKBOX </w:instrText>
            </w:r>
            <w:r w:rsidR="00486741">
              <w:fldChar w:fldCharType="separate"/>
            </w:r>
            <w:r w:rsidR="00486741">
              <w:fldChar w:fldCharType="end"/>
            </w:r>
          </w:p>
        </w:tc>
        <w:tc>
          <w:tcPr>
            <w:tcW w:w="6480" w:type="dxa"/>
          </w:tcPr>
          <w:p w:rsidR="00326281" w:rsidRPr="0037786D" w:rsidRDefault="00EA13B2" w:rsidP="00EA13B2">
            <w:pPr>
              <w:pStyle w:val="ListParagraph"/>
              <w:ind w:left="0"/>
              <w:rPr>
                <w:rFonts w:ascii="Arial" w:hAnsi="Arial" w:cs="Arial"/>
                <w:color w:val="000000" w:themeColor="text1"/>
              </w:rPr>
            </w:pPr>
            <w:r>
              <w:rPr>
                <w:rFonts w:ascii="Arial" w:hAnsi="Arial" w:cs="Arial"/>
                <w:color w:val="000000" w:themeColor="text1"/>
              </w:rPr>
              <w:t>In fall 2012 semester in ACC1210, Principles of Accounting, traditional sections, we are piloting an Angel feature that allows data to be gathered in the repository. The general education and program outcomes related to this course have been tied to the tests in the course so the data gathered can be assessed regarding student success</w:t>
            </w:r>
            <w:r w:rsidR="000E2976">
              <w:rPr>
                <w:rFonts w:ascii="Arial" w:hAnsi="Arial" w:cs="Arial"/>
                <w:color w:val="000000" w:themeColor="text1"/>
              </w:rPr>
              <w:t xml:space="preserve"> and used to improve student learning</w:t>
            </w:r>
            <w:r>
              <w:rPr>
                <w:rFonts w:ascii="Arial" w:hAnsi="Arial" w:cs="Arial"/>
                <w:color w:val="000000" w:themeColor="text1"/>
              </w:rPr>
              <w:t>.</w:t>
            </w:r>
          </w:p>
        </w:tc>
      </w:tr>
      <w:tr w:rsidR="00326281" w:rsidRPr="0037786D" w:rsidTr="00326281">
        <w:tc>
          <w:tcPr>
            <w:tcW w:w="3708" w:type="dxa"/>
          </w:tcPr>
          <w:p w:rsidR="00326281" w:rsidRPr="00D07030" w:rsidRDefault="00326281" w:rsidP="00D07030">
            <w:pPr>
              <w:rPr>
                <w:rFonts w:ascii="Arial" w:hAnsi="Arial" w:cs="Arial"/>
              </w:rPr>
            </w:pPr>
            <w:r w:rsidRPr="00D07030">
              <w:rPr>
                <w:rFonts w:ascii="Arial" w:hAnsi="Arial" w:cs="Arial"/>
              </w:rPr>
              <w:lastRenderedPageBreak/>
              <w:t>Assess fully the sections taught by adjunct faculty in light of utilization of adjuncts vs. need for additional tenure track faculty, e.g. faculty with auditing experience. Ensure that supporting materials and guidance for adjuncts are well-targeted to the learning outcomes and level of proficiency required by the program.</w:t>
            </w:r>
          </w:p>
          <w:p w:rsidR="00326281" w:rsidRPr="0037786D" w:rsidRDefault="00326281" w:rsidP="00D07030">
            <w:pPr>
              <w:pStyle w:val="ListParagraph"/>
              <w:ind w:left="0"/>
              <w:rPr>
                <w:rFonts w:ascii="Arial" w:hAnsi="Arial" w:cs="Arial"/>
                <w:color w:val="000000" w:themeColor="text1"/>
              </w:rPr>
            </w:pPr>
          </w:p>
        </w:tc>
        <w:tc>
          <w:tcPr>
            <w:tcW w:w="2700" w:type="dxa"/>
          </w:tcPr>
          <w:p w:rsidR="00326281" w:rsidRDefault="00326281" w:rsidP="00D07030">
            <w:pPr>
              <w:pStyle w:val="ListParagraph"/>
              <w:ind w:left="0"/>
              <w:rPr>
                <w:rFonts w:ascii="Arial" w:hAnsi="Arial" w:cs="Arial"/>
                <w:color w:val="000000" w:themeColor="text1"/>
              </w:rPr>
            </w:pPr>
          </w:p>
          <w:p w:rsidR="00326281" w:rsidRDefault="00326281"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486741">
              <w:fldChar w:fldCharType="begin">
                <w:ffData>
                  <w:name w:val=""/>
                  <w:enabled/>
                  <w:calcOnExit w:val="0"/>
                  <w:checkBox>
                    <w:sizeAuto/>
                    <w:default w:val="1"/>
                  </w:checkBox>
                </w:ffData>
              </w:fldChar>
            </w:r>
            <w:r w:rsidR="00A53BE4">
              <w:instrText xml:space="preserve"> FORMCHECKBOX </w:instrText>
            </w:r>
            <w:r w:rsidR="00486741">
              <w:fldChar w:fldCharType="separate"/>
            </w:r>
            <w:r w:rsidR="00486741">
              <w:fldChar w:fldCharType="end"/>
            </w:r>
          </w:p>
          <w:p w:rsidR="00326281" w:rsidRDefault="00326281" w:rsidP="00D07030">
            <w:pPr>
              <w:pStyle w:val="ListParagraph"/>
              <w:ind w:left="0"/>
              <w:rPr>
                <w:rFonts w:ascii="Arial" w:hAnsi="Arial" w:cs="Arial"/>
                <w:color w:val="000000" w:themeColor="text1"/>
              </w:rPr>
            </w:pPr>
          </w:p>
          <w:p w:rsidR="00326281" w:rsidRDefault="00326281"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486741">
              <w:fldChar w:fldCharType="begin">
                <w:ffData>
                  <w:name w:val="Check1"/>
                  <w:enabled/>
                  <w:calcOnExit w:val="0"/>
                  <w:checkBox>
                    <w:sizeAuto/>
                    <w:default w:val="0"/>
                  </w:checkBox>
                </w:ffData>
              </w:fldChar>
            </w:r>
            <w:r>
              <w:instrText xml:space="preserve"> FORMCHECKBOX </w:instrText>
            </w:r>
            <w:r w:rsidR="00486741">
              <w:fldChar w:fldCharType="separate"/>
            </w:r>
            <w:r w:rsidR="00486741">
              <w:fldChar w:fldCharType="end"/>
            </w:r>
          </w:p>
          <w:p w:rsidR="00326281" w:rsidRDefault="00326281" w:rsidP="00D07030">
            <w:pPr>
              <w:pStyle w:val="ListParagraph"/>
              <w:ind w:left="0"/>
              <w:rPr>
                <w:rFonts w:ascii="Arial" w:hAnsi="Arial" w:cs="Arial"/>
                <w:color w:val="000000" w:themeColor="text1"/>
              </w:rPr>
            </w:pPr>
          </w:p>
          <w:p w:rsidR="00326281" w:rsidRPr="0037786D" w:rsidRDefault="00326281"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86741">
              <w:fldChar w:fldCharType="begin">
                <w:ffData>
                  <w:name w:val="Check1"/>
                  <w:enabled/>
                  <w:calcOnExit w:val="0"/>
                  <w:checkBox>
                    <w:sizeAuto/>
                    <w:default w:val="0"/>
                  </w:checkBox>
                </w:ffData>
              </w:fldChar>
            </w:r>
            <w:r>
              <w:instrText xml:space="preserve"> FORMCHECKBOX </w:instrText>
            </w:r>
            <w:r w:rsidR="00486741">
              <w:fldChar w:fldCharType="separate"/>
            </w:r>
            <w:r w:rsidR="00486741">
              <w:fldChar w:fldCharType="end"/>
            </w:r>
          </w:p>
        </w:tc>
        <w:tc>
          <w:tcPr>
            <w:tcW w:w="6480" w:type="dxa"/>
          </w:tcPr>
          <w:p w:rsidR="001D3205" w:rsidRDefault="00FD45A4" w:rsidP="00FD45A4">
            <w:pPr>
              <w:pStyle w:val="ListParagraph"/>
              <w:ind w:left="0"/>
              <w:rPr>
                <w:rFonts w:ascii="Arial" w:hAnsi="Arial" w:cs="Arial"/>
                <w:color w:val="000000" w:themeColor="text1"/>
              </w:rPr>
            </w:pPr>
            <w:r w:rsidRPr="00FD45A4">
              <w:rPr>
                <w:rFonts w:ascii="Arial" w:hAnsi="Arial" w:cs="Arial"/>
                <w:color w:val="000000" w:themeColor="text1"/>
              </w:rPr>
              <w:t xml:space="preserve">All adjuncts are using </w:t>
            </w:r>
            <w:r>
              <w:rPr>
                <w:rFonts w:ascii="Arial" w:hAnsi="Arial" w:cs="Arial"/>
                <w:color w:val="000000" w:themeColor="text1"/>
              </w:rPr>
              <w:t>the redesigned financial accounting shell that incorporates contextual learning</w:t>
            </w:r>
            <w:r w:rsidR="001D3205">
              <w:rPr>
                <w:rFonts w:ascii="Arial" w:hAnsi="Arial" w:cs="Arial"/>
                <w:color w:val="000000" w:themeColor="text1"/>
              </w:rPr>
              <w:t xml:space="preserve">.  Adjuncts </w:t>
            </w:r>
            <w:r w:rsidR="001D3205" w:rsidRPr="001D3205">
              <w:rPr>
                <w:rFonts w:ascii="Arial" w:hAnsi="Arial" w:cs="Arial"/>
                <w:color w:val="000000" w:themeColor="text1"/>
              </w:rPr>
              <w:t>are provided with everything to manage</w:t>
            </w:r>
            <w:r w:rsidR="0031075A">
              <w:rPr>
                <w:rFonts w:ascii="Arial" w:hAnsi="Arial" w:cs="Arial"/>
                <w:color w:val="000000" w:themeColor="text1"/>
              </w:rPr>
              <w:t xml:space="preserve"> the</w:t>
            </w:r>
            <w:r w:rsidR="001D3205" w:rsidRPr="001D3205">
              <w:rPr>
                <w:rFonts w:ascii="Arial" w:hAnsi="Arial" w:cs="Arial"/>
                <w:color w:val="000000" w:themeColor="text1"/>
              </w:rPr>
              <w:t xml:space="preserve"> course including student worksheets, teaching guides, exams, quizzes and homework.</w:t>
            </w:r>
            <w:r w:rsidRPr="00FD45A4">
              <w:rPr>
                <w:rFonts w:ascii="Arial" w:hAnsi="Arial" w:cs="Arial"/>
                <w:color w:val="000000" w:themeColor="text1"/>
              </w:rPr>
              <w:t xml:space="preserve">  </w:t>
            </w:r>
          </w:p>
          <w:p w:rsidR="00326281" w:rsidRPr="0037786D" w:rsidRDefault="00FD45A4" w:rsidP="001D3205">
            <w:pPr>
              <w:pStyle w:val="ListParagraph"/>
              <w:ind w:left="0"/>
              <w:rPr>
                <w:rFonts w:ascii="Arial" w:hAnsi="Arial" w:cs="Arial"/>
                <w:color w:val="000000" w:themeColor="text1"/>
              </w:rPr>
            </w:pPr>
            <w:r w:rsidRPr="00FD45A4">
              <w:rPr>
                <w:rFonts w:ascii="Arial" w:hAnsi="Arial" w:cs="Arial"/>
                <w:color w:val="000000" w:themeColor="text1"/>
              </w:rPr>
              <w:t xml:space="preserve">Accounting adjuncts meet </w:t>
            </w:r>
            <w:r w:rsidR="001D3205">
              <w:rPr>
                <w:rFonts w:ascii="Arial" w:hAnsi="Arial" w:cs="Arial"/>
                <w:color w:val="000000" w:themeColor="text1"/>
              </w:rPr>
              <w:t xml:space="preserve">with full-time faculty twice a year </w:t>
            </w:r>
            <w:r w:rsidRPr="00FD45A4">
              <w:rPr>
                <w:rFonts w:ascii="Arial" w:hAnsi="Arial" w:cs="Arial"/>
                <w:color w:val="000000" w:themeColor="text1"/>
              </w:rPr>
              <w:t xml:space="preserve">to assess effectiveness of common teaching material.  </w:t>
            </w:r>
          </w:p>
        </w:tc>
      </w:tr>
      <w:tr w:rsidR="00326281" w:rsidRPr="0037786D" w:rsidTr="00326281">
        <w:tc>
          <w:tcPr>
            <w:tcW w:w="3708" w:type="dxa"/>
          </w:tcPr>
          <w:p w:rsidR="00326281" w:rsidRPr="00D07030" w:rsidRDefault="00326281" w:rsidP="00D07030">
            <w:pPr>
              <w:rPr>
                <w:rFonts w:ascii="Arial" w:hAnsi="Arial" w:cs="Arial"/>
              </w:rPr>
            </w:pPr>
            <w:r w:rsidRPr="00D07030">
              <w:rPr>
                <w:rFonts w:ascii="Arial" w:hAnsi="Arial" w:cs="Arial"/>
              </w:rPr>
              <w:t>Use documentation of utilization of services designed to assist students to support the need for an accounting lab.</w:t>
            </w:r>
          </w:p>
          <w:p w:rsidR="00326281" w:rsidRPr="0037786D" w:rsidRDefault="00326281" w:rsidP="00D07030">
            <w:pPr>
              <w:pStyle w:val="ListParagraph"/>
              <w:ind w:left="0"/>
              <w:rPr>
                <w:rFonts w:ascii="Arial" w:hAnsi="Arial" w:cs="Arial"/>
                <w:color w:val="000000" w:themeColor="text1"/>
              </w:rPr>
            </w:pPr>
          </w:p>
        </w:tc>
        <w:tc>
          <w:tcPr>
            <w:tcW w:w="2700" w:type="dxa"/>
          </w:tcPr>
          <w:p w:rsidR="00326281" w:rsidRDefault="00326281"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486741">
              <w:fldChar w:fldCharType="begin">
                <w:ffData>
                  <w:name w:val="Check1"/>
                  <w:enabled/>
                  <w:calcOnExit w:val="0"/>
                  <w:checkBox>
                    <w:sizeAuto/>
                    <w:default w:val="0"/>
                  </w:checkBox>
                </w:ffData>
              </w:fldChar>
            </w:r>
            <w:r>
              <w:instrText xml:space="preserve"> FORMCHECKBOX </w:instrText>
            </w:r>
            <w:r w:rsidR="00486741">
              <w:fldChar w:fldCharType="separate"/>
            </w:r>
            <w:r w:rsidR="00486741">
              <w:fldChar w:fldCharType="end"/>
            </w:r>
          </w:p>
          <w:p w:rsidR="00326281" w:rsidRDefault="00326281" w:rsidP="00D07030">
            <w:pPr>
              <w:pStyle w:val="ListParagraph"/>
              <w:ind w:left="0"/>
              <w:rPr>
                <w:rFonts w:ascii="Arial" w:hAnsi="Arial" w:cs="Arial"/>
                <w:color w:val="000000" w:themeColor="text1"/>
              </w:rPr>
            </w:pPr>
          </w:p>
          <w:p w:rsidR="00326281" w:rsidRDefault="00326281"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486741">
              <w:fldChar w:fldCharType="begin">
                <w:ffData>
                  <w:name w:val=""/>
                  <w:enabled/>
                  <w:calcOnExit w:val="0"/>
                  <w:checkBox>
                    <w:sizeAuto/>
                    <w:default w:val="1"/>
                  </w:checkBox>
                </w:ffData>
              </w:fldChar>
            </w:r>
            <w:r w:rsidR="00A53BE4">
              <w:instrText xml:space="preserve"> FORMCHECKBOX </w:instrText>
            </w:r>
            <w:r w:rsidR="00486741">
              <w:fldChar w:fldCharType="separate"/>
            </w:r>
            <w:r w:rsidR="00486741">
              <w:fldChar w:fldCharType="end"/>
            </w:r>
          </w:p>
          <w:p w:rsidR="00326281" w:rsidRDefault="00326281" w:rsidP="00D07030">
            <w:pPr>
              <w:pStyle w:val="ListParagraph"/>
              <w:ind w:left="0"/>
              <w:rPr>
                <w:rFonts w:ascii="Arial" w:hAnsi="Arial" w:cs="Arial"/>
                <w:color w:val="000000" w:themeColor="text1"/>
              </w:rPr>
            </w:pPr>
          </w:p>
          <w:p w:rsidR="00326281" w:rsidRPr="0037786D" w:rsidRDefault="00326281"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86741">
              <w:fldChar w:fldCharType="begin">
                <w:ffData>
                  <w:name w:val="Check1"/>
                  <w:enabled/>
                  <w:calcOnExit w:val="0"/>
                  <w:checkBox>
                    <w:sizeAuto/>
                    <w:default w:val="0"/>
                  </w:checkBox>
                </w:ffData>
              </w:fldChar>
            </w:r>
            <w:r>
              <w:instrText xml:space="preserve"> FORMCHECKBOX </w:instrText>
            </w:r>
            <w:r w:rsidR="00486741">
              <w:fldChar w:fldCharType="separate"/>
            </w:r>
            <w:r w:rsidR="00486741">
              <w:fldChar w:fldCharType="end"/>
            </w:r>
          </w:p>
        </w:tc>
        <w:tc>
          <w:tcPr>
            <w:tcW w:w="6480" w:type="dxa"/>
          </w:tcPr>
          <w:p w:rsidR="00326281" w:rsidRPr="0037786D" w:rsidRDefault="00A53BE4" w:rsidP="00A53BE4">
            <w:pPr>
              <w:pStyle w:val="ListParagraph"/>
              <w:ind w:left="0"/>
              <w:rPr>
                <w:rFonts w:ascii="Arial" w:hAnsi="Arial" w:cs="Arial"/>
                <w:color w:val="000000" w:themeColor="text1"/>
              </w:rPr>
            </w:pPr>
            <w:r w:rsidRPr="00A53BE4">
              <w:rPr>
                <w:rFonts w:ascii="Arial" w:hAnsi="Arial" w:cs="Arial"/>
                <w:color w:val="000000" w:themeColor="text1"/>
              </w:rPr>
              <w:t xml:space="preserve">During fall 2010 and winter 2011 data was collected to support the need of additional resources for an accounting / economics lab.  Based on this information the Accounting and Economics department are </w:t>
            </w:r>
            <w:r>
              <w:rPr>
                <w:rFonts w:ascii="Arial" w:hAnsi="Arial" w:cs="Arial"/>
                <w:color w:val="000000" w:themeColor="text1"/>
              </w:rPr>
              <w:t>using the old accounting lab 5213 to offer additional support to accounting and economics principle students.</w:t>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Look w:val="01E0"/>
      </w:tblPr>
      <w:tblGrid>
        <w:gridCol w:w="16"/>
        <w:gridCol w:w="3692"/>
        <w:gridCol w:w="1742"/>
        <w:gridCol w:w="1430"/>
        <w:gridCol w:w="2250"/>
        <w:gridCol w:w="4028"/>
      </w:tblGrid>
      <w:tr w:rsidR="00B34F9E" w:rsidRPr="004C52FC" w:rsidTr="00B34F9E">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A63ACE">
            <w:pPr>
              <w:jc w:val="center"/>
              <w:rPr>
                <w:rFonts w:asciiTheme="minorHAnsi" w:hAnsiTheme="minorHAnsi" w:cs="Arial"/>
                <w:color w:val="000000" w:themeColor="text1"/>
                <w:sz w:val="20"/>
              </w:rPr>
            </w:pPr>
          </w:p>
        </w:tc>
        <w:tc>
          <w:tcPr>
            <w:tcW w:w="4028" w:type="dxa"/>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326281" w:rsidRPr="004C52FC" w:rsidTr="00B34F9E">
        <w:trPr>
          <w:trHeight w:val="274"/>
        </w:trPr>
        <w:tc>
          <w:tcPr>
            <w:tcW w:w="3708" w:type="dxa"/>
            <w:gridSpan w:val="2"/>
            <w:tcBorders>
              <w:right w:val="single" w:sz="4" w:space="0" w:color="auto"/>
            </w:tcBorders>
            <w:shd w:val="clear" w:color="auto" w:fill="FFFFFF"/>
            <w:vAlign w:val="center"/>
          </w:tcPr>
          <w:p w:rsidR="00326281" w:rsidRPr="004C52FC" w:rsidRDefault="00326281"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Oral Communication</w:t>
            </w:r>
          </w:p>
          <w:p w:rsidR="00326281" w:rsidRPr="004C52FC" w:rsidRDefault="00326281"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326281" w:rsidRPr="004C52FC" w:rsidRDefault="00326281" w:rsidP="00BC12BF">
            <w:pPr>
              <w:jc w:val="center"/>
              <w:rPr>
                <w:rFonts w:asciiTheme="minorHAnsi" w:hAnsiTheme="minorHAnsi" w:cs="Arial"/>
                <w:color w:val="000000" w:themeColor="text1"/>
              </w:rPr>
            </w:pPr>
            <w:r w:rsidRPr="004C52FC">
              <w:rPr>
                <w:rFonts w:asciiTheme="minorHAnsi" w:hAnsiTheme="minorHAnsi" w:cs="Arial"/>
                <w:color w:val="000000" w:themeColor="text1"/>
              </w:rPr>
              <w:t>All programs</w:t>
            </w:r>
          </w:p>
        </w:tc>
        <w:tc>
          <w:tcPr>
            <w:tcW w:w="1430" w:type="dxa"/>
            <w:shd w:val="clear" w:color="auto" w:fill="auto"/>
          </w:tcPr>
          <w:p w:rsidR="00326281" w:rsidRPr="004C52FC" w:rsidRDefault="00326281" w:rsidP="00817DDA">
            <w:pPr>
              <w:jc w:val="center"/>
              <w:rPr>
                <w:rFonts w:asciiTheme="minorHAnsi" w:hAnsiTheme="minorHAnsi" w:cs="Arial"/>
                <w:b/>
                <w:color w:val="000000" w:themeColor="text1"/>
              </w:rPr>
            </w:pPr>
            <w:r w:rsidRPr="004C52FC">
              <w:rPr>
                <w:rFonts w:asciiTheme="minorHAnsi" w:hAnsiTheme="minorHAnsi" w:cs="Arial"/>
                <w:b/>
                <w:color w:val="000000" w:themeColor="text1"/>
              </w:rPr>
              <w:t>2011-2012</w:t>
            </w:r>
          </w:p>
        </w:tc>
        <w:tc>
          <w:tcPr>
            <w:tcW w:w="2250" w:type="dxa"/>
          </w:tcPr>
          <w:p w:rsidR="00326281" w:rsidRPr="002A3A2F" w:rsidRDefault="002F6A59" w:rsidP="00A505B9">
            <w:pPr>
              <w:pStyle w:val="ListParagraph"/>
              <w:ind w:left="0"/>
              <w:rPr>
                <w:rFonts w:ascii="Arial" w:hAnsi="Arial" w:cs="Arial"/>
                <w:color w:val="000000" w:themeColor="text1"/>
                <w:sz w:val="20"/>
                <w:szCs w:val="20"/>
              </w:rPr>
            </w:pPr>
            <w:r>
              <w:rPr>
                <w:rFonts w:ascii="Arial" w:hAnsi="Arial" w:cs="Arial"/>
                <w:color w:val="000000" w:themeColor="text1"/>
                <w:sz w:val="20"/>
                <w:szCs w:val="20"/>
              </w:rPr>
              <w:t>Simulation</w:t>
            </w:r>
          </w:p>
        </w:tc>
        <w:tc>
          <w:tcPr>
            <w:tcW w:w="4028" w:type="dxa"/>
          </w:tcPr>
          <w:p w:rsidR="00326281" w:rsidRPr="002A3A2F" w:rsidRDefault="002F6A59" w:rsidP="006032C4">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Advanced Taxation (ACC223) class requires students to present on various taxation topics.  Students are assessed and evaluated on logic, clarity, accuracy and visual aids.  The department considers </w:t>
            </w:r>
            <w:r w:rsidR="006032C4">
              <w:rPr>
                <w:rFonts w:ascii="Arial" w:hAnsi="Arial" w:cs="Arial"/>
                <w:color w:val="000000" w:themeColor="text1"/>
                <w:sz w:val="20"/>
                <w:szCs w:val="20"/>
              </w:rPr>
              <w:t>75</w:t>
            </w:r>
            <w:r>
              <w:rPr>
                <w:rFonts w:ascii="Arial" w:hAnsi="Arial" w:cs="Arial"/>
                <w:color w:val="000000" w:themeColor="text1"/>
                <w:sz w:val="20"/>
                <w:szCs w:val="20"/>
              </w:rPr>
              <w:t>% of the students receiving a score of 70% or higher successful.  During spring quar</w:t>
            </w:r>
            <w:r w:rsidR="006032C4">
              <w:rPr>
                <w:rFonts w:ascii="Arial" w:hAnsi="Arial" w:cs="Arial"/>
                <w:color w:val="000000" w:themeColor="text1"/>
                <w:sz w:val="20"/>
                <w:szCs w:val="20"/>
              </w:rPr>
              <w:t>ter</w:t>
            </w:r>
            <w:r>
              <w:rPr>
                <w:rFonts w:ascii="Arial" w:hAnsi="Arial" w:cs="Arial"/>
                <w:color w:val="000000" w:themeColor="text1"/>
                <w:sz w:val="20"/>
                <w:szCs w:val="20"/>
              </w:rPr>
              <w:t xml:space="preserve"> 92% </w:t>
            </w:r>
            <w:r w:rsidR="006032C4">
              <w:rPr>
                <w:rFonts w:ascii="Arial" w:hAnsi="Arial" w:cs="Arial"/>
                <w:color w:val="000000" w:themeColor="text1"/>
                <w:sz w:val="20"/>
                <w:szCs w:val="20"/>
              </w:rPr>
              <w:t>were successful.</w:t>
            </w:r>
            <w:r>
              <w:rPr>
                <w:rFonts w:ascii="Arial" w:hAnsi="Arial" w:cs="Arial"/>
                <w:color w:val="000000" w:themeColor="text1"/>
                <w:sz w:val="20"/>
                <w:szCs w:val="20"/>
              </w:rPr>
              <w:t xml:space="preserve"> </w:t>
            </w:r>
          </w:p>
        </w:tc>
      </w:tr>
      <w:tr w:rsidR="00326281" w:rsidRPr="004C52FC" w:rsidTr="00AA222D">
        <w:trPr>
          <w:trHeight w:val="2168"/>
        </w:trPr>
        <w:tc>
          <w:tcPr>
            <w:tcW w:w="3708" w:type="dxa"/>
            <w:gridSpan w:val="2"/>
            <w:tcBorders>
              <w:right w:val="single" w:sz="4" w:space="0" w:color="auto"/>
            </w:tcBorders>
            <w:shd w:val="clear" w:color="auto" w:fill="FFFFFF"/>
            <w:vAlign w:val="center"/>
          </w:tcPr>
          <w:p w:rsidR="00326281" w:rsidRPr="004C52FC" w:rsidRDefault="00326281"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Written Communication</w:t>
            </w:r>
          </w:p>
          <w:p w:rsidR="00326281" w:rsidRPr="004C52FC" w:rsidRDefault="00326281"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326281" w:rsidRPr="004C52FC" w:rsidRDefault="00326281"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326281" w:rsidRPr="004C52FC" w:rsidRDefault="00326281" w:rsidP="00817DDA">
            <w:pPr>
              <w:jc w:val="center"/>
              <w:rPr>
                <w:rFonts w:asciiTheme="minorHAnsi" w:hAnsiTheme="minorHAnsi" w:cs="Arial"/>
                <w:color w:val="000000" w:themeColor="text1"/>
              </w:rPr>
            </w:pPr>
            <w:r w:rsidRPr="004C52FC">
              <w:rPr>
                <w:rFonts w:asciiTheme="minorHAnsi" w:hAnsiTheme="minorHAnsi" w:cs="Arial"/>
                <w:b/>
                <w:color w:val="000000" w:themeColor="text1"/>
              </w:rPr>
              <w:t>2011-2012</w:t>
            </w:r>
          </w:p>
        </w:tc>
        <w:tc>
          <w:tcPr>
            <w:tcW w:w="2250" w:type="dxa"/>
            <w:tcBorders>
              <w:bottom w:val="single" w:sz="4" w:space="0" w:color="000000" w:themeColor="text1"/>
            </w:tcBorders>
          </w:tcPr>
          <w:p w:rsidR="00326281" w:rsidRPr="002A3A2F" w:rsidRDefault="002A3A2F" w:rsidP="00A505B9">
            <w:pPr>
              <w:pStyle w:val="ListParagraph"/>
              <w:ind w:left="0"/>
              <w:rPr>
                <w:rFonts w:ascii="Arial" w:hAnsi="Arial" w:cs="Arial"/>
                <w:color w:val="000000" w:themeColor="text1"/>
                <w:sz w:val="20"/>
                <w:szCs w:val="20"/>
              </w:rPr>
            </w:pPr>
            <w:r w:rsidRPr="002A3A2F">
              <w:rPr>
                <w:rFonts w:ascii="Arial" w:hAnsi="Arial" w:cs="Arial"/>
                <w:color w:val="000000" w:themeColor="text1"/>
                <w:sz w:val="20"/>
                <w:szCs w:val="20"/>
              </w:rPr>
              <w:t>Simulation</w:t>
            </w:r>
          </w:p>
          <w:p w:rsidR="002A3A2F" w:rsidRPr="002A3A2F" w:rsidRDefault="002A3A2F" w:rsidP="00A505B9">
            <w:pPr>
              <w:pStyle w:val="ListParagraph"/>
              <w:ind w:left="0"/>
              <w:rPr>
                <w:rFonts w:ascii="Arial" w:hAnsi="Arial" w:cs="Arial"/>
                <w:color w:val="000000" w:themeColor="text1"/>
                <w:sz w:val="20"/>
                <w:szCs w:val="20"/>
              </w:rPr>
            </w:pPr>
          </w:p>
        </w:tc>
        <w:tc>
          <w:tcPr>
            <w:tcW w:w="4028" w:type="dxa"/>
            <w:tcBorders>
              <w:bottom w:val="single" w:sz="4" w:space="0" w:color="000000" w:themeColor="text1"/>
            </w:tcBorders>
          </w:tcPr>
          <w:p w:rsidR="00326281" w:rsidRPr="002A3A2F" w:rsidRDefault="00925FB5" w:rsidP="00925FB5">
            <w:pPr>
              <w:pStyle w:val="ListParagraph"/>
              <w:ind w:left="0"/>
              <w:rPr>
                <w:rFonts w:ascii="Arial" w:hAnsi="Arial" w:cs="Arial"/>
                <w:color w:val="000000" w:themeColor="text1"/>
                <w:sz w:val="20"/>
                <w:szCs w:val="20"/>
              </w:rPr>
            </w:pPr>
            <w:r>
              <w:rPr>
                <w:rFonts w:ascii="Arial" w:hAnsi="Arial" w:cs="Arial"/>
                <w:color w:val="000000" w:themeColor="text1"/>
                <w:sz w:val="20"/>
                <w:szCs w:val="20"/>
              </w:rPr>
              <w:t>Auditing (ACC235) class requires s</w:t>
            </w:r>
            <w:r w:rsidR="009004B3">
              <w:rPr>
                <w:rFonts w:ascii="Arial" w:hAnsi="Arial" w:cs="Arial"/>
                <w:color w:val="000000" w:themeColor="text1"/>
                <w:sz w:val="20"/>
                <w:szCs w:val="20"/>
              </w:rPr>
              <w:t xml:space="preserve">tudents </w:t>
            </w:r>
            <w:r>
              <w:rPr>
                <w:rFonts w:ascii="Arial" w:hAnsi="Arial" w:cs="Arial"/>
                <w:color w:val="000000" w:themeColor="text1"/>
                <w:sz w:val="20"/>
                <w:szCs w:val="20"/>
              </w:rPr>
              <w:t xml:space="preserve">to submit an ethics paper on accounting issues.  Students are assessed and evaluated on content, grammar, punctuation and citing of work.  The department considers 75% of the students receiving a score of 70% or higher successful.  During spring quarter </w:t>
            </w:r>
            <w:r w:rsidR="00A41D01">
              <w:rPr>
                <w:rFonts w:ascii="Arial" w:hAnsi="Arial" w:cs="Arial"/>
                <w:color w:val="000000" w:themeColor="text1"/>
                <w:sz w:val="20"/>
                <w:szCs w:val="20"/>
              </w:rPr>
              <w:t xml:space="preserve">exactly </w:t>
            </w:r>
            <w:r>
              <w:rPr>
                <w:rFonts w:ascii="Arial" w:hAnsi="Arial" w:cs="Arial"/>
                <w:color w:val="000000" w:themeColor="text1"/>
                <w:sz w:val="20"/>
                <w:szCs w:val="20"/>
              </w:rPr>
              <w:t>75% were successful.</w:t>
            </w:r>
          </w:p>
        </w:tc>
      </w:tr>
      <w:tr w:rsidR="00B34F9E" w:rsidRPr="004C52FC" w:rsidTr="006C28B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6C28B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6C28B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6C28B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B34F9E">
        <w:trPr>
          <w:trHeight w:val="274"/>
        </w:trPr>
        <w:tc>
          <w:tcPr>
            <w:tcW w:w="3708" w:type="dxa"/>
            <w:gridSpan w:val="2"/>
            <w:shd w:val="clear" w:color="auto" w:fill="FFFFFF"/>
            <w:vAlign w:val="center"/>
          </w:tcPr>
          <w:p w:rsidR="00E450AE" w:rsidRPr="004C52FC" w:rsidRDefault="00E450AE" w:rsidP="003D6D6E">
            <w:pPr>
              <w:rPr>
                <w:rFonts w:asciiTheme="minorHAnsi" w:hAnsiTheme="minorHAnsi"/>
              </w:rPr>
            </w:pPr>
          </w:p>
        </w:tc>
        <w:tc>
          <w:tcPr>
            <w:tcW w:w="1742" w:type="dxa"/>
            <w:tcBorders>
              <w:top w:val="single" w:sz="4" w:space="0" w:color="auto"/>
            </w:tcBorders>
          </w:tcPr>
          <w:p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p>
        </w:tc>
        <w:tc>
          <w:tcPr>
            <w:tcW w:w="2250" w:type="dxa"/>
          </w:tcPr>
          <w:p w:rsidR="00B34F9E" w:rsidRPr="004C52FC" w:rsidRDefault="00B34F9E" w:rsidP="001D736E">
            <w:pPr>
              <w:ind w:left="72"/>
              <w:rPr>
                <w:rFonts w:asciiTheme="minorHAnsi" w:hAnsiTheme="minorHAnsi" w:cs="Arial"/>
                <w:color w:val="000000" w:themeColor="text1"/>
              </w:rPr>
            </w:pPr>
          </w:p>
        </w:tc>
        <w:tc>
          <w:tcPr>
            <w:tcW w:w="4028" w:type="dxa"/>
          </w:tcPr>
          <w:p w:rsidR="00B34F9E" w:rsidRPr="004C52FC" w:rsidRDefault="00B34F9E" w:rsidP="001D736E">
            <w:pPr>
              <w:ind w:left="72"/>
              <w:rPr>
                <w:rFonts w:asciiTheme="minorHAnsi" w:hAnsiTheme="minorHAnsi" w:cs="Arial"/>
                <w:color w:val="000000" w:themeColor="text1"/>
              </w:rPr>
            </w:pPr>
          </w:p>
        </w:tc>
      </w:tr>
      <w:tr w:rsidR="00B34F9E" w:rsidRPr="004C52FC" w:rsidTr="00B34F9E">
        <w:trPr>
          <w:trHeight w:val="274"/>
        </w:trPr>
        <w:tc>
          <w:tcPr>
            <w:tcW w:w="3708" w:type="dxa"/>
            <w:gridSpan w:val="2"/>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A505B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A505B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A505B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A505B9">
            <w:pPr>
              <w:jc w:val="center"/>
              <w:rPr>
                <w:rFonts w:asciiTheme="minorHAnsi" w:hAnsiTheme="minorHAnsi" w:cs="Arial"/>
                <w:color w:val="000000" w:themeColor="text1"/>
                <w:sz w:val="20"/>
              </w:rPr>
            </w:pPr>
          </w:p>
        </w:tc>
        <w:tc>
          <w:tcPr>
            <w:tcW w:w="4028" w:type="dxa"/>
          </w:tcPr>
          <w:p w:rsidR="00B34F9E" w:rsidRPr="004C52FC" w:rsidRDefault="00B34F9E" w:rsidP="00A505B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A505B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326281" w:rsidRPr="004C52FC" w:rsidTr="004E62E4">
        <w:trPr>
          <w:trHeight w:val="1250"/>
        </w:trPr>
        <w:tc>
          <w:tcPr>
            <w:tcW w:w="3708" w:type="dxa"/>
            <w:gridSpan w:val="2"/>
            <w:shd w:val="clear" w:color="auto" w:fill="FFFFFF"/>
            <w:vAlign w:val="center"/>
          </w:tcPr>
          <w:p w:rsidR="00326281" w:rsidRPr="00814EB1" w:rsidRDefault="00326281" w:rsidP="00A505B9">
            <w:pPr>
              <w:rPr>
                <w:rFonts w:ascii="Verdana" w:hAnsi="Verdana"/>
                <w:sz w:val="20"/>
                <w:szCs w:val="20"/>
              </w:rPr>
            </w:pPr>
            <w:r>
              <w:rPr>
                <w:rFonts w:ascii="Verdana" w:hAnsi="Verdana"/>
                <w:sz w:val="20"/>
                <w:szCs w:val="20"/>
              </w:rPr>
              <w:lastRenderedPageBreak/>
              <w:t>Apply mathematical skills to formulas and solve problems.</w:t>
            </w:r>
          </w:p>
        </w:tc>
        <w:tc>
          <w:tcPr>
            <w:tcW w:w="1742" w:type="dxa"/>
            <w:vAlign w:val="center"/>
          </w:tcPr>
          <w:p w:rsidR="00326281" w:rsidRDefault="00326281" w:rsidP="00A505B9">
            <w:pPr>
              <w:rPr>
                <w:rFonts w:ascii="Verdana" w:hAnsi="Verdana"/>
                <w:sz w:val="20"/>
                <w:szCs w:val="20"/>
              </w:rPr>
            </w:pPr>
            <w:r w:rsidRPr="00DF7C71">
              <w:rPr>
                <w:rFonts w:ascii="Verdana" w:hAnsi="Verdana"/>
                <w:sz w:val="20"/>
                <w:szCs w:val="20"/>
              </w:rPr>
              <w:t>MAT 1460</w:t>
            </w:r>
            <w:r>
              <w:rPr>
                <w:rFonts w:ascii="Verdana" w:hAnsi="Verdana"/>
                <w:sz w:val="20"/>
                <w:szCs w:val="20"/>
              </w:rPr>
              <w:t>,</w:t>
            </w:r>
          </w:p>
          <w:p w:rsidR="00326281" w:rsidRDefault="00326281" w:rsidP="00A505B9">
            <w:pPr>
              <w:rPr>
                <w:rFonts w:ascii="Verdana" w:hAnsi="Verdana"/>
                <w:sz w:val="20"/>
                <w:szCs w:val="20"/>
              </w:rPr>
            </w:pPr>
            <w:r>
              <w:rPr>
                <w:rFonts w:ascii="Verdana" w:hAnsi="Verdana"/>
                <w:sz w:val="20"/>
                <w:szCs w:val="20"/>
              </w:rPr>
              <w:t xml:space="preserve">MAT </w:t>
            </w:r>
            <w:r w:rsidRPr="00DF7C71">
              <w:rPr>
                <w:rFonts w:ascii="Verdana" w:hAnsi="Verdana"/>
                <w:sz w:val="20"/>
                <w:szCs w:val="20"/>
              </w:rPr>
              <w:t xml:space="preserve">1470, </w:t>
            </w:r>
          </w:p>
          <w:p w:rsidR="00326281" w:rsidRPr="00DF7C71" w:rsidRDefault="00326281" w:rsidP="00A505B9">
            <w:pPr>
              <w:rPr>
                <w:rFonts w:ascii="Verdana" w:hAnsi="Verdana"/>
                <w:sz w:val="20"/>
                <w:szCs w:val="20"/>
              </w:rPr>
            </w:pPr>
            <w:r>
              <w:rPr>
                <w:rFonts w:ascii="Verdana" w:hAnsi="Verdana"/>
                <w:sz w:val="20"/>
                <w:szCs w:val="20"/>
              </w:rPr>
              <w:t xml:space="preserve">MAT </w:t>
            </w:r>
            <w:r w:rsidRPr="00DF7C71">
              <w:rPr>
                <w:rFonts w:ascii="Verdana" w:hAnsi="Verdana"/>
                <w:sz w:val="20"/>
                <w:szCs w:val="20"/>
              </w:rPr>
              <w:t>2170</w:t>
            </w:r>
          </w:p>
        </w:tc>
        <w:tc>
          <w:tcPr>
            <w:tcW w:w="1430" w:type="dxa"/>
            <w:shd w:val="clear" w:color="auto" w:fill="auto"/>
          </w:tcPr>
          <w:p w:rsidR="00326281" w:rsidRPr="00445B6E" w:rsidRDefault="009C105C" w:rsidP="00A505B9">
            <w:pPr>
              <w:pStyle w:val="ListParagraph"/>
              <w:ind w:left="0"/>
              <w:rPr>
                <w:rFonts w:ascii="Arial" w:hAnsi="Arial" w:cs="Arial"/>
                <w:color w:val="000000" w:themeColor="text1"/>
                <w:sz w:val="20"/>
                <w:szCs w:val="20"/>
              </w:rPr>
            </w:pPr>
            <w:r w:rsidRPr="00445B6E">
              <w:rPr>
                <w:rFonts w:ascii="Arial" w:hAnsi="Arial" w:cs="Arial"/>
                <w:color w:val="000000" w:themeColor="text1"/>
                <w:sz w:val="20"/>
                <w:szCs w:val="20"/>
              </w:rPr>
              <w:t>FY 09-10</w:t>
            </w:r>
          </w:p>
        </w:tc>
        <w:tc>
          <w:tcPr>
            <w:tcW w:w="2250" w:type="dxa"/>
          </w:tcPr>
          <w:p w:rsidR="00326281" w:rsidRPr="00445B6E" w:rsidRDefault="009C105C" w:rsidP="00E25A14">
            <w:pPr>
              <w:pStyle w:val="ListParagraph"/>
              <w:ind w:left="0"/>
              <w:rPr>
                <w:rFonts w:ascii="Arial" w:hAnsi="Arial" w:cs="Arial"/>
                <w:color w:val="000000" w:themeColor="text1"/>
                <w:sz w:val="20"/>
                <w:szCs w:val="20"/>
              </w:rPr>
            </w:pPr>
            <w:r w:rsidRPr="00445B6E">
              <w:rPr>
                <w:rFonts w:ascii="Arial" w:hAnsi="Arial" w:cs="Arial"/>
                <w:color w:val="000000" w:themeColor="text1"/>
                <w:sz w:val="20"/>
                <w:szCs w:val="20"/>
              </w:rPr>
              <w:t>Simulation</w:t>
            </w:r>
          </w:p>
        </w:tc>
        <w:tc>
          <w:tcPr>
            <w:tcW w:w="4028" w:type="dxa"/>
          </w:tcPr>
          <w:p w:rsidR="00326281" w:rsidRPr="0042188E" w:rsidRDefault="00120627" w:rsidP="00A505B9">
            <w:pPr>
              <w:pStyle w:val="ListParagraph"/>
              <w:ind w:left="0"/>
              <w:rPr>
                <w:rFonts w:ascii="Arial" w:hAnsi="Arial" w:cs="Arial"/>
                <w:i/>
                <w:color w:val="000000" w:themeColor="text1"/>
                <w:sz w:val="20"/>
                <w:szCs w:val="20"/>
              </w:rPr>
            </w:pPr>
            <w:r w:rsidRPr="0042188E">
              <w:rPr>
                <w:rFonts w:ascii="Arial" w:hAnsi="Arial" w:cs="Arial"/>
                <w:i/>
                <w:color w:val="000000" w:themeColor="text1"/>
                <w:sz w:val="20"/>
                <w:szCs w:val="20"/>
              </w:rPr>
              <w:t>Eighty-five percent of the class successfully completed the sections of the lab that required formula formulation and correct calculation of pay and tax amounts.  Although changes are constantly made to improve teaching strategies and learning outcomes, no changes are planned as a result of the data</w:t>
            </w:r>
            <w:r w:rsidR="000455E8">
              <w:rPr>
                <w:rFonts w:ascii="Arial" w:hAnsi="Arial" w:cs="Arial"/>
                <w:i/>
                <w:color w:val="000000" w:themeColor="text1"/>
                <w:sz w:val="20"/>
                <w:szCs w:val="20"/>
              </w:rPr>
              <w:t>.</w:t>
            </w:r>
          </w:p>
        </w:tc>
      </w:tr>
      <w:tr w:rsidR="00326281" w:rsidRPr="004C52FC" w:rsidTr="00B34F9E">
        <w:trPr>
          <w:trHeight w:val="72"/>
        </w:trPr>
        <w:tc>
          <w:tcPr>
            <w:tcW w:w="3708" w:type="dxa"/>
            <w:gridSpan w:val="2"/>
            <w:shd w:val="clear" w:color="auto" w:fill="FFFFFF"/>
            <w:vAlign w:val="center"/>
          </w:tcPr>
          <w:p w:rsidR="00326281" w:rsidRPr="00814EB1" w:rsidRDefault="00326281" w:rsidP="00A505B9">
            <w:pPr>
              <w:rPr>
                <w:rFonts w:ascii="Verdana" w:hAnsi="Verdana"/>
                <w:sz w:val="20"/>
                <w:szCs w:val="20"/>
              </w:rPr>
            </w:pPr>
            <w:r>
              <w:rPr>
                <w:rFonts w:ascii="Verdana" w:hAnsi="Verdana"/>
                <w:sz w:val="20"/>
                <w:szCs w:val="20"/>
              </w:rPr>
              <w:t>Apply the principles of financial, managerial, cost and tax accounting.</w:t>
            </w:r>
          </w:p>
        </w:tc>
        <w:tc>
          <w:tcPr>
            <w:tcW w:w="1742" w:type="dxa"/>
            <w:vAlign w:val="center"/>
          </w:tcPr>
          <w:p w:rsidR="00326281" w:rsidRDefault="00326281" w:rsidP="00A505B9">
            <w:pPr>
              <w:rPr>
                <w:rFonts w:ascii="Verdana" w:hAnsi="Verdana"/>
                <w:sz w:val="20"/>
                <w:szCs w:val="20"/>
              </w:rPr>
            </w:pPr>
            <w:r w:rsidRPr="00DF7C71">
              <w:rPr>
                <w:rFonts w:ascii="Verdana" w:hAnsi="Verdana"/>
                <w:sz w:val="20"/>
                <w:szCs w:val="20"/>
              </w:rPr>
              <w:t>ACC 1210,</w:t>
            </w:r>
          </w:p>
          <w:p w:rsidR="00326281" w:rsidRDefault="00326281" w:rsidP="00A505B9">
            <w:pPr>
              <w:rPr>
                <w:rFonts w:ascii="Verdana" w:hAnsi="Verdana"/>
                <w:sz w:val="20"/>
                <w:szCs w:val="20"/>
              </w:rPr>
            </w:pPr>
            <w:r>
              <w:rPr>
                <w:rFonts w:ascii="Verdana" w:hAnsi="Verdana"/>
                <w:sz w:val="20"/>
                <w:szCs w:val="20"/>
              </w:rPr>
              <w:t xml:space="preserve">ACC </w:t>
            </w:r>
            <w:r w:rsidRPr="00DF7C71">
              <w:rPr>
                <w:rFonts w:ascii="Verdana" w:hAnsi="Verdana"/>
                <w:sz w:val="20"/>
                <w:szCs w:val="20"/>
              </w:rPr>
              <w:t>1220,</w:t>
            </w:r>
          </w:p>
          <w:p w:rsidR="00326281" w:rsidRDefault="00326281" w:rsidP="00A505B9">
            <w:pPr>
              <w:rPr>
                <w:rFonts w:ascii="Verdana" w:hAnsi="Verdana"/>
                <w:sz w:val="20"/>
                <w:szCs w:val="20"/>
              </w:rPr>
            </w:pPr>
            <w:r>
              <w:rPr>
                <w:rFonts w:ascii="Verdana" w:hAnsi="Verdana"/>
                <w:sz w:val="20"/>
                <w:szCs w:val="20"/>
              </w:rPr>
              <w:t xml:space="preserve">ACC </w:t>
            </w:r>
            <w:r w:rsidRPr="00DF7C71">
              <w:rPr>
                <w:rFonts w:ascii="Verdana" w:hAnsi="Verdana"/>
                <w:sz w:val="20"/>
                <w:szCs w:val="20"/>
              </w:rPr>
              <w:t>2101,</w:t>
            </w:r>
          </w:p>
          <w:p w:rsidR="00326281" w:rsidRPr="00DF7C71" w:rsidRDefault="00326281" w:rsidP="00A505B9">
            <w:pPr>
              <w:rPr>
                <w:rFonts w:ascii="Verdana" w:hAnsi="Verdana"/>
                <w:sz w:val="20"/>
                <w:szCs w:val="20"/>
              </w:rPr>
            </w:pPr>
            <w:r>
              <w:rPr>
                <w:rFonts w:ascii="Verdana" w:hAnsi="Verdana"/>
                <w:sz w:val="20"/>
                <w:szCs w:val="20"/>
              </w:rPr>
              <w:t xml:space="preserve">ACC </w:t>
            </w:r>
            <w:r w:rsidRPr="00DF7C71">
              <w:rPr>
                <w:rFonts w:ascii="Verdana" w:hAnsi="Verdana"/>
                <w:sz w:val="20"/>
                <w:szCs w:val="20"/>
              </w:rPr>
              <w:t>2102</w:t>
            </w:r>
            <w:r>
              <w:rPr>
                <w:rFonts w:ascii="Verdana" w:hAnsi="Verdana"/>
                <w:sz w:val="20"/>
                <w:szCs w:val="20"/>
              </w:rPr>
              <w:t>,</w:t>
            </w:r>
          </w:p>
          <w:p w:rsidR="00326281" w:rsidRDefault="00326281" w:rsidP="00A505B9">
            <w:pPr>
              <w:rPr>
                <w:rFonts w:ascii="Verdana" w:hAnsi="Verdana"/>
                <w:sz w:val="20"/>
                <w:szCs w:val="20"/>
              </w:rPr>
            </w:pPr>
            <w:r>
              <w:rPr>
                <w:rFonts w:ascii="Verdana" w:hAnsi="Verdana"/>
                <w:sz w:val="20"/>
                <w:szCs w:val="20"/>
              </w:rPr>
              <w:t xml:space="preserve">ACC </w:t>
            </w:r>
            <w:r w:rsidRPr="00DF7C71">
              <w:rPr>
                <w:rFonts w:ascii="Verdana" w:hAnsi="Verdana"/>
                <w:sz w:val="20"/>
                <w:szCs w:val="20"/>
              </w:rPr>
              <w:t>2211,</w:t>
            </w:r>
          </w:p>
          <w:p w:rsidR="00326281" w:rsidRDefault="00326281" w:rsidP="00A505B9">
            <w:pPr>
              <w:rPr>
                <w:rFonts w:ascii="Verdana" w:hAnsi="Verdana"/>
                <w:sz w:val="20"/>
                <w:szCs w:val="20"/>
              </w:rPr>
            </w:pPr>
            <w:r>
              <w:rPr>
                <w:rFonts w:ascii="Verdana" w:hAnsi="Verdana"/>
                <w:sz w:val="20"/>
                <w:szCs w:val="20"/>
              </w:rPr>
              <w:t xml:space="preserve">ACC </w:t>
            </w:r>
            <w:r w:rsidRPr="00DF7C71">
              <w:rPr>
                <w:rFonts w:ascii="Verdana" w:hAnsi="Verdana"/>
                <w:sz w:val="20"/>
                <w:szCs w:val="20"/>
              </w:rPr>
              <w:t>2212,</w:t>
            </w:r>
          </w:p>
          <w:p w:rsidR="00326281" w:rsidRDefault="00326281" w:rsidP="00A505B9">
            <w:pPr>
              <w:rPr>
                <w:rFonts w:ascii="Verdana" w:hAnsi="Verdana"/>
                <w:sz w:val="20"/>
                <w:szCs w:val="20"/>
              </w:rPr>
            </w:pPr>
            <w:r>
              <w:rPr>
                <w:rFonts w:ascii="Verdana" w:hAnsi="Verdana"/>
                <w:sz w:val="20"/>
                <w:szCs w:val="20"/>
              </w:rPr>
              <w:t xml:space="preserve">ACC </w:t>
            </w:r>
            <w:r w:rsidRPr="00DF7C71">
              <w:rPr>
                <w:rFonts w:ascii="Verdana" w:hAnsi="Verdana"/>
                <w:sz w:val="20"/>
                <w:szCs w:val="20"/>
              </w:rPr>
              <w:t>2321,</w:t>
            </w:r>
          </w:p>
          <w:p w:rsidR="00326281" w:rsidRDefault="00326281" w:rsidP="00A505B9">
            <w:pPr>
              <w:rPr>
                <w:rFonts w:ascii="Verdana" w:hAnsi="Verdana"/>
                <w:sz w:val="20"/>
                <w:szCs w:val="20"/>
              </w:rPr>
            </w:pPr>
            <w:r>
              <w:rPr>
                <w:rFonts w:ascii="Verdana" w:hAnsi="Verdana"/>
                <w:sz w:val="20"/>
                <w:szCs w:val="20"/>
              </w:rPr>
              <w:t xml:space="preserve">ACC </w:t>
            </w:r>
            <w:r w:rsidRPr="00DF7C71">
              <w:rPr>
                <w:rFonts w:ascii="Verdana" w:hAnsi="Verdana"/>
                <w:sz w:val="20"/>
                <w:szCs w:val="20"/>
              </w:rPr>
              <w:t xml:space="preserve">2350, ACC </w:t>
            </w:r>
            <w:r>
              <w:rPr>
                <w:rFonts w:ascii="Verdana" w:hAnsi="Verdana"/>
                <w:sz w:val="20"/>
                <w:szCs w:val="20"/>
              </w:rPr>
              <w:t>2322,</w:t>
            </w:r>
          </w:p>
          <w:p w:rsidR="00326281" w:rsidRDefault="00326281" w:rsidP="00A505B9">
            <w:pPr>
              <w:rPr>
                <w:rFonts w:ascii="Verdana" w:hAnsi="Verdana"/>
                <w:sz w:val="20"/>
                <w:szCs w:val="20"/>
              </w:rPr>
            </w:pPr>
            <w:r>
              <w:rPr>
                <w:rFonts w:ascii="Verdana" w:hAnsi="Verdana"/>
                <w:sz w:val="20"/>
                <w:szCs w:val="20"/>
              </w:rPr>
              <w:t>ACC 2510,</w:t>
            </w:r>
          </w:p>
          <w:p w:rsidR="00326281" w:rsidRPr="00DF7C71" w:rsidRDefault="00326281" w:rsidP="00A505B9">
            <w:pPr>
              <w:rPr>
                <w:rFonts w:ascii="Verdana" w:hAnsi="Verdana"/>
                <w:sz w:val="20"/>
                <w:szCs w:val="20"/>
              </w:rPr>
            </w:pPr>
            <w:r>
              <w:rPr>
                <w:rFonts w:ascii="Verdana" w:hAnsi="Verdana"/>
                <w:sz w:val="20"/>
                <w:szCs w:val="20"/>
              </w:rPr>
              <w:t>ACC 2700</w:t>
            </w:r>
          </w:p>
        </w:tc>
        <w:tc>
          <w:tcPr>
            <w:tcW w:w="1430" w:type="dxa"/>
            <w:shd w:val="clear" w:color="auto" w:fill="auto"/>
          </w:tcPr>
          <w:p w:rsidR="00326281" w:rsidRPr="00445B6E" w:rsidRDefault="00E25A14" w:rsidP="00A505B9">
            <w:pPr>
              <w:pStyle w:val="ListParagraph"/>
              <w:ind w:left="0"/>
              <w:rPr>
                <w:rFonts w:ascii="Arial" w:hAnsi="Arial" w:cs="Arial"/>
                <w:color w:val="000000" w:themeColor="text1"/>
                <w:sz w:val="20"/>
                <w:szCs w:val="20"/>
              </w:rPr>
            </w:pPr>
            <w:r>
              <w:rPr>
                <w:rFonts w:ascii="Arial" w:hAnsi="Arial" w:cs="Arial"/>
                <w:color w:val="000000" w:themeColor="text1"/>
                <w:sz w:val="20"/>
                <w:szCs w:val="20"/>
              </w:rPr>
              <w:t>FY 11-12</w:t>
            </w:r>
          </w:p>
        </w:tc>
        <w:tc>
          <w:tcPr>
            <w:tcW w:w="2250" w:type="dxa"/>
          </w:tcPr>
          <w:p w:rsidR="00326281" w:rsidRPr="00445B6E" w:rsidRDefault="00E25A14" w:rsidP="00A505B9">
            <w:pPr>
              <w:pStyle w:val="ListParagraph"/>
              <w:ind w:left="0"/>
              <w:rPr>
                <w:rFonts w:ascii="Arial" w:hAnsi="Arial" w:cs="Arial"/>
                <w:color w:val="000000" w:themeColor="text1"/>
                <w:sz w:val="20"/>
                <w:szCs w:val="20"/>
              </w:rPr>
            </w:pPr>
            <w:r>
              <w:rPr>
                <w:rFonts w:ascii="Arial" w:hAnsi="Arial" w:cs="Arial"/>
                <w:color w:val="000000" w:themeColor="text1"/>
                <w:sz w:val="20"/>
                <w:szCs w:val="20"/>
              </w:rPr>
              <w:t>Simulation</w:t>
            </w:r>
          </w:p>
        </w:tc>
        <w:tc>
          <w:tcPr>
            <w:tcW w:w="4028" w:type="dxa"/>
          </w:tcPr>
          <w:p w:rsidR="00326281" w:rsidRDefault="00CD3412" w:rsidP="00A505B9">
            <w:pPr>
              <w:pStyle w:val="ListParagraph"/>
              <w:ind w:left="0"/>
              <w:rPr>
                <w:rFonts w:ascii="Arial" w:hAnsi="Arial" w:cs="Arial"/>
                <w:i/>
                <w:color w:val="000000" w:themeColor="text1"/>
                <w:sz w:val="20"/>
                <w:szCs w:val="20"/>
              </w:rPr>
            </w:pPr>
            <w:r w:rsidRPr="00CD3412">
              <w:rPr>
                <w:rFonts w:ascii="Arial" w:hAnsi="Arial" w:cs="Arial"/>
                <w:i/>
                <w:color w:val="000000" w:themeColor="text1"/>
                <w:sz w:val="20"/>
                <w:szCs w:val="20"/>
              </w:rPr>
              <w:t>The practice set, which is assigned to all Intermediate Accounting students as a term project, was used to assess basic accounting skills of</w:t>
            </w:r>
            <w:r w:rsidR="00984174">
              <w:rPr>
                <w:rFonts w:ascii="Arial" w:hAnsi="Arial" w:cs="Arial"/>
                <w:i/>
                <w:color w:val="000000" w:themeColor="text1"/>
                <w:sz w:val="20"/>
                <w:szCs w:val="20"/>
              </w:rPr>
              <w:t xml:space="preserve"> </w:t>
            </w:r>
            <w:r w:rsidR="00984174" w:rsidRPr="00984174">
              <w:rPr>
                <w:rFonts w:ascii="Arial" w:hAnsi="Arial" w:cs="Arial"/>
                <w:i/>
                <w:color w:val="000000" w:themeColor="text1"/>
                <w:sz w:val="20"/>
                <w:szCs w:val="20"/>
              </w:rPr>
              <w:t>accounting majors enrolled in the first of three intermediate accounting courses.  Students are required to analyze over 60 documents, journalize and post transactions,</w:t>
            </w:r>
            <w:r w:rsidR="00984174">
              <w:rPr>
                <w:rFonts w:ascii="Arial" w:hAnsi="Arial" w:cs="Arial"/>
                <w:i/>
                <w:color w:val="000000" w:themeColor="text1"/>
                <w:sz w:val="20"/>
                <w:szCs w:val="20"/>
              </w:rPr>
              <w:t xml:space="preserve"> </w:t>
            </w:r>
            <w:r w:rsidR="00984174" w:rsidRPr="00984174">
              <w:rPr>
                <w:rFonts w:ascii="Arial" w:hAnsi="Arial" w:cs="Arial"/>
                <w:i/>
                <w:color w:val="000000" w:themeColor="text1"/>
                <w:sz w:val="20"/>
                <w:szCs w:val="20"/>
              </w:rPr>
              <w:t>and then complete the end of year procedures for a small company including the preparation of the financial statements.</w:t>
            </w:r>
            <w:r w:rsidR="00984174">
              <w:t xml:space="preserve"> </w:t>
            </w:r>
            <w:r w:rsidR="00984174" w:rsidRPr="00984174">
              <w:rPr>
                <w:rFonts w:ascii="Arial" w:hAnsi="Arial" w:cs="Arial"/>
                <w:i/>
                <w:color w:val="000000" w:themeColor="text1"/>
                <w:sz w:val="20"/>
                <w:szCs w:val="20"/>
              </w:rPr>
              <w:t>The transactions include bad debt write-offs and recoveries, basic payroll entries and dispositions of fixed assets.</w:t>
            </w:r>
            <w:r w:rsidR="00BC7B47">
              <w:rPr>
                <w:rFonts w:ascii="Arial" w:hAnsi="Arial" w:cs="Arial"/>
                <w:i/>
                <w:color w:val="000000" w:themeColor="text1"/>
                <w:sz w:val="20"/>
                <w:szCs w:val="20"/>
              </w:rPr>
              <w:t xml:space="preserve">  Base on the results below students exceeded the 70% success indicating an understanding of financial accounting.</w:t>
            </w:r>
          </w:p>
          <w:p w:rsidR="00E450AE" w:rsidRDefault="00E450AE" w:rsidP="00A505B9">
            <w:pPr>
              <w:pStyle w:val="ListParagraph"/>
              <w:ind w:left="0"/>
              <w:rPr>
                <w:rFonts w:ascii="Arial" w:hAnsi="Arial" w:cs="Arial"/>
                <w:i/>
                <w:color w:val="000000" w:themeColor="text1"/>
                <w:sz w:val="20"/>
                <w:szCs w:val="20"/>
              </w:rPr>
            </w:pPr>
          </w:p>
          <w:p w:rsidR="00984174" w:rsidRDefault="00984174" w:rsidP="00A505B9">
            <w:pPr>
              <w:pStyle w:val="ListParagraph"/>
              <w:ind w:left="0"/>
              <w:rPr>
                <w:rFonts w:ascii="Arial" w:hAnsi="Arial" w:cs="Arial"/>
                <w:i/>
                <w:color w:val="000000" w:themeColor="text1"/>
                <w:sz w:val="20"/>
                <w:szCs w:val="20"/>
              </w:rPr>
            </w:pPr>
          </w:p>
          <w:p w:rsidR="00984174" w:rsidRPr="0042188E" w:rsidRDefault="00AA5E8C" w:rsidP="00A505B9">
            <w:pPr>
              <w:pStyle w:val="ListParagraph"/>
              <w:ind w:left="0"/>
              <w:rPr>
                <w:rFonts w:ascii="Arial" w:hAnsi="Arial" w:cs="Arial"/>
                <w:i/>
                <w:color w:val="000000" w:themeColor="text1"/>
                <w:sz w:val="20"/>
                <w:szCs w:val="20"/>
              </w:rPr>
            </w:pPr>
            <w:r w:rsidRPr="00AA5E8C">
              <w:rPr>
                <w:rFonts w:ascii="Arial" w:hAnsi="Arial" w:cs="Arial"/>
                <w:i/>
                <w:color w:val="000000" w:themeColor="text1"/>
                <w:sz w:val="20"/>
                <w:szCs w:val="20"/>
              </w:rPr>
              <w:drawing>
                <wp:inline distT="0" distB="0" distL="0" distR="0">
                  <wp:extent cx="2409825" cy="1438275"/>
                  <wp:effectExtent l="19050" t="0" r="9525"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326281" w:rsidRPr="004C52FC" w:rsidTr="00B34F9E">
        <w:trPr>
          <w:trHeight w:val="72"/>
        </w:trPr>
        <w:tc>
          <w:tcPr>
            <w:tcW w:w="3708" w:type="dxa"/>
            <w:gridSpan w:val="2"/>
            <w:shd w:val="clear" w:color="auto" w:fill="FFFFFF"/>
            <w:vAlign w:val="center"/>
          </w:tcPr>
          <w:p w:rsidR="00326281" w:rsidRPr="00814EB1" w:rsidRDefault="00326281" w:rsidP="00A505B9">
            <w:pPr>
              <w:rPr>
                <w:rFonts w:ascii="Verdana" w:hAnsi="Verdana"/>
                <w:sz w:val="20"/>
                <w:szCs w:val="20"/>
              </w:rPr>
            </w:pPr>
            <w:r>
              <w:rPr>
                <w:rFonts w:ascii="Verdana" w:hAnsi="Verdana"/>
                <w:sz w:val="20"/>
                <w:szCs w:val="20"/>
              </w:rPr>
              <w:t>Describe and apply general business knowledge skills and computer skills.</w:t>
            </w:r>
          </w:p>
        </w:tc>
        <w:tc>
          <w:tcPr>
            <w:tcW w:w="1742" w:type="dxa"/>
            <w:vAlign w:val="center"/>
          </w:tcPr>
          <w:p w:rsidR="00326281" w:rsidRDefault="00326281" w:rsidP="00A505B9">
            <w:pPr>
              <w:rPr>
                <w:rFonts w:ascii="Verdana" w:hAnsi="Verdana"/>
                <w:sz w:val="20"/>
                <w:szCs w:val="20"/>
              </w:rPr>
            </w:pPr>
            <w:r w:rsidRPr="00DF7C71">
              <w:rPr>
                <w:rFonts w:ascii="Verdana" w:hAnsi="Verdana"/>
                <w:sz w:val="20"/>
                <w:szCs w:val="20"/>
              </w:rPr>
              <w:t xml:space="preserve">LAW 1101, </w:t>
            </w:r>
          </w:p>
          <w:p w:rsidR="00326281" w:rsidRDefault="00326281" w:rsidP="00A505B9">
            <w:pPr>
              <w:rPr>
                <w:rFonts w:ascii="Verdana" w:hAnsi="Verdana"/>
                <w:sz w:val="20"/>
                <w:szCs w:val="20"/>
              </w:rPr>
            </w:pPr>
            <w:r>
              <w:rPr>
                <w:rFonts w:ascii="Verdana" w:hAnsi="Verdana"/>
                <w:sz w:val="20"/>
                <w:szCs w:val="20"/>
              </w:rPr>
              <w:t>LAW 1102,</w:t>
            </w:r>
          </w:p>
          <w:p w:rsidR="00326281" w:rsidRDefault="00326281" w:rsidP="00A505B9">
            <w:pPr>
              <w:rPr>
                <w:rFonts w:ascii="Verdana" w:hAnsi="Verdana"/>
                <w:sz w:val="20"/>
                <w:szCs w:val="20"/>
              </w:rPr>
            </w:pPr>
            <w:r w:rsidRPr="00DF7C71">
              <w:rPr>
                <w:rFonts w:ascii="Verdana" w:hAnsi="Verdana"/>
                <w:sz w:val="20"/>
                <w:szCs w:val="20"/>
              </w:rPr>
              <w:t xml:space="preserve">MAN 1101, </w:t>
            </w:r>
            <w:r w:rsidRPr="00DF7C71">
              <w:rPr>
                <w:rFonts w:ascii="Verdana" w:hAnsi="Verdana"/>
                <w:sz w:val="20"/>
                <w:szCs w:val="20"/>
              </w:rPr>
              <w:lastRenderedPageBreak/>
              <w:t xml:space="preserve">MRK 2101, ECO 2160, </w:t>
            </w:r>
            <w:r>
              <w:rPr>
                <w:rFonts w:ascii="Verdana" w:hAnsi="Verdana"/>
                <w:sz w:val="20"/>
                <w:szCs w:val="20"/>
              </w:rPr>
              <w:t xml:space="preserve">ECO </w:t>
            </w:r>
            <w:r w:rsidRPr="00DF7C71">
              <w:rPr>
                <w:rFonts w:ascii="Verdana" w:hAnsi="Verdana"/>
                <w:sz w:val="20"/>
                <w:szCs w:val="20"/>
              </w:rPr>
              <w:t>2180, ACC 1510,</w:t>
            </w:r>
          </w:p>
          <w:p w:rsidR="00326281" w:rsidRDefault="00326281" w:rsidP="00A505B9">
            <w:pPr>
              <w:rPr>
                <w:rFonts w:ascii="Verdana" w:hAnsi="Verdana"/>
                <w:sz w:val="20"/>
                <w:szCs w:val="20"/>
              </w:rPr>
            </w:pPr>
            <w:r>
              <w:rPr>
                <w:rFonts w:ascii="Verdana" w:hAnsi="Verdana"/>
                <w:sz w:val="20"/>
                <w:szCs w:val="20"/>
              </w:rPr>
              <w:t>MAN 2110,</w:t>
            </w:r>
          </w:p>
          <w:p w:rsidR="00326281" w:rsidRDefault="00326281" w:rsidP="00A505B9">
            <w:pPr>
              <w:rPr>
                <w:rFonts w:ascii="Verdana" w:hAnsi="Verdana"/>
                <w:sz w:val="20"/>
                <w:szCs w:val="20"/>
              </w:rPr>
            </w:pPr>
            <w:r>
              <w:rPr>
                <w:rFonts w:ascii="Verdana" w:hAnsi="Verdana"/>
                <w:sz w:val="20"/>
                <w:szCs w:val="20"/>
              </w:rPr>
              <w:t>MAN 1110,</w:t>
            </w:r>
          </w:p>
          <w:p w:rsidR="00326281" w:rsidRDefault="00326281" w:rsidP="00A505B9">
            <w:pPr>
              <w:rPr>
                <w:rFonts w:ascii="Verdana" w:hAnsi="Verdana"/>
                <w:sz w:val="20"/>
                <w:szCs w:val="20"/>
              </w:rPr>
            </w:pPr>
            <w:r>
              <w:rPr>
                <w:rFonts w:ascii="Verdana" w:hAnsi="Verdana"/>
                <w:sz w:val="20"/>
                <w:szCs w:val="20"/>
              </w:rPr>
              <w:t>MAN 1106,</w:t>
            </w:r>
          </w:p>
          <w:p w:rsidR="00326281" w:rsidRPr="00DF7C71" w:rsidRDefault="00326281" w:rsidP="00A505B9">
            <w:pPr>
              <w:rPr>
                <w:rFonts w:ascii="Verdana" w:hAnsi="Verdana"/>
                <w:sz w:val="20"/>
                <w:szCs w:val="20"/>
              </w:rPr>
            </w:pPr>
            <w:r>
              <w:rPr>
                <w:rFonts w:ascii="Verdana" w:hAnsi="Verdana"/>
                <w:sz w:val="20"/>
                <w:szCs w:val="20"/>
              </w:rPr>
              <w:t>MRK 2145,</w:t>
            </w:r>
            <w:r w:rsidRPr="00DF7C71">
              <w:rPr>
                <w:rFonts w:ascii="Verdana" w:hAnsi="Verdana"/>
                <w:sz w:val="20"/>
                <w:szCs w:val="20"/>
              </w:rPr>
              <w:t xml:space="preserve"> </w:t>
            </w:r>
          </w:p>
        </w:tc>
        <w:tc>
          <w:tcPr>
            <w:tcW w:w="1430" w:type="dxa"/>
            <w:shd w:val="clear" w:color="auto" w:fill="auto"/>
          </w:tcPr>
          <w:p w:rsidR="00326281" w:rsidRPr="00445B6E" w:rsidRDefault="009C105C" w:rsidP="00A505B9">
            <w:pPr>
              <w:pStyle w:val="ListParagraph"/>
              <w:ind w:left="0"/>
              <w:rPr>
                <w:rFonts w:ascii="Arial" w:hAnsi="Arial" w:cs="Arial"/>
                <w:color w:val="000000" w:themeColor="text1"/>
                <w:sz w:val="20"/>
                <w:szCs w:val="20"/>
              </w:rPr>
            </w:pPr>
            <w:r w:rsidRPr="00445B6E">
              <w:rPr>
                <w:rFonts w:ascii="Arial" w:hAnsi="Arial" w:cs="Arial"/>
                <w:color w:val="000000" w:themeColor="text1"/>
                <w:sz w:val="20"/>
                <w:szCs w:val="20"/>
              </w:rPr>
              <w:lastRenderedPageBreak/>
              <w:t>FY 09-10</w:t>
            </w:r>
          </w:p>
        </w:tc>
        <w:tc>
          <w:tcPr>
            <w:tcW w:w="2250" w:type="dxa"/>
          </w:tcPr>
          <w:p w:rsidR="00326281" w:rsidRPr="00445B6E" w:rsidRDefault="00E450AE" w:rsidP="00A505B9">
            <w:pPr>
              <w:pStyle w:val="ListParagraph"/>
              <w:ind w:left="0"/>
              <w:rPr>
                <w:rFonts w:ascii="Arial" w:hAnsi="Arial" w:cs="Arial"/>
                <w:color w:val="000000" w:themeColor="text1"/>
                <w:sz w:val="20"/>
                <w:szCs w:val="20"/>
              </w:rPr>
            </w:pPr>
            <w:r>
              <w:rPr>
                <w:rFonts w:ascii="Arial" w:hAnsi="Arial" w:cs="Arial"/>
                <w:color w:val="000000" w:themeColor="text1"/>
                <w:sz w:val="20"/>
                <w:szCs w:val="20"/>
              </w:rPr>
              <w:t>Assignments</w:t>
            </w:r>
          </w:p>
        </w:tc>
        <w:tc>
          <w:tcPr>
            <w:tcW w:w="4028" w:type="dxa"/>
          </w:tcPr>
          <w:p w:rsidR="00326281" w:rsidRPr="0042188E" w:rsidRDefault="00AB725C" w:rsidP="00A505B9">
            <w:pPr>
              <w:pStyle w:val="ListParagraph"/>
              <w:ind w:left="0"/>
              <w:rPr>
                <w:rFonts w:ascii="Arial" w:hAnsi="Arial" w:cs="Arial"/>
                <w:i/>
                <w:color w:val="000000" w:themeColor="text1"/>
                <w:sz w:val="20"/>
                <w:szCs w:val="20"/>
              </w:rPr>
            </w:pPr>
            <w:r>
              <w:rPr>
                <w:rFonts w:ascii="Arial" w:hAnsi="Arial" w:cs="Arial"/>
                <w:i/>
                <w:color w:val="000000" w:themeColor="text1"/>
                <w:sz w:val="20"/>
                <w:szCs w:val="20"/>
              </w:rPr>
              <w:t>General business k</w:t>
            </w:r>
            <w:r w:rsidR="00C00460" w:rsidRPr="0042188E">
              <w:rPr>
                <w:rFonts w:ascii="Arial" w:hAnsi="Arial" w:cs="Arial"/>
                <w:i/>
                <w:color w:val="000000" w:themeColor="text1"/>
                <w:sz w:val="20"/>
                <w:szCs w:val="20"/>
              </w:rPr>
              <w:t xml:space="preserve">nowledge was assessed using simulations (homework assignments) in accounting ACC121WEB </w:t>
            </w:r>
            <w:r w:rsidR="00C00460" w:rsidRPr="0042188E">
              <w:rPr>
                <w:rFonts w:ascii="Arial" w:hAnsi="Arial" w:cs="Arial"/>
                <w:i/>
                <w:color w:val="000000" w:themeColor="text1"/>
                <w:sz w:val="20"/>
                <w:szCs w:val="20"/>
              </w:rPr>
              <w:lastRenderedPageBreak/>
              <w:t xml:space="preserve">classes.  Every business major as well as every accounting major is required to take ACC121 as part of their program.  During spring of 2010 </w:t>
            </w:r>
            <w:r w:rsidR="00B80F25">
              <w:rPr>
                <w:rFonts w:ascii="Arial" w:hAnsi="Arial" w:cs="Arial"/>
                <w:i/>
                <w:color w:val="000000" w:themeColor="text1"/>
                <w:sz w:val="20"/>
                <w:szCs w:val="20"/>
              </w:rPr>
              <w:t xml:space="preserve">an </w:t>
            </w:r>
            <w:r w:rsidR="00C00460" w:rsidRPr="0042188E">
              <w:rPr>
                <w:rFonts w:ascii="Arial" w:hAnsi="Arial" w:cs="Arial"/>
                <w:i/>
                <w:color w:val="000000" w:themeColor="text1"/>
                <w:sz w:val="20"/>
                <w:szCs w:val="20"/>
              </w:rPr>
              <w:t xml:space="preserve">analysis of homework assignments revealed that homework was not being completed in WEB classes prior to submission deadlines.  The faculty believed and a survey confirmed in the fall of 2010 that students were trying to complete the 3 to 5 hours of homework shortly before required submittal time.  Starting winter quarter 2011, homework assignments were split in two and required students to submit midweek and at the end of the week.  </w:t>
            </w:r>
            <w:r w:rsidR="00812E58" w:rsidRPr="00812E58">
              <w:rPr>
                <w:rFonts w:ascii="Arial" w:hAnsi="Arial" w:cs="Arial"/>
                <w:i/>
                <w:color w:val="000000" w:themeColor="text1"/>
                <w:sz w:val="20"/>
                <w:szCs w:val="20"/>
              </w:rPr>
              <w:t xml:space="preserve">Data collected from before and after splitting assignments indicates that students that did not do homework once a week did not do homework when split into two smaller assignments.  But the change was not done in vain, it turned out that by splitting homework up into smaller pieces </w:t>
            </w:r>
            <w:r w:rsidR="00812E58">
              <w:rPr>
                <w:rFonts w:ascii="Arial" w:hAnsi="Arial" w:cs="Arial"/>
                <w:i/>
                <w:color w:val="000000" w:themeColor="text1"/>
                <w:sz w:val="20"/>
                <w:szCs w:val="20"/>
              </w:rPr>
              <w:t xml:space="preserve">it </w:t>
            </w:r>
            <w:r w:rsidR="00812E58" w:rsidRPr="00812E58">
              <w:rPr>
                <w:rFonts w:ascii="Arial" w:hAnsi="Arial" w:cs="Arial"/>
                <w:i/>
                <w:color w:val="000000" w:themeColor="text1"/>
                <w:sz w:val="20"/>
                <w:szCs w:val="20"/>
              </w:rPr>
              <w:t>help</w:t>
            </w:r>
            <w:r w:rsidR="00812E58">
              <w:rPr>
                <w:rFonts w:ascii="Arial" w:hAnsi="Arial" w:cs="Arial"/>
                <w:i/>
                <w:color w:val="000000" w:themeColor="text1"/>
                <w:sz w:val="20"/>
                <w:szCs w:val="20"/>
              </w:rPr>
              <w:t>ed</w:t>
            </w:r>
            <w:r w:rsidR="00812E58" w:rsidRPr="00812E58">
              <w:rPr>
                <w:rFonts w:ascii="Arial" w:hAnsi="Arial" w:cs="Arial"/>
                <w:i/>
                <w:color w:val="000000" w:themeColor="text1"/>
                <w:sz w:val="20"/>
                <w:szCs w:val="20"/>
              </w:rPr>
              <w:t xml:space="preserve"> students understand the concepts better and students performed better on exams.  The end result was that we had the same number of students that were unsuccessful (students receiving D, F or W) but a higher number of students receiving A’s and B’s instead of C’s.</w:t>
            </w:r>
          </w:p>
        </w:tc>
      </w:tr>
      <w:tr w:rsidR="00326281" w:rsidRPr="004C52FC" w:rsidTr="00B34F9E">
        <w:tblPrEx>
          <w:shd w:val="clear" w:color="auto" w:fill="auto"/>
          <w:tblLook w:val="04A0"/>
        </w:tblPrEx>
        <w:trPr>
          <w:trHeight w:val="72"/>
        </w:trPr>
        <w:tc>
          <w:tcPr>
            <w:tcW w:w="3708" w:type="dxa"/>
            <w:gridSpan w:val="2"/>
            <w:vAlign w:val="center"/>
          </w:tcPr>
          <w:p w:rsidR="00326281" w:rsidRDefault="00326281" w:rsidP="00A505B9">
            <w:pPr>
              <w:rPr>
                <w:rFonts w:ascii="Verdana" w:hAnsi="Verdana"/>
                <w:sz w:val="20"/>
                <w:szCs w:val="20"/>
              </w:rPr>
            </w:pPr>
            <w:r>
              <w:rPr>
                <w:rFonts w:ascii="Verdana" w:hAnsi="Verdana"/>
                <w:sz w:val="20"/>
                <w:szCs w:val="20"/>
              </w:rPr>
              <w:lastRenderedPageBreak/>
              <w:t xml:space="preserve">Use analytical problem-solving skills. </w:t>
            </w:r>
          </w:p>
        </w:tc>
        <w:tc>
          <w:tcPr>
            <w:tcW w:w="1742" w:type="dxa"/>
            <w:vAlign w:val="center"/>
          </w:tcPr>
          <w:p w:rsidR="00326281" w:rsidRDefault="00326281" w:rsidP="00A505B9">
            <w:pPr>
              <w:rPr>
                <w:rFonts w:ascii="Verdana" w:hAnsi="Verdana"/>
                <w:sz w:val="20"/>
                <w:szCs w:val="20"/>
              </w:rPr>
            </w:pPr>
            <w:r>
              <w:rPr>
                <w:rFonts w:ascii="Verdana" w:hAnsi="Verdana"/>
                <w:sz w:val="20"/>
                <w:szCs w:val="20"/>
              </w:rPr>
              <w:t>ACC 2102, ACC 2212, ACC 2321, Natural / Physical Science Elective</w:t>
            </w:r>
          </w:p>
        </w:tc>
        <w:tc>
          <w:tcPr>
            <w:tcW w:w="1430" w:type="dxa"/>
          </w:tcPr>
          <w:p w:rsidR="00326281" w:rsidRPr="00445B6E" w:rsidRDefault="00FF7EA0" w:rsidP="00A505B9">
            <w:pPr>
              <w:pStyle w:val="ListParagraph"/>
              <w:ind w:left="0"/>
              <w:rPr>
                <w:rFonts w:ascii="Arial" w:hAnsi="Arial" w:cs="Arial"/>
                <w:color w:val="000000" w:themeColor="text1"/>
                <w:sz w:val="20"/>
                <w:szCs w:val="20"/>
              </w:rPr>
            </w:pPr>
            <w:r w:rsidRPr="00445B6E">
              <w:rPr>
                <w:rFonts w:ascii="Arial" w:hAnsi="Arial" w:cs="Arial"/>
                <w:color w:val="000000" w:themeColor="text1"/>
                <w:sz w:val="20"/>
                <w:szCs w:val="20"/>
              </w:rPr>
              <w:t>FY 10-11</w:t>
            </w:r>
          </w:p>
        </w:tc>
        <w:tc>
          <w:tcPr>
            <w:tcW w:w="2250" w:type="dxa"/>
          </w:tcPr>
          <w:p w:rsidR="00326281" w:rsidRPr="00445B6E" w:rsidRDefault="00FF7EA0" w:rsidP="00A505B9">
            <w:pPr>
              <w:pStyle w:val="ListParagraph"/>
              <w:ind w:left="0"/>
              <w:rPr>
                <w:rFonts w:ascii="Arial" w:hAnsi="Arial" w:cs="Arial"/>
                <w:color w:val="000000" w:themeColor="text1"/>
                <w:sz w:val="20"/>
                <w:szCs w:val="20"/>
              </w:rPr>
            </w:pPr>
            <w:r w:rsidRPr="00445B6E">
              <w:rPr>
                <w:rFonts w:ascii="Arial" w:hAnsi="Arial" w:cs="Arial"/>
                <w:color w:val="000000" w:themeColor="text1"/>
                <w:sz w:val="20"/>
                <w:szCs w:val="20"/>
              </w:rPr>
              <w:t>Locally developed exams</w:t>
            </w:r>
          </w:p>
        </w:tc>
        <w:tc>
          <w:tcPr>
            <w:tcW w:w="4028" w:type="dxa"/>
          </w:tcPr>
          <w:p w:rsidR="00326281" w:rsidRPr="0042188E" w:rsidRDefault="00D75DBC" w:rsidP="004E1C60">
            <w:pPr>
              <w:pStyle w:val="ListParagraph"/>
              <w:ind w:left="0"/>
              <w:rPr>
                <w:rFonts w:ascii="Arial" w:hAnsi="Arial" w:cs="Arial"/>
                <w:i/>
                <w:color w:val="000000" w:themeColor="text1"/>
                <w:sz w:val="20"/>
                <w:szCs w:val="20"/>
              </w:rPr>
            </w:pPr>
            <w:r w:rsidRPr="0042188E">
              <w:rPr>
                <w:rFonts w:ascii="Arial" w:hAnsi="Arial" w:cs="Arial"/>
                <w:i/>
                <w:sz w:val="20"/>
                <w:szCs w:val="20"/>
              </w:rPr>
              <w:t xml:space="preserve">Based on the assessment only 51% of the students met the department’s goal of effectively using analytical problem solving methods.  </w:t>
            </w:r>
            <w:r w:rsidR="00503D4B">
              <w:rPr>
                <w:rFonts w:ascii="Arial" w:hAnsi="Arial" w:cs="Arial"/>
                <w:i/>
                <w:sz w:val="20"/>
                <w:szCs w:val="20"/>
              </w:rPr>
              <w:t>Since students did</w:t>
            </w:r>
            <w:r w:rsidR="00B472AA" w:rsidRPr="0042188E">
              <w:rPr>
                <w:rFonts w:ascii="Arial" w:hAnsi="Arial" w:cs="Arial"/>
                <w:i/>
                <w:sz w:val="20"/>
                <w:szCs w:val="20"/>
              </w:rPr>
              <w:t xml:space="preserve"> not exceed </w:t>
            </w:r>
            <w:r w:rsidR="00812E58">
              <w:rPr>
                <w:rFonts w:ascii="Arial" w:hAnsi="Arial" w:cs="Arial"/>
                <w:i/>
                <w:sz w:val="20"/>
                <w:szCs w:val="20"/>
              </w:rPr>
              <w:t xml:space="preserve">the </w:t>
            </w:r>
            <w:r w:rsidR="00B472AA" w:rsidRPr="0042188E">
              <w:rPr>
                <w:rFonts w:ascii="Arial" w:hAnsi="Arial" w:cs="Arial"/>
                <w:i/>
                <w:sz w:val="20"/>
                <w:szCs w:val="20"/>
              </w:rPr>
              <w:t xml:space="preserve">goal of 70% </w:t>
            </w:r>
            <w:r w:rsidR="000D1F03" w:rsidRPr="0042188E">
              <w:rPr>
                <w:rFonts w:ascii="Arial" w:hAnsi="Arial" w:cs="Arial"/>
                <w:i/>
                <w:sz w:val="20"/>
                <w:szCs w:val="20"/>
              </w:rPr>
              <w:t xml:space="preserve">we </w:t>
            </w:r>
            <w:r w:rsidR="004E1C60" w:rsidRPr="004E1C60">
              <w:rPr>
                <w:rFonts w:ascii="Arial" w:hAnsi="Arial" w:cs="Arial"/>
                <w:i/>
                <w:sz w:val="20"/>
                <w:szCs w:val="20"/>
              </w:rPr>
              <w:t xml:space="preserve">will emphasize the importance of analytical </w:t>
            </w:r>
            <w:r w:rsidR="004E1C60">
              <w:rPr>
                <w:rFonts w:ascii="Arial" w:hAnsi="Arial" w:cs="Arial"/>
                <w:i/>
                <w:sz w:val="20"/>
                <w:szCs w:val="20"/>
              </w:rPr>
              <w:t>problem solving methods in ACC1</w:t>
            </w:r>
            <w:r w:rsidR="004E1C60" w:rsidRPr="004E1C60">
              <w:rPr>
                <w:rFonts w:ascii="Arial" w:hAnsi="Arial" w:cs="Arial"/>
                <w:i/>
                <w:sz w:val="20"/>
                <w:szCs w:val="20"/>
              </w:rPr>
              <w:t>5</w:t>
            </w:r>
            <w:r w:rsidR="004E1C60">
              <w:rPr>
                <w:rFonts w:ascii="Arial" w:hAnsi="Arial" w:cs="Arial"/>
                <w:i/>
                <w:sz w:val="20"/>
                <w:szCs w:val="20"/>
              </w:rPr>
              <w:t>10</w:t>
            </w:r>
            <w:r w:rsidR="004E1C60" w:rsidRPr="004E1C60">
              <w:rPr>
                <w:rFonts w:ascii="Arial" w:hAnsi="Arial" w:cs="Arial"/>
                <w:i/>
                <w:sz w:val="20"/>
                <w:szCs w:val="20"/>
              </w:rPr>
              <w:t xml:space="preserve"> along with assessing students in this area in courses that are taken near the completion of the accounting degree.</w:t>
            </w:r>
          </w:p>
        </w:tc>
      </w:tr>
    </w:tbl>
    <w:p w:rsidR="00BF3561" w:rsidRDefault="00BF3561" w:rsidP="001D736E">
      <w:pPr>
        <w:pStyle w:val="ListParagraph"/>
        <w:tabs>
          <w:tab w:val="left" w:pos="5040"/>
        </w:tabs>
        <w:ind w:left="360"/>
        <w:rPr>
          <w:rFonts w:ascii="Arial" w:hAnsi="Arial" w:cs="Arial"/>
          <w:color w:val="000000" w:themeColor="text1"/>
        </w:rPr>
      </w:pPr>
    </w:p>
    <w:p w:rsidR="008B07E3" w:rsidRDefault="00350D53">
      <w:pPr>
        <w:spacing w:after="200" w:line="276" w:lineRule="auto"/>
        <w:rPr>
          <w:rFonts w:ascii="Arial" w:hAnsi="Arial" w:cs="Arial"/>
          <w:b/>
          <w:color w:val="000000" w:themeColor="text1"/>
        </w:rPr>
        <w:sectPr w:rsidR="008B07E3" w:rsidSect="00EF15CD">
          <w:pgSz w:w="15840" w:h="12240" w:orient="landscape"/>
          <w:pgMar w:top="1440" w:right="1152" w:bottom="1440" w:left="1152" w:header="720" w:footer="288" w:gutter="0"/>
          <w:cols w:space="720"/>
          <w:docGrid w:linePitch="360"/>
        </w:sectPr>
      </w:pPr>
      <w:r>
        <w:rPr>
          <w:rFonts w:ascii="Arial" w:hAnsi="Arial" w:cs="Arial"/>
          <w:b/>
          <w:color w:val="000000" w:themeColor="text1"/>
        </w:rPr>
        <w:br w:type="page"/>
      </w:r>
    </w:p>
    <w:p w:rsidR="00350D53" w:rsidRDefault="00350D53">
      <w:pPr>
        <w:spacing w:after="200" w:line="276" w:lineRule="auto"/>
        <w:rPr>
          <w:rFonts w:ascii="Arial" w:hAnsi="Arial" w:cs="Arial"/>
          <w:b/>
          <w:color w:val="000000" w:themeColor="text1"/>
        </w:r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3E791C" w:rsidRDefault="003E791C" w:rsidP="003E791C">
      <w:pPr>
        <w:pStyle w:val="ListParagraph"/>
        <w:tabs>
          <w:tab w:val="left" w:pos="5040"/>
        </w:tabs>
        <w:ind w:left="0"/>
        <w:rPr>
          <w:rFonts w:ascii="Arial" w:hAnsi="Arial" w:cs="Arial"/>
          <w:color w:val="000000" w:themeColor="text1"/>
        </w:rPr>
      </w:pPr>
    </w:p>
    <w:p w:rsidR="00326281" w:rsidRDefault="00691FAF" w:rsidP="00326281">
      <w:pPr>
        <w:spacing w:after="200" w:line="276" w:lineRule="auto"/>
        <w:rPr>
          <w:rFonts w:ascii="Arial" w:hAnsi="Arial" w:cs="Arial"/>
          <w:color w:val="000000" w:themeColor="text1"/>
        </w:rPr>
      </w:pPr>
      <w:r>
        <w:rPr>
          <w:rFonts w:ascii="Arial" w:hAnsi="Arial" w:cs="Arial"/>
          <w:color w:val="000000" w:themeColor="text1"/>
        </w:rPr>
        <w:t>No changes are being implemented as a result of assessing general education outcomes for oral and written communication.  Ninety</w:t>
      </w:r>
      <w:r w:rsidR="00A35251">
        <w:rPr>
          <w:rFonts w:ascii="Arial" w:hAnsi="Arial" w:cs="Arial"/>
          <w:color w:val="000000" w:themeColor="text1"/>
        </w:rPr>
        <w:t>-</w:t>
      </w:r>
      <w:r>
        <w:rPr>
          <w:rFonts w:ascii="Arial" w:hAnsi="Arial" w:cs="Arial"/>
          <w:color w:val="000000" w:themeColor="text1"/>
        </w:rPr>
        <w:t xml:space="preserve">two percent of the students assessed in oral </w:t>
      </w:r>
      <w:r w:rsidR="002A7A6E">
        <w:rPr>
          <w:rFonts w:ascii="Arial" w:hAnsi="Arial" w:cs="Arial"/>
          <w:color w:val="000000" w:themeColor="text1"/>
        </w:rPr>
        <w:t xml:space="preserve">communication and </w:t>
      </w:r>
      <w:r w:rsidR="00A35251">
        <w:rPr>
          <w:rFonts w:ascii="Arial" w:hAnsi="Arial" w:cs="Arial"/>
          <w:color w:val="000000" w:themeColor="text1"/>
        </w:rPr>
        <w:t>seventy-five percent of the students assessed in written communication were successful</w:t>
      </w:r>
      <w:r w:rsidR="002A7A6E">
        <w:rPr>
          <w:rFonts w:ascii="Arial" w:hAnsi="Arial" w:cs="Arial"/>
          <w:color w:val="000000" w:themeColor="text1"/>
        </w:rPr>
        <w:t xml:space="preserve">.  The department considers 75% or </w:t>
      </w:r>
      <w:r w:rsidR="00A35251">
        <w:rPr>
          <w:rFonts w:ascii="Arial" w:hAnsi="Arial" w:cs="Arial"/>
          <w:color w:val="000000" w:themeColor="text1"/>
        </w:rPr>
        <w:t xml:space="preserve">higher as success in these areas.  Since the written communication was exactly at </w:t>
      </w:r>
      <w:r w:rsidR="002C3079">
        <w:rPr>
          <w:rFonts w:ascii="Arial" w:hAnsi="Arial" w:cs="Arial"/>
          <w:color w:val="000000" w:themeColor="text1"/>
        </w:rPr>
        <w:t>the department goal,</w:t>
      </w:r>
      <w:r w:rsidR="00A35251">
        <w:rPr>
          <w:rFonts w:ascii="Arial" w:hAnsi="Arial" w:cs="Arial"/>
          <w:color w:val="000000" w:themeColor="text1"/>
        </w:rPr>
        <w:t xml:space="preserve"> the instructor </w:t>
      </w:r>
      <w:r w:rsidR="002C3079">
        <w:rPr>
          <w:rFonts w:ascii="Arial" w:hAnsi="Arial" w:cs="Arial"/>
          <w:color w:val="000000" w:themeColor="text1"/>
        </w:rPr>
        <w:t>will</w:t>
      </w:r>
      <w:r w:rsidR="00A35251">
        <w:rPr>
          <w:rFonts w:ascii="Arial" w:hAnsi="Arial" w:cs="Arial"/>
          <w:color w:val="000000" w:themeColor="text1"/>
        </w:rPr>
        <w:t xml:space="preserve"> </w:t>
      </w:r>
      <w:r w:rsidR="002C3079">
        <w:rPr>
          <w:rFonts w:ascii="Arial" w:hAnsi="Arial" w:cs="Arial"/>
          <w:color w:val="000000" w:themeColor="text1"/>
        </w:rPr>
        <w:t xml:space="preserve">review </w:t>
      </w:r>
      <w:r w:rsidR="00A35251">
        <w:rPr>
          <w:rFonts w:ascii="Arial" w:hAnsi="Arial" w:cs="Arial"/>
          <w:color w:val="000000" w:themeColor="text1"/>
        </w:rPr>
        <w:t>the writing project expectations prior to assigning project</w:t>
      </w:r>
      <w:r w:rsidR="00C0768E">
        <w:rPr>
          <w:rFonts w:ascii="Arial" w:hAnsi="Arial" w:cs="Arial"/>
          <w:color w:val="000000" w:themeColor="text1"/>
        </w:rPr>
        <w:t xml:space="preserve"> to class</w:t>
      </w:r>
      <w:r w:rsidR="00A35251">
        <w:rPr>
          <w:rFonts w:ascii="Arial" w:hAnsi="Arial" w:cs="Arial"/>
          <w:color w:val="000000" w:themeColor="text1"/>
        </w:rPr>
        <w:t>.</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3E791C" w:rsidRDefault="003E791C" w:rsidP="00326281">
      <w:pPr>
        <w:tabs>
          <w:tab w:val="left" w:pos="5040"/>
        </w:tabs>
        <w:rPr>
          <w:rFonts w:ascii="Arial" w:hAnsi="Arial" w:cs="Arial"/>
          <w:color w:val="000000" w:themeColor="text1"/>
        </w:rPr>
      </w:pPr>
    </w:p>
    <w:p w:rsidR="00326281" w:rsidRPr="00326281" w:rsidRDefault="00C0768E" w:rsidP="00326281">
      <w:pPr>
        <w:spacing w:after="200" w:line="276" w:lineRule="auto"/>
        <w:rPr>
          <w:rFonts w:ascii="Arial" w:hAnsi="Arial" w:cs="Arial"/>
          <w:color w:val="000000" w:themeColor="text1"/>
        </w:rPr>
      </w:pPr>
      <w:r>
        <w:rPr>
          <w:rFonts w:ascii="Arial" w:hAnsi="Arial" w:cs="Arial"/>
          <w:color w:val="000000" w:themeColor="text1"/>
        </w:rPr>
        <w:t>The department will continue to assess the writing assignment in future semesters.  No changes will be made if department continues or improves on 75% success in writing project.</w:t>
      </w:r>
    </w:p>
    <w:p w:rsidR="002D428E" w:rsidRDefault="002D428E">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EC6B80" w:rsidRDefault="00EC6B80">
      <w:pPr>
        <w:pStyle w:val="ListParagraph"/>
        <w:tabs>
          <w:tab w:val="left" w:pos="5040"/>
        </w:tabs>
        <w:ind w:left="0"/>
        <w:rPr>
          <w:rFonts w:ascii="Arial" w:hAnsi="Arial" w:cs="Arial"/>
          <w:color w:val="000000" w:themeColor="text1"/>
        </w:rPr>
      </w:pPr>
    </w:p>
    <w:p w:rsidR="00326281" w:rsidRDefault="00C0768E" w:rsidP="00326281">
      <w:pPr>
        <w:spacing w:after="200" w:line="276" w:lineRule="auto"/>
        <w:rPr>
          <w:rFonts w:ascii="Arial" w:hAnsi="Arial" w:cs="Arial"/>
          <w:color w:val="000000" w:themeColor="text1"/>
        </w:rPr>
      </w:pPr>
      <w:r>
        <w:rPr>
          <w:rFonts w:ascii="Arial" w:hAnsi="Arial" w:cs="Arial"/>
          <w:color w:val="000000" w:themeColor="text1"/>
        </w:rPr>
        <w:t xml:space="preserve">No immediate changes are planned </w:t>
      </w:r>
      <w:r w:rsidR="00B709CE">
        <w:rPr>
          <w:rFonts w:ascii="Arial" w:hAnsi="Arial" w:cs="Arial"/>
          <w:color w:val="000000" w:themeColor="text1"/>
        </w:rPr>
        <w:t xml:space="preserve">in intermediate accounting classes </w:t>
      </w:r>
      <w:r>
        <w:rPr>
          <w:rFonts w:ascii="Arial" w:hAnsi="Arial" w:cs="Arial"/>
          <w:color w:val="000000" w:themeColor="text1"/>
        </w:rPr>
        <w:t xml:space="preserve">as a result of assessing </w:t>
      </w:r>
      <w:r w:rsidR="00B709CE">
        <w:rPr>
          <w:rFonts w:ascii="Arial" w:hAnsi="Arial" w:cs="Arial"/>
          <w:color w:val="000000" w:themeColor="text1"/>
        </w:rPr>
        <w:t>students’</w:t>
      </w:r>
      <w:r>
        <w:rPr>
          <w:rFonts w:ascii="Arial" w:hAnsi="Arial" w:cs="Arial"/>
          <w:color w:val="000000" w:themeColor="text1"/>
        </w:rPr>
        <w:t xml:space="preserve"> ability to apply the principles of financial accounting.  Th</w:t>
      </w:r>
      <w:r w:rsidR="00B709CE">
        <w:rPr>
          <w:rFonts w:ascii="Arial" w:hAnsi="Arial" w:cs="Arial"/>
          <w:color w:val="000000" w:themeColor="text1"/>
        </w:rPr>
        <w:t>e assessment of the practice set that all intermediate students are required to complete indicated that 92% could apply these financial accounting concepts.  The department expects this trend to continue as a result of all the changes made to accounting principle classes along with tutoring and open labs available to students.</w:t>
      </w:r>
    </w:p>
    <w:p w:rsidR="00C45053" w:rsidRDefault="00C45053">
      <w:pPr>
        <w:pStyle w:val="ListParagraph"/>
        <w:tabs>
          <w:tab w:val="left" w:pos="5040"/>
        </w:tabs>
        <w:ind w:left="0"/>
        <w:rPr>
          <w:rFonts w:ascii="Arial" w:hAnsi="Arial" w:cs="Arial"/>
          <w:color w:val="000000" w:themeColor="text1"/>
        </w:rPr>
      </w:pP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2D428E" w:rsidRDefault="002D428E" w:rsidP="002D428E">
      <w:pPr>
        <w:pStyle w:val="ListParagraph"/>
        <w:tabs>
          <w:tab w:val="left" w:pos="5040"/>
        </w:tabs>
        <w:rPr>
          <w:rFonts w:ascii="Arial" w:hAnsi="Arial" w:cs="Arial"/>
          <w:color w:val="000000" w:themeColor="text1"/>
        </w:rPr>
      </w:pPr>
    </w:p>
    <w:p w:rsidR="00326281" w:rsidRDefault="00910468" w:rsidP="00326281">
      <w:pPr>
        <w:spacing w:after="200" w:line="276" w:lineRule="auto"/>
        <w:rPr>
          <w:rFonts w:ascii="Arial" w:hAnsi="Arial" w:cs="Arial"/>
          <w:color w:val="000000" w:themeColor="text1"/>
        </w:rPr>
      </w:pPr>
      <w:r>
        <w:rPr>
          <w:rFonts w:ascii="Arial" w:hAnsi="Arial" w:cs="Arial"/>
          <w:color w:val="000000" w:themeColor="text1"/>
        </w:rPr>
        <w:t xml:space="preserve">The department will continue to monitor </w:t>
      </w:r>
      <w:r w:rsidR="002B4E30">
        <w:rPr>
          <w:rFonts w:ascii="Arial" w:hAnsi="Arial" w:cs="Arial"/>
          <w:color w:val="000000" w:themeColor="text1"/>
        </w:rPr>
        <w:t>assessment data and make changes as necessary.</w:t>
      </w:r>
    </w:p>
    <w:p w:rsidR="00EF15CD" w:rsidRDefault="00EF15CD">
      <w:pPr>
        <w:pStyle w:val="ListParagraph"/>
        <w:tabs>
          <w:tab w:val="left" w:pos="5040"/>
        </w:tabs>
        <w:rPr>
          <w:rFonts w:ascii="Arial" w:hAnsi="Arial" w:cs="Arial"/>
          <w:color w:val="000000" w:themeColor="text1"/>
        </w:rPr>
      </w:pPr>
    </w:p>
    <w:p w:rsidR="00E450AE" w:rsidRDefault="00E450AE">
      <w:pPr>
        <w:pStyle w:val="ListParagraph"/>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4C52FC" w:rsidRDefault="004C52FC" w:rsidP="004C52FC">
      <w:pPr>
        <w:pStyle w:val="ListParagraph"/>
        <w:tabs>
          <w:tab w:val="left" w:pos="5040"/>
        </w:tabs>
        <w:rPr>
          <w:rFonts w:ascii="Arial" w:hAnsi="Arial" w:cs="Arial"/>
          <w:color w:val="000000" w:themeColor="text1"/>
        </w:rPr>
      </w:pPr>
    </w:p>
    <w:p w:rsidR="00326281" w:rsidRDefault="00AD0CA7" w:rsidP="00326281">
      <w:pPr>
        <w:spacing w:after="200" w:line="276" w:lineRule="auto"/>
        <w:rPr>
          <w:rFonts w:ascii="Arial" w:hAnsi="Arial" w:cs="Arial"/>
          <w:color w:val="000000" w:themeColor="text1"/>
        </w:rPr>
      </w:pPr>
      <w:r>
        <w:rPr>
          <w:rFonts w:ascii="Arial" w:hAnsi="Arial" w:cs="Arial"/>
          <w:color w:val="000000" w:themeColor="text1"/>
        </w:rPr>
        <w:t>The data suggest that the implementation o</w:t>
      </w:r>
      <w:r w:rsidR="00CD7FA8">
        <w:rPr>
          <w:rFonts w:ascii="Arial" w:hAnsi="Arial" w:cs="Arial"/>
          <w:color w:val="000000" w:themeColor="text1"/>
        </w:rPr>
        <w:t>f computerized homework, open labs, exam reviews and tutoring have helped student success in accounting and economics’ principle classes.  The department is committed to continue its quest to help s</w:t>
      </w:r>
      <w:r w:rsidR="001C5617">
        <w:rPr>
          <w:rFonts w:ascii="Arial" w:hAnsi="Arial" w:cs="Arial"/>
          <w:color w:val="000000" w:themeColor="text1"/>
        </w:rPr>
        <w:t>t</w:t>
      </w:r>
      <w:r w:rsidR="00CD7FA8">
        <w:rPr>
          <w:rFonts w:ascii="Arial" w:hAnsi="Arial" w:cs="Arial"/>
          <w:color w:val="000000" w:themeColor="text1"/>
        </w:rPr>
        <w:t>udents succeed in these very challenging subject areas.</w:t>
      </w: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A201E2" w:rsidRDefault="00A201E2">
      <w:pPr>
        <w:spacing w:after="200" w:line="276" w:lineRule="auto"/>
        <w:rPr>
          <w:rFonts w:ascii="Arial" w:hAnsi="Arial" w:cs="Arial"/>
          <w:color w:val="000000" w:themeColor="text1"/>
        </w:rPr>
      </w:pPr>
    </w:p>
    <w:p w:rsidR="00326281" w:rsidRDefault="00CD7FA8" w:rsidP="00326281">
      <w:pPr>
        <w:spacing w:after="200" w:line="276" w:lineRule="auto"/>
        <w:rPr>
          <w:rFonts w:ascii="Arial" w:hAnsi="Arial" w:cs="Arial"/>
          <w:color w:val="000000" w:themeColor="text1"/>
        </w:rPr>
      </w:pPr>
      <w:r>
        <w:rPr>
          <w:rFonts w:ascii="Arial" w:hAnsi="Arial" w:cs="Arial"/>
          <w:color w:val="000000" w:themeColor="text1"/>
        </w:rPr>
        <w:t>All new and updated improvements have been discussed in the Annual Update</w:t>
      </w:r>
    </w:p>
    <w:p w:rsidR="00326281" w:rsidRDefault="00326281">
      <w:pPr>
        <w:spacing w:after="200" w:line="276" w:lineRule="auto"/>
        <w:rPr>
          <w:rFonts w:ascii="Arial" w:hAnsi="Arial" w:cs="Arial"/>
          <w:color w:val="000000" w:themeColor="text1"/>
        </w:rPr>
        <w:sectPr w:rsidR="00326281" w:rsidSect="008B07E3">
          <w:pgSz w:w="12240" w:h="15840"/>
          <w:pgMar w:top="1152" w:right="1440" w:bottom="1152" w:left="1440" w:header="720" w:footer="288" w:gutter="0"/>
          <w:cols w:space="720"/>
          <w:docGrid w:linePitch="360"/>
        </w:sectPr>
      </w:pP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174C4B" w:rsidRDefault="00174C4B" w:rsidP="00174C4B">
      <w:pPr>
        <w:rPr>
          <w:rFonts w:ascii="Arial" w:hAnsi="Arial" w:cs="Arial"/>
          <w:color w:val="000000" w:themeColor="text1"/>
        </w:rPr>
      </w:pPr>
    </w:p>
    <w:tbl>
      <w:tblPr>
        <w:tblW w:w="10220" w:type="dxa"/>
        <w:tblInd w:w="93" w:type="dxa"/>
        <w:tblLook w:val="04A0"/>
      </w:tblPr>
      <w:tblGrid>
        <w:gridCol w:w="1307"/>
        <w:gridCol w:w="3220"/>
        <w:gridCol w:w="2320"/>
        <w:gridCol w:w="860"/>
        <w:gridCol w:w="860"/>
        <w:gridCol w:w="860"/>
        <w:gridCol w:w="860"/>
      </w:tblGrid>
      <w:tr w:rsidR="00195E35" w:rsidRPr="008F41A6" w:rsidTr="00195E35">
        <w:trPr>
          <w:trHeight w:val="300"/>
        </w:trPr>
        <w:tc>
          <w:tcPr>
            <w:tcW w:w="1240" w:type="dxa"/>
            <w:tcBorders>
              <w:top w:val="nil"/>
              <w:left w:val="nil"/>
              <w:bottom w:val="nil"/>
              <w:right w:val="nil"/>
            </w:tcBorders>
            <w:shd w:val="clear" w:color="000000" w:fill="auto"/>
            <w:noWrap/>
            <w:hideMark/>
          </w:tcPr>
          <w:p w:rsidR="00195E35" w:rsidRPr="003117D4" w:rsidRDefault="00195E35" w:rsidP="00A505B9">
            <w:pPr>
              <w:rPr>
                <w:rFonts w:ascii="Calibri" w:hAnsi="Calibri"/>
                <w:color w:val="000000"/>
              </w:rPr>
            </w:pPr>
            <w:r w:rsidRPr="003117D4">
              <w:rPr>
                <w:rFonts w:ascii="Calibri" w:hAnsi="Calibri"/>
                <w:color w:val="000000"/>
                <w:sz w:val="22"/>
                <w:szCs w:val="22"/>
              </w:rPr>
              <w:t>Department</w:t>
            </w:r>
          </w:p>
        </w:tc>
        <w:tc>
          <w:tcPr>
            <w:tcW w:w="3220" w:type="dxa"/>
            <w:tcBorders>
              <w:top w:val="nil"/>
              <w:left w:val="nil"/>
              <w:bottom w:val="nil"/>
              <w:right w:val="nil"/>
            </w:tcBorders>
            <w:shd w:val="clear" w:color="000000" w:fill="auto"/>
            <w:noWrap/>
            <w:hideMark/>
          </w:tcPr>
          <w:p w:rsidR="00195E35" w:rsidRPr="003117D4" w:rsidRDefault="00195E35" w:rsidP="00A505B9">
            <w:pPr>
              <w:rPr>
                <w:rFonts w:ascii="Calibri" w:hAnsi="Calibri"/>
                <w:color w:val="000000"/>
              </w:rPr>
            </w:pPr>
            <w:r w:rsidRPr="003117D4">
              <w:rPr>
                <w:rFonts w:ascii="Calibri" w:hAnsi="Calibri"/>
                <w:color w:val="000000"/>
                <w:sz w:val="22"/>
                <w:szCs w:val="22"/>
              </w:rPr>
              <w:t>Department Name</w:t>
            </w:r>
          </w:p>
        </w:tc>
        <w:tc>
          <w:tcPr>
            <w:tcW w:w="2320" w:type="dxa"/>
            <w:tcBorders>
              <w:top w:val="nil"/>
              <w:left w:val="nil"/>
              <w:bottom w:val="nil"/>
              <w:right w:val="nil"/>
            </w:tcBorders>
            <w:shd w:val="clear" w:color="000000" w:fill="auto"/>
            <w:noWrap/>
            <w:hideMark/>
          </w:tcPr>
          <w:p w:rsidR="00195E35" w:rsidRPr="003117D4" w:rsidRDefault="00195E35" w:rsidP="00A505B9">
            <w:pPr>
              <w:rPr>
                <w:rFonts w:ascii="Calibri" w:hAnsi="Calibri"/>
                <w:color w:val="000000"/>
              </w:rPr>
            </w:pPr>
            <w:r w:rsidRPr="003117D4">
              <w:rPr>
                <w:rFonts w:ascii="Calibri" w:hAnsi="Calibri"/>
                <w:color w:val="000000"/>
                <w:sz w:val="22"/>
                <w:szCs w:val="22"/>
              </w:rPr>
              <w:t>Program</w:t>
            </w:r>
          </w:p>
        </w:tc>
        <w:tc>
          <w:tcPr>
            <w:tcW w:w="860" w:type="dxa"/>
            <w:tcBorders>
              <w:top w:val="nil"/>
              <w:left w:val="nil"/>
              <w:bottom w:val="nil"/>
              <w:right w:val="nil"/>
            </w:tcBorders>
            <w:shd w:val="clear" w:color="000000" w:fill="auto"/>
            <w:noWrap/>
            <w:hideMark/>
          </w:tcPr>
          <w:p w:rsidR="00195E35" w:rsidRPr="003117D4" w:rsidRDefault="00195E35" w:rsidP="00A505B9">
            <w:pPr>
              <w:jc w:val="right"/>
              <w:rPr>
                <w:rFonts w:ascii="Calibri" w:hAnsi="Calibri"/>
                <w:color w:val="000000"/>
              </w:rPr>
            </w:pPr>
            <w:r w:rsidRPr="003117D4">
              <w:rPr>
                <w:rFonts w:ascii="Calibri" w:hAnsi="Calibri"/>
                <w:color w:val="000000"/>
                <w:sz w:val="22"/>
                <w:szCs w:val="22"/>
              </w:rPr>
              <w:t>FY 07-08</w:t>
            </w:r>
          </w:p>
        </w:tc>
        <w:tc>
          <w:tcPr>
            <w:tcW w:w="860" w:type="dxa"/>
            <w:tcBorders>
              <w:top w:val="nil"/>
              <w:left w:val="nil"/>
              <w:bottom w:val="nil"/>
              <w:right w:val="nil"/>
            </w:tcBorders>
            <w:shd w:val="clear" w:color="000000" w:fill="auto"/>
            <w:noWrap/>
            <w:hideMark/>
          </w:tcPr>
          <w:p w:rsidR="00195E35" w:rsidRPr="003117D4" w:rsidRDefault="00195E35" w:rsidP="00A505B9">
            <w:pPr>
              <w:jc w:val="right"/>
              <w:rPr>
                <w:rFonts w:ascii="Calibri" w:hAnsi="Calibri"/>
                <w:color w:val="000000"/>
              </w:rPr>
            </w:pPr>
            <w:r w:rsidRPr="003117D4">
              <w:rPr>
                <w:rFonts w:ascii="Calibri" w:hAnsi="Calibri"/>
                <w:color w:val="000000"/>
                <w:sz w:val="22"/>
                <w:szCs w:val="22"/>
              </w:rPr>
              <w:t>FY 08-09</w:t>
            </w:r>
          </w:p>
        </w:tc>
        <w:tc>
          <w:tcPr>
            <w:tcW w:w="860" w:type="dxa"/>
            <w:tcBorders>
              <w:top w:val="nil"/>
              <w:left w:val="nil"/>
              <w:bottom w:val="nil"/>
              <w:right w:val="nil"/>
            </w:tcBorders>
            <w:shd w:val="clear" w:color="000000" w:fill="auto"/>
            <w:noWrap/>
            <w:hideMark/>
          </w:tcPr>
          <w:p w:rsidR="00195E35" w:rsidRPr="003117D4" w:rsidRDefault="00195E35" w:rsidP="00A505B9">
            <w:pPr>
              <w:jc w:val="right"/>
              <w:rPr>
                <w:rFonts w:ascii="Calibri" w:hAnsi="Calibri"/>
                <w:color w:val="000000"/>
              </w:rPr>
            </w:pPr>
            <w:r w:rsidRPr="003117D4">
              <w:rPr>
                <w:rFonts w:ascii="Calibri" w:hAnsi="Calibri"/>
                <w:color w:val="000000"/>
                <w:sz w:val="22"/>
                <w:szCs w:val="22"/>
              </w:rPr>
              <w:t>FY 09-10</w:t>
            </w:r>
          </w:p>
        </w:tc>
        <w:tc>
          <w:tcPr>
            <w:tcW w:w="860" w:type="dxa"/>
            <w:tcBorders>
              <w:top w:val="nil"/>
              <w:left w:val="nil"/>
              <w:bottom w:val="nil"/>
              <w:right w:val="nil"/>
            </w:tcBorders>
            <w:shd w:val="clear" w:color="000000" w:fill="auto"/>
            <w:noWrap/>
            <w:hideMark/>
          </w:tcPr>
          <w:p w:rsidR="00195E35" w:rsidRPr="003117D4" w:rsidRDefault="00195E35" w:rsidP="00A505B9">
            <w:pPr>
              <w:jc w:val="right"/>
              <w:rPr>
                <w:rFonts w:ascii="Calibri" w:hAnsi="Calibri"/>
                <w:color w:val="000000"/>
              </w:rPr>
            </w:pPr>
            <w:r w:rsidRPr="003117D4">
              <w:rPr>
                <w:rFonts w:ascii="Calibri" w:hAnsi="Calibri"/>
                <w:color w:val="000000"/>
                <w:sz w:val="22"/>
                <w:szCs w:val="22"/>
              </w:rPr>
              <w:t>FY 10-11</w:t>
            </w:r>
          </w:p>
        </w:tc>
      </w:tr>
      <w:tr w:rsidR="008F41A6" w:rsidRPr="008F41A6" w:rsidTr="008F41A6">
        <w:trPr>
          <w:trHeight w:val="300"/>
        </w:trPr>
        <w:tc>
          <w:tcPr>
            <w:tcW w:w="1240" w:type="dxa"/>
            <w:tcBorders>
              <w:top w:val="nil"/>
              <w:left w:val="nil"/>
              <w:bottom w:val="nil"/>
              <w:right w:val="nil"/>
            </w:tcBorders>
            <w:shd w:val="clear" w:color="000000" w:fill="D8D8D8"/>
            <w:noWrap/>
            <w:vAlign w:val="bottom"/>
            <w:hideMark/>
          </w:tcPr>
          <w:p w:rsidR="008F41A6" w:rsidRPr="008F41A6" w:rsidRDefault="008F41A6" w:rsidP="008F41A6">
            <w:pPr>
              <w:rPr>
                <w:rFonts w:ascii="Calibri" w:hAnsi="Calibri"/>
                <w:color w:val="000000"/>
              </w:rPr>
            </w:pPr>
            <w:r w:rsidRPr="008F41A6">
              <w:rPr>
                <w:rFonts w:ascii="Calibri" w:hAnsi="Calibri"/>
                <w:color w:val="000000"/>
                <w:sz w:val="22"/>
                <w:szCs w:val="22"/>
              </w:rPr>
              <w:t>0410</w:t>
            </w:r>
          </w:p>
        </w:tc>
        <w:tc>
          <w:tcPr>
            <w:tcW w:w="3220" w:type="dxa"/>
            <w:tcBorders>
              <w:top w:val="nil"/>
              <w:left w:val="nil"/>
              <w:bottom w:val="nil"/>
              <w:right w:val="nil"/>
            </w:tcBorders>
            <w:shd w:val="clear" w:color="000000" w:fill="D8D8D8"/>
            <w:noWrap/>
            <w:vAlign w:val="bottom"/>
            <w:hideMark/>
          </w:tcPr>
          <w:p w:rsidR="008F41A6" w:rsidRPr="008F41A6" w:rsidRDefault="008F41A6" w:rsidP="008F41A6">
            <w:pPr>
              <w:rPr>
                <w:rFonts w:ascii="Calibri" w:hAnsi="Calibri"/>
                <w:color w:val="000000"/>
              </w:rPr>
            </w:pPr>
            <w:r w:rsidRPr="008F41A6">
              <w:rPr>
                <w:rFonts w:ascii="Calibri" w:hAnsi="Calibri"/>
                <w:color w:val="000000"/>
                <w:sz w:val="22"/>
                <w:szCs w:val="22"/>
              </w:rPr>
              <w:t>Accounting Instruction</w:t>
            </w:r>
          </w:p>
        </w:tc>
        <w:tc>
          <w:tcPr>
            <w:tcW w:w="2320" w:type="dxa"/>
            <w:tcBorders>
              <w:top w:val="nil"/>
              <w:left w:val="nil"/>
              <w:bottom w:val="nil"/>
              <w:right w:val="nil"/>
            </w:tcBorders>
            <w:shd w:val="clear" w:color="000000" w:fill="D8D8D8"/>
            <w:noWrap/>
            <w:vAlign w:val="bottom"/>
            <w:hideMark/>
          </w:tcPr>
          <w:p w:rsidR="008F41A6" w:rsidRPr="008F41A6" w:rsidRDefault="008F41A6" w:rsidP="008F41A6">
            <w:pPr>
              <w:rPr>
                <w:rFonts w:ascii="Calibri" w:hAnsi="Calibri"/>
                <w:color w:val="000000"/>
              </w:rPr>
            </w:pPr>
            <w:r w:rsidRPr="008F41A6">
              <w:rPr>
                <w:rFonts w:ascii="Calibri" w:hAnsi="Calibri"/>
                <w:color w:val="000000"/>
                <w:sz w:val="22"/>
                <w:szCs w:val="22"/>
              </w:rPr>
              <w:t>ACC.AAS</w:t>
            </w:r>
          </w:p>
        </w:tc>
        <w:tc>
          <w:tcPr>
            <w:tcW w:w="860" w:type="dxa"/>
            <w:tcBorders>
              <w:top w:val="nil"/>
              <w:left w:val="nil"/>
              <w:bottom w:val="nil"/>
              <w:right w:val="nil"/>
            </w:tcBorders>
            <w:shd w:val="clear" w:color="000000" w:fill="D8D8D8"/>
            <w:noWrap/>
            <w:vAlign w:val="bottom"/>
            <w:hideMark/>
          </w:tcPr>
          <w:p w:rsidR="008F41A6" w:rsidRPr="008F41A6" w:rsidRDefault="008F41A6" w:rsidP="008F41A6">
            <w:pPr>
              <w:jc w:val="right"/>
              <w:rPr>
                <w:rFonts w:ascii="Calibri" w:hAnsi="Calibri"/>
                <w:color w:val="000000"/>
              </w:rPr>
            </w:pPr>
            <w:r w:rsidRPr="008F41A6">
              <w:rPr>
                <w:rFonts w:ascii="Calibri" w:hAnsi="Calibri"/>
                <w:color w:val="000000"/>
                <w:sz w:val="22"/>
                <w:szCs w:val="22"/>
              </w:rPr>
              <w:t>30</w:t>
            </w:r>
          </w:p>
        </w:tc>
        <w:tc>
          <w:tcPr>
            <w:tcW w:w="860" w:type="dxa"/>
            <w:tcBorders>
              <w:top w:val="nil"/>
              <w:left w:val="nil"/>
              <w:bottom w:val="nil"/>
              <w:right w:val="nil"/>
            </w:tcBorders>
            <w:shd w:val="clear" w:color="000000" w:fill="D8D8D8"/>
            <w:noWrap/>
            <w:vAlign w:val="bottom"/>
            <w:hideMark/>
          </w:tcPr>
          <w:p w:rsidR="008F41A6" w:rsidRPr="008F41A6" w:rsidRDefault="008F41A6" w:rsidP="008F41A6">
            <w:pPr>
              <w:jc w:val="right"/>
              <w:rPr>
                <w:rFonts w:ascii="Calibri" w:hAnsi="Calibri"/>
                <w:color w:val="000000"/>
              </w:rPr>
            </w:pPr>
            <w:r w:rsidRPr="008F41A6">
              <w:rPr>
                <w:rFonts w:ascii="Calibri" w:hAnsi="Calibri"/>
                <w:color w:val="000000"/>
                <w:sz w:val="22"/>
                <w:szCs w:val="22"/>
              </w:rPr>
              <w:t>29</w:t>
            </w:r>
          </w:p>
        </w:tc>
        <w:tc>
          <w:tcPr>
            <w:tcW w:w="860" w:type="dxa"/>
            <w:tcBorders>
              <w:top w:val="nil"/>
              <w:left w:val="nil"/>
              <w:bottom w:val="nil"/>
              <w:right w:val="nil"/>
            </w:tcBorders>
            <w:shd w:val="clear" w:color="000000" w:fill="D8D8D8"/>
            <w:noWrap/>
            <w:vAlign w:val="bottom"/>
            <w:hideMark/>
          </w:tcPr>
          <w:p w:rsidR="008F41A6" w:rsidRPr="008F41A6" w:rsidRDefault="008F41A6" w:rsidP="008F41A6">
            <w:pPr>
              <w:jc w:val="right"/>
              <w:rPr>
                <w:rFonts w:ascii="Calibri" w:hAnsi="Calibri"/>
                <w:color w:val="000000"/>
              </w:rPr>
            </w:pPr>
            <w:r w:rsidRPr="008F41A6">
              <w:rPr>
                <w:rFonts w:ascii="Calibri" w:hAnsi="Calibri"/>
                <w:color w:val="000000"/>
                <w:sz w:val="22"/>
                <w:szCs w:val="22"/>
              </w:rPr>
              <w:t>37</w:t>
            </w:r>
          </w:p>
        </w:tc>
        <w:tc>
          <w:tcPr>
            <w:tcW w:w="860" w:type="dxa"/>
            <w:tcBorders>
              <w:top w:val="nil"/>
              <w:left w:val="nil"/>
              <w:bottom w:val="nil"/>
              <w:right w:val="nil"/>
            </w:tcBorders>
            <w:shd w:val="clear" w:color="000000" w:fill="D8D8D8"/>
            <w:noWrap/>
            <w:vAlign w:val="bottom"/>
            <w:hideMark/>
          </w:tcPr>
          <w:p w:rsidR="008F41A6" w:rsidRPr="008F41A6" w:rsidRDefault="008F41A6" w:rsidP="008F41A6">
            <w:pPr>
              <w:jc w:val="right"/>
              <w:rPr>
                <w:rFonts w:ascii="Calibri" w:hAnsi="Calibri"/>
                <w:color w:val="000000"/>
              </w:rPr>
            </w:pPr>
            <w:r w:rsidRPr="008F41A6">
              <w:rPr>
                <w:rFonts w:ascii="Calibri" w:hAnsi="Calibri"/>
                <w:color w:val="000000"/>
                <w:sz w:val="22"/>
                <w:szCs w:val="22"/>
              </w:rPr>
              <w:t>46</w:t>
            </w:r>
          </w:p>
        </w:tc>
      </w:tr>
      <w:tr w:rsidR="008F41A6" w:rsidRPr="008F41A6" w:rsidTr="008F41A6">
        <w:trPr>
          <w:trHeight w:val="300"/>
        </w:trPr>
        <w:tc>
          <w:tcPr>
            <w:tcW w:w="1240" w:type="dxa"/>
            <w:tcBorders>
              <w:top w:val="nil"/>
              <w:left w:val="nil"/>
              <w:bottom w:val="nil"/>
              <w:right w:val="nil"/>
            </w:tcBorders>
            <w:shd w:val="clear" w:color="auto" w:fill="auto"/>
            <w:noWrap/>
            <w:vAlign w:val="bottom"/>
            <w:hideMark/>
          </w:tcPr>
          <w:p w:rsidR="008F41A6" w:rsidRPr="008F41A6" w:rsidRDefault="008F41A6" w:rsidP="008F41A6">
            <w:pPr>
              <w:rPr>
                <w:rFonts w:ascii="Calibri" w:hAnsi="Calibri"/>
                <w:color w:val="000000"/>
              </w:rPr>
            </w:pPr>
            <w:r w:rsidRPr="008F41A6">
              <w:rPr>
                <w:rFonts w:ascii="Calibri" w:hAnsi="Calibri"/>
                <w:color w:val="000000"/>
                <w:sz w:val="22"/>
                <w:szCs w:val="22"/>
              </w:rPr>
              <w:t>0410</w:t>
            </w:r>
          </w:p>
        </w:tc>
        <w:tc>
          <w:tcPr>
            <w:tcW w:w="3220" w:type="dxa"/>
            <w:tcBorders>
              <w:top w:val="nil"/>
              <w:left w:val="nil"/>
              <w:bottom w:val="nil"/>
              <w:right w:val="nil"/>
            </w:tcBorders>
            <w:shd w:val="clear" w:color="auto" w:fill="auto"/>
            <w:noWrap/>
            <w:vAlign w:val="bottom"/>
            <w:hideMark/>
          </w:tcPr>
          <w:p w:rsidR="008F41A6" w:rsidRPr="008F41A6" w:rsidRDefault="008F41A6" w:rsidP="008F41A6">
            <w:pPr>
              <w:rPr>
                <w:rFonts w:ascii="Calibri" w:hAnsi="Calibri"/>
                <w:color w:val="000000"/>
              </w:rPr>
            </w:pPr>
            <w:r w:rsidRPr="008F41A6">
              <w:rPr>
                <w:rFonts w:ascii="Calibri" w:hAnsi="Calibri"/>
                <w:color w:val="000000"/>
                <w:sz w:val="22"/>
                <w:szCs w:val="22"/>
              </w:rPr>
              <w:t>Accounting Instruction</w:t>
            </w:r>
          </w:p>
        </w:tc>
        <w:tc>
          <w:tcPr>
            <w:tcW w:w="2320" w:type="dxa"/>
            <w:tcBorders>
              <w:top w:val="nil"/>
              <w:left w:val="nil"/>
              <w:bottom w:val="nil"/>
              <w:right w:val="nil"/>
            </w:tcBorders>
            <w:shd w:val="clear" w:color="auto" w:fill="auto"/>
            <w:noWrap/>
            <w:vAlign w:val="bottom"/>
            <w:hideMark/>
          </w:tcPr>
          <w:p w:rsidR="008F41A6" w:rsidRPr="008F41A6" w:rsidRDefault="008F41A6" w:rsidP="008F41A6">
            <w:pPr>
              <w:rPr>
                <w:rFonts w:ascii="Calibri" w:hAnsi="Calibri"/>
                <w:color w:val="000000"/>
              </w:rPr>
            </w:pPr>
            <w:r w:rsidRPr="008F41A6">
              <w:rPr>
                <w:rFonts w:ascii="Calibri" w:hAnsi="Calibri"/>
                <w:color w:val="000000"/>
                <w:sz w:val="22"/>
                <w:szCs w:val="22"/>
              </w:rPr>
              <w:t>TAXP.STC</w:t>
            </w:r>
          </w:p>
        </w:tc>
        <w:tc>
          <w:tcPr>
            <w:tcW w:w="860" w:type="dxa"/>
            <w:tcBorders>
              <w:top w:val="nil"/>
              <w:left w:val="nil"/>
              <w:bottom w:val="nil"/>
              <w:right w:val="nil"/>
            </w:tcBorders>
            <w:shd w:val="clear" w:color="auto" w:fill="auto"/>
            <w:noWrap/>
            <w:vAlign w:val="bottom"/>
            <w:hideMark/>
          </w:tcPr>
          <w:p w:rsidR="008F41A6" w:rsidRPr="008F41A6" w:rsidRDefault="008F41A6" w:rsidP="008F41A6">
            <w:pPr>
              <w:jc w:val="right"/>
              <w:rPr>
                <w:rFonts w:ascii="Calibri" w:hAnsi="Calibri"/>
                <w:color w:val="000000"/>
              </w:rPr>
            </w:pPr>
            <w:r w:rsidRPr="008F41A6">
              <w:rPr>
                <w:rFonts w:ascii="Calibri" w:hAnsi="Calibri"/>
                <w:color w:val="000000"/>
                <w:sz w:val="22"/>
                <w:szCs w:val="22"/>
              </w:rPr>
              <w:t>3</w:t>
            </w:r>
          </w:p>
        </w:tc>
        <w:tc>
          <w:tcPr>
            <w:tcW w:w="860" w:type="dxa"/>
            <w:tcBorders>
              <w:top w:val="nil"/>
              <w:left w:val="nil"/>
              <w:bottom w:val="nil"/>
              <w:right w:val="nil"/>
            </w:tcBorders>
            <w:shd w:val="clear" w:color="auto" w:fill="auto"/>
            <w:noWrap/>
            <w:vAlign w:val="bottom"/>
            <w:hideMark/>
          </w:tcPr>
          <w:p w:rsidR="008F41A6" w:rsidRPr="008F41A6" w:rsidRDefault="008F41A6" w:rsidP="008F41A6">
            <w:pPr>
              <w:jc w:val="right"/>
              <w:rPr>
                <w:rFonts w:ascii="Calibri" w:hAnsi="Calibri"/>
                <w:color w:val="000000"/>
              </w:rPr>
            </w:pPr>
            <w:r w:rsidRPr="008F41A6">
              <w:rPr>
                <w:rFonts w:ascii="Calibri" w:hAnsi="Calibri"/>
                <w:color w:val="000000"/>
                <w:sz w:val="22"/>
                <w:szCs w:val="22"/>
              </w:rPr>
              <w:t>2</w:t>
            </w:r>
          </w:p>
        </w:tc>
        <w:tc>
          <w:tcPr>
            <w:tcW w:w="860" w:type="dxa"/>
            <w:tcBorders>
              <w:top w:val="nil"/>
              <w:left w:val="nil"/>
              <w:bottom w:val="nil"/>
              <w:right w:val="nil"/>
            </w:tcBorders>
            <w:shd w:val="clear" w:color="auto" w:fill="auto"/>
            <w:noWrap/>
            <w:vAlign w:val="bottom"/>
            <w:hideMark/>
          </w:tcPr>
          <w:p w:rsidR="008F41A6" w:rsidRPr="008F41A6" w:rsidRDefault="008F41A6" w:rsidP="008F41A6">
            <w:pPr>
              <w:jc w:val="right"/>
              <w:rPr>
                <w:rFonts w:ascii="Calibri" w:hAnsi="Calibri"/>
                <w:color w:val="000000"/>
              </w:rPr>
            </w:pPr>
            <w:r w:rsidRPr="008F41A6">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8F41A6" w:rsidRPr="008F41A6" w:rsidRDefault="008F41A6" w:rsidP="008F41A6">
            <w:pPr>
              <w:jc w:val="right"/>
              <w:rPr>
                <w:rFonts w:ascii="Calibri" w:hAnsi="Calibri"/>
                <w:color w:val="000000"/>
              </w:rPr>
            </w:pPr>
            <w:r w:rsidRPr="008F41A6">
              <w:rPr>
                <w:rFonts w:ascii="Calibri" w:hAnsi="Calibri"/>
                <w:color w:val="000000"/>
                <w:sz w:val="22"/>
                <w:szCs w:val="22"/>
              </w:rPr>
              <w:t>1</w:t>
            </w:r>
          </w:p>
        </w:tc>
      </w:tr>
    </w:tbl>
    <w:p w:rsidR="00174C4B" w:rsidRDefault="00174C4B" w:rsidP="00B61D81">
      <w:pPr>
        <w:rPr>
          <w:rFonts w:ascii="Arial" w:hAnsi="Arial" w:cs="Arial"/>
          <w:color w:val="000000" w:themeColor="text1"/>
        </w:rPr>
      </w:pPr>
    </w:p>
    <w:p w:rsidR="00B61D81" w:rsidRDefault="00B61D81" w:rsidP="00B61D81">
      <w:pPr>
        <w:rPr>
          <w:rFonts w:ascii="Arial" w:hAnsi="Arial" w:cs="Arial"/>
          <w:b/>
          <w:color w:val="000000" w:themeColor="text1"/>
        </w:rPr>
      </w:pPr>
    </w:p>
    <w:p w:rsidR="00174C4B" w:rsidRDefault="00B61D81" w:rsidP="00B61D81">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p w:rsidR="00B61D81" w:rsidRPr="00B61D81" w:rsidRDefault="00B61D81" w:rsidP="00174C4B">
      <w:pPr>
        <w:ind w:left="1080"/>
        <w:rPr>
          <w:rFonts w:ascii="Arial" w:hAnsi="Arial" w:cs="Arial"/>
          <w:b/>
          <w:color w:val="000000" w:themeColor="text1"/>
        </w:rPr>
      </w:pPr>
    </w:p>
    <w:tbl>
      <w:tblPr>
        <w:tblW w:w="10158" w:type="dxa"/>
        <w:tblInd w:w="93" w:type="dxa"/>
        <w:tblLook w:val="04A0"/>
      </w:tblPr>
      <w:tblGrid>
        <w:gridCol w:w="1420"/>
        <w:gridCol w:w="2915"/>
        <w:gridCol w:w="1265"/>
        <w:gridCol w:w="875"/>
        <w:gridCol w:w="875"/>
        <w:gridCol w:w="875"/>
        <w:gridCol w:w="875"/>
        <w:gridCol w:w="1058"/>
      </w:tblGrid>
      <w:tr w:rsidR="00B61D81" w:rsidRPr="00B61D81" w:rsidTr="00B61D81">
        <w:trPr>
          <w:trHeight w:val="900"/>
        </w:trPr>
        <w:tc>
          <w:tcPr>
            <w:tcW w:w="1420" w:type="dxa"/>
            <w:tcBorders>
              <w:top w:val="nil"/>
              <w:left w:val="nil"/>
              <w:bottom w:val="nil"/>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Department</w:t>
            </w:r>
          </w:p>
        </w:tc>
        <w:tc>
          <w:tcPr>
            <w:tcW w:w="2915" w:type="dxa"/>
            <w:tcBorders>
              <w:top w:val="nil"/>
              <w:left w:val="nil"/>
              <w:bottom w:val="nil"/>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Department Name</w:t>
            </w:r>
          </w:p>
        </w:tc>
        <w:tc>
          <w:tcPr>
            <w:tcW w:w="1265" w:type="dxa"/>
            <w:tcBorders>
              <w:top w:val="nil"/>
              <w:left w:val="nil"/>
              <w:bottom w:val="nil"/>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Course</w:t>
            </w:r>
          </w:p>
        </w:tc>
        <w:tc>
          <w:tcPr>
            <w:tcW w:w="875" w:type="dxa"/>
            <w:tcBorders>
              <w:top w:val="nil"/>
              <w:left w:val="nil"/>
              <w:bottom w:val="nil"/>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07-08</w:t>
            </w:r>
          </w:p>
        </w:tc>
        <w:tc>
          <w:tcPr>
            <w:tcW w:w="875" w:type="dxa"/>
            <w:tcBorders>
              <w:top w:val="nil"/>
              <w:left w:val="nil"/>
              <w:bottom w:val="nil"/>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08-09</w:t>
            </w:r>
          </w:p>
        </w:tc>
        <w:tc>
          <w:tcPr>
            <w:tcW w:w="875" w:type="dxa"/>
            <w:tcBorders>
              <w:top w:val="nil"/>
              <w:left w:val="nil"/>
              <w:bottom w:val="nil"/>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09-10</w:t>
            </w:r>
          </w:p>
        </w:tc>
        <w:tc>
          <w:tcPr>
            <w:tcW w:w="875" w:type="dxa"/>
            <w:tcBorders>
              <w:top w:val="nil"/>
              <w:left w:val="nil"/>
              <w:bottom w:val="nil"/>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10-11</w:t>
            </w:r>
          </w:p>
        </w:tc>
        <w:tc>
          <w:tcPr>
            <w:tcW w:w="1058" w:type="dxa"/>
            <w:tcBorders>
              <w:top w:val="nil"/>
              <w:left w:val="nil"/>
              <w:bottom w:val="nil"/>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11-12 (excludes Spring)</w:t>
            </w:r>
          </w:p>
        </w:tc>
      </w:tr>
      <w:tr w:rsidR="00B61D81" w:rsidRPr="00B61D81" w:rsidTr="00B61D81">
        <w:trPr>
          <w:trHeight w:val="300"/>
        </w:trPr>
        <w:tc>
          <w:tcPr>
            <w:tcW w:w="1420"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410</w:t>
            </w:r>
          </w:p>
        </w:tc>
        <w:tc>
          <w:tcPr>
            <w:tcW w:w="2915"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Accounting Instruction</w:t>
            </w:r>
          </w:p>
        </w:tc>
        <w:tc>
          <w:tcPr>
            <w:tcW w:w="1265"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ACC-121</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53.9%</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55.3%</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56.3%</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57.5%</w:t>
            </w:r>
          </w:p>
        </w:tc>
        <w:tc>
          <w:tcPr>
            <w:tcW w:w="1058"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59.6%</w:t>
            </w:r>
          </w:p>
        </w:tc>
      </w:tr>
      <w:tr w:rsidR="00B61D81" w:rsidRPr="00B61D81" w:rsidTr="00B61D81">
        <w:trPr>
          <w:trHeight w:val="300"/>
        </w:trPr>
        <w:tc>
          <w:tcPr>
            <w:tcW w:w="1420"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410</w:t>
            </w:r>
          </w:p>
        </w:tc>
        <w:tc>
          <w:tcPr>
            <w:tcW w:w="2915"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Accounting Instruction</w:t>
            </w:r>
          </w:p>
        </w:tc>
        <w:tc>
          <w:tcPr>
            <w:tcW w:w="1265"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ACC-122</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71.7%</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68.8%</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75.8%</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75.4%</w:t>
            </w:r>
          </w:p>
        </w:tc>
        <w:tc>
          <w:tcPr>
            <w:tcW w:w="1058"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70.7%</w:t>
            </w:r>
          </w:p>
        </w:tc>
      </w:tr>
      <w:tr w:rsidR="00B61D81" w:rsidRPr="00B61D81" w:rsidTr="00B61D81">
        <w:trPr>
          <w:trHeight w:val="300"/>
        </w:trPr>
        <w:tc>
          <w:tcPr>
            <w:tcW w:w="1420"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410</w:t>
            </w:r>
          </w:p>
        </w:tc>
        <w:tc>
          <w:tcPr>
            <w:tcW w:w="2915"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Accounting Instruction</w:t>
            </w:r>
          </w:p>
        </w:tc>
        <w:tc>
          <w:tcPr>
            <w:tcW w:w="1265"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ACC-125</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83.3%</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78.1%</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78.2%</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78.3%</w:t>
            </w:r>
          </w:p>
        </w:tc>
        <w:tc>
          <w:tcPr>
            <w:tcW w:w="1058"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78.2%</w:t>
            </w:r>
          </w:p>
        </w:tc>
      </w:tr>
      <w:tr w:rsidR="00B61D81" w:rsidRPr="00B61D81" w:rsidTr="00B61D81">
        <w:trPr>
          <w:trHeight w:val="300"/>
        </w:trPr>
        <w:tc>
          <w:tcPr>
            <w:tcW w:w="1420"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410</w:t>
            </w:r>
          </w:p>
        </w:tc>
        <w:tc>
          <w:tcPr>
            <w:tcW w:w="2915"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Accounting Instruction</w:t>
            </w:r>
          </w:p>
        </w:tc>
        <w:tc>
          <w:tcPr>
            <w:tcW w:w="1265"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ACC-201</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75.0%</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77.0%</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70.8%</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69.3%</w:t>
            </w:r>
          </w:p>
        </w:tc>
        <w:tc>
          <w:tcPr>
            <w:tcW w:w="1058"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76.3%</w:t>
            </w:r>
          </w:p>
        </w:tc>
      </w:tr>
      <w:tr w:rsidR="00B61D81" w:rsidRPr="00B61D81" w:rsidTr="00B61D81">
        <w:trPr>
          <w:trHeight w:val="300"/>
        </w:trPr>
        <w:tc>
          <w:tcPr>
            <w:tcW w:w="1420"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410</w:t>
            </w:r>
          </w:p>
        </w:tc>
        <w:tc>
          <w:tcPr>
            <w:tcW w:w="2915"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Accounting Instruction</w:t>
            </w:r>
          </w:p>
        </w:tc>
        <w:tc>
          <w:tcPr>
            <w:tcW w:w="1265"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ACC-202</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93.5%</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93.6%</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95.9%</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82.6%</w:t>
            </w:r>
          </w:p>
        </w:tc>
        <w:tc>
          <w:tcPr>
            <w:tcW w:w="1058"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83.6%</w:t>
            </w:r>
          </w:p>
        </w:tc>
      </w:tr>
      <w:tr w:rsidR="00B61D81" w:rsidRPr="00B61D81" w:rsidTr="00B61D81">
        <w:trPr>
          <w:trHeight w:val="300"/>
        </w:trPr>
        <w:tc>
          <w:tcPr>
            <w:tcW w:w="1420"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410</w:t>
            </w:r>
          </w:p>
        </w:tc>
        <w:tc>
          <w:tcPr>
            <w:tcW w:w="2915"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Accounting Instruction</w:t>
            </w:r>
          </w:p>
        </w:tc>
        <w:tc>
          <w:tcPr>
            <w:tcW w:w="1265"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ACC-203</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91.9%</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85.4%</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88.7%</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81.0%</w:t>
            </w:r>
          </w:p>
        </w:tc>
        <w:tc>
          <w:tcPr>
            <w:tcW w:w="1058"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77.3%</w:t>
            </w:r>
          </w:p>
        </w:tc>
      </w:tr>
      <w:tr w:rsidR="00B61D81" w:rsidRPr="00B61D81" w:rsidTr="00B61D81">
        <w:trPr>
          <w:trHeight w:val="300"/>
        </w:trPr>
        <w:tc>
          <w:tcPr>
            <w:tcW w:w="1420"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410</w:t>
            </w:r>
          </w:p>
        </w:tc>
        <w:tc>
          <w:tcPr>
            <w:tcW w:w="2915"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Accounting Instruction</w:t>
            </w:r>
          </w:p>
        </w:tc>
        <w:tc>
          <w:tcPr>
            <w:tcW w:w="1265"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ACC-210</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80.0%</w:t>
            </w:r>
          </w:p>
        </w:tc>
        <w:tc>
          <w:tcPr>
            <w:tcW w:w="1058"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92.9%</w:t>
            </w:r>
          </w:p>
        </w:tc>
      </w:tr>
      <w:tr w:rsidR="00B61D81" w:rsidRPr="00B61D81" w:rsidTr="00B61D81">
        <w:trPr>
          <w:trHeight w:val="300"/>
        </w:trPr>
        <w:tc>
          <w:tcPr>
            <w:tcW w:w="1420"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410</w:t>
            </w:r>
          </w:p>
        </w:tc>
        <w:tc>
          <w:tcPr>
            <w:tcW w:w="2915"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Accounting Instruction</w:t>
            </w:r>
          </w:p>
        </w:tc>
        <w:tc>
          <w:tcPr>
            <w:tcW w:w="1265"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ACC-211</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60.4%</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67.3%</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66.2%</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70.8%</w:t>
            </w:r>
          </w:p>
        </w:tc>
        <w:tc>
          <w:tcPr>
            <w:tcW w:w="1058"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54.8%</w:t>
            </w:r>
          </w:p>
        </w:tc>
      </w:tr>
      <w:tr w:rsidR="00B61D81" w:rsidRPr="00B61D81" w:rsidTr="00B61D81">
        <w:trPr>
          <w:trHeight w:val="300"/>
        </w:trPr>
        <w:tc>
          <w:tcPr>
            <w:tcW w:w="1420"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410</w:t>
            </w:r>
          </w:p>
        </w:tc>
        <w:tc>
          <w:tcPr>
            <w:tcW w:w="2915"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Accounting Instruction</w:t>
            </w:r>
          </w:p>
        </w:tc>
        <w:tc>
          <w:tcPr>
            <w:tcW w:w="1265"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ACC-212</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79.5%</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86.5%</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92.6%</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90.2%</w:t>
            </w:r>
          </w:p>
        </w:tc>
        <w:tc>
          <w:tcPr>
            <w:tcW w:w="1058"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84.4%</w:t>
            </w:r>
          </w:p>
        </w:tc>
      </w:tr>
      <w:tr w:rsidR="00B61D81" w:rsidRPr="00B61D81" w:rsidTr="00B61D81">
        <w:trPr>
          <w:trHeight w:val="300"/>
        </w:trPr>
        <w:tc>
          <w:tcPr>
            <w:tcW w:w="1420"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410</w:t>
            </w:r>
          </w:p>
        </w:tc>
        <w:tc>
          <w:tcPr>
            <w:tcW w:w="2915"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Accounting Instruction</w:t>
            </w:r>
          </w:p>
        </w:tc>
        <w:tc>
          <w:tcPr>
            <w:tcW w:w="1265"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ACC-216</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86.4%</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91.3%</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90.5%</w:t>
            </w:r>
          </w:p>
        </w:tc>
        <w:tc>
          <w:tcPr>
            <w:tcW w:w="1058"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88.9%</w:t>
            </w:r>
          </w:p>
        </w:tc>
      </w:tr>
      <w:tr w:rsidR="00B61D81" w:rsidRPr="00B61D81" w:rsidTr="00B61D81">
        <w:trPr>
          <w:trHeight w:val="300"/>
        </w:trPr>
        <w:tc>
          <w:tcPr>
            <w:tcW w:w="1420"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410</w:t>
            </w:r>
          </w:p>
        </w:tc>
        <w:tc>
          <w:tcPr>
            <w:tcW w:w="2915"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Accounting Instruction</w:t>
            </w:r>
          </w:p>
        </w:tc>
        <w:tc>
          <w:tcPr>
            <w:tcW w:w="1265"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ACC-221</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55.4%</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57.1%</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60.7%</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73.3%</w:t>
            </w:r>
          </w:p>
        </w:tc>
        <w:tc>
          <w:tcPr>
            <w:tcW w:w="1058"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63.8%</w:t>
            </w:r>
          </w:p>
        </w:tc>
      </w:tr>
      <w:tr w:rsidR="00B61D81" w:rsidRPr="00B61D81" w:rsidTr="00B61D81">
        <w:trPr>
          <w:trHeight w:val="300"/>
        </w:trPr>
        <w:tc>
          <w:tcPr>
            <w:tcW w:w="1420"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410</w:t>
            </w:r>
          </w:p>
        </w:tc>
        <w:tc>
          <w:tcPr>
            <w:tcW w:w="2915"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Accounting Instruction</w:t>
            </w:r>
          </w:p>
        </w:tc>
        <w:tc>
          <w:tcPr>
            <w:tcW w:w="1265"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ACC-222</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67.2%</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61.0%</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66.7%</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74.1%</w:t>
            </w:r>
          </w:p>
        </w:tc>
        <w:tc>
          <w:tcPr>
            <w:tcW w:w="1058"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73.6%</w:t>
            </w:r>
          </w:p>
        </w:tc>
      </w:tr>
      <w:tr w:rsidR="00B61D81" w:rsidRPr="00B61D81" w:rsidTr="00B61D81">
        <w:trPr>
          <w:trHeight w:val="300"/>
        </w:trPr>
        <w:tc>
          <w:tcPr>
            <w:tcW w:w="1420"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410</w:t>
            </w:r>
          </w:p>
        </w:tc>
        <w:tc>
          <w:tcPr>
            <w:tcW w:w="2915"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Accounting Instruction</w:t>
            </w:r>
          </w:p>
        </w:tc>
        <w:tc>
          <w:tcPr>
            <w:tcW w:w="1265"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ACC-223</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66.7%</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66.7%</w:t>
            </w:r>
          </w:p>
        </w:tc>
        <w:tc>
          <w:tcPr>
            <w:tcW w:w="1058"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w:t>
            </w:r>
          </w:p>
        </w:tc>
      </w:tr>
      <w:tr w:rsidR="00B61D81" w:rsidRPr="00B61D81" w:rsidTr="00B61D81">
        <w:trPr>
          <w:trHeight w:val="300"/>
        </w:trPr>
        <w:tc>
          <w:tcPr>
            <w:tcW w:w="1420"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410</w:t>
            </w:r>
          </w:p>
        </w:tc>
        <w:tc>
          <w:tcPr>
            <w:tcW w:w="2915"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Accounting Instruction</w:t>
            </w:r>
          </w:p>
        </w:tc>
        <w:tc>
          <w:tcPr>
            <w:tcW w:w="1265"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ACC-225</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60.0%</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87.5%</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100.0%</w:t>
            </w:r>
          </w:p>
        </w:tc>
        <w:tc>
          <w:tcPr>
            <w:tcW w:w="1058"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82.4%</w:t>
            </w:r>
          </w:p>
        </w:tc>
      </w:tr>
      <w:tr w:rsidR="00B61D81" w:rsidRPr="00B61D81" w:rsidTr="00B61D81">
        <w:trPr>
          <w:trHeight w:val="300"/>
        </w:trPr>
        <w:tc>
          <w:tcPr>
            <w:tcW w:w="1420"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410</w:t>
            </w:r>
          </w:p>
        </w:tc>
        <w:tc>
          <w:tcPr>
            <w:tcW w:w="2915"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Accounting Instruction</w:t>
            </w:r>
          </w:p>
        </w:tc>
        <w:tc>
          <w:tcPr>
            <w:tcW w:w="1265"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ACC-235</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90.9%</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81.0%</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85.4%</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75.4%</w:t>
            </w:r>
          </w:p>
        </w:tc>
        <w:tc>
          <w:tcPr>
            <w:tcW w:w="1058"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74.2%</w:t>
            </w:r>
          </w:p>
        </w:tc>
      </w:tr>
      <w:tr w:rsidR="00B61D81" w:rsidRPr="00B61D81" w:rsidTr="00B61D81">
        <w:trPr>
          <w:trHeight w:val="300"/>
        </w:trPr>
        <w:tc>
          <w:tcPr>
            <w:tcW w:w="1420"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410</w:t>
            </w:r>
          </w:p>
        </w:tc>
        <w:tc>
          <w:tcPr>
            <w:tcW w:w="2915"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Accounting Instruction</w:t>
            </w:r>
          </w:p>
        </w:tc>
        <w:tc>
          <w:tcPr>
            <w:tcW w:w="1265"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ACC-240</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88.1%</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87.1%</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73.6%</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83.3%</w:t>
            </w:r>
          </w:p>
        </w:tc>
        <w:tc>
          <w:tcPr>
            <w:tcW w:w="1058"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80.8%</w:t>
            </w:r>
          </w:p>
        </w:tc>
      </w:tr>
      <w:tr w:rsidR="00B61D81" w:rsidRPr="00B61D81" w:rsidTr="00B61D81">
        <w:trPr>
          <w:trHeight w:val="300"/>
        </w:trPr>
        <w:tc>
          <w:tcPr>
            <w:tcW w:w="1420"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410</w:t>
            </w:r>
          </w:p>
        </w:tc>
        <w:tc>
          <w:tcPr>
            <w:tcW w:w="2915"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Accounting Instruction</w:t>
            </w:r>
          </w:p>
        </w:tc>
        <w:tc>
          <w:tcPr>
            <w:tcW w:w="1265"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ACC-270</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100.0%</w:t>
            </w:r>
          </w:p>
        </w:tc>
        <w:tc>
          <w:tcPr>
            <w:tcW w:w="1058"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100.0%</w:t>
            </w:r>
          </w:p>
        </w:tc>
      </w:tr>
      <w:tr w:rsidR="00B61D81" w:rsidRPr="00B61D81" w:rsidTr="00B61D81">
        <w:trPr>
          <w:trHeight w:val="300"/>
        </w:trPr>
        <w:tc>
          <w:tcPr>
            <w:tcW w:w="1420"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410</w:t>
            </w:r>
          </w:p>
        </w:tc>
        <w:tc>
          <w:tcPr>
            <w:tcW w:w="2915"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Accounting Instruction</w:t>
            </w:r>
          </w:p>
        </w:tc>
        <w:tc>
          <w:tcPr>
            <w:tcW w:w="1265"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FIN-105</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w:t>
            </w:r>
          </w:p>
        </w:tc>
      </w:tr>
      <w:tr w:rsidR="00B61D81" w:rsidRPr="00B61D81" w:rsidTr="00B61D81">
        <w:trPr>
          <w:trHeight w:val="300"/>
        </w:trPr>
        <w:tc>
          <w:tcPr>
            <w:tcW w:w="1420"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410</w:t>
            </w:r>
          </w:p>
        </w:tc>
        <w:tc>
          <w:tcPr>
            <w:tcW w:w="2915"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Accounting Instruction</w:t>
            </w:r>
          </w:p>
        </w:tc>
        <w:tc>
          <w:tcPr>
            <w:tcW w:w="1265"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FIN-200</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50.0%</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w:t>
            </w:r>
          </w:p>
        </w:tc>
        <w:tc>
          <w:tcPr>
            <w:tcW w:w="1058"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w:t>
            </w:r>
          </w:p>
        </w:tc>
      </w:tr>
      <w:tr w:rsidR="00B61D81" w:rsidRPr="00B61D81" w:rsidTr="00B61D81">
        <w:trPr>
          <w:trHeight w:val="300"/>
        </w:trPr>
        <w:tc>
          <w:tcPr>
            <w:tcW w:w="1420"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410</w:t>
            </w:r>
          </w:p>
        </w:tc>
        <w:tc>
          <w:tcPr>
            <w:tcW w:w="2915"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Accounting Instruction</w:t>
            </w:r>
          </w:p>
        </w:tc>
        <w:tc>
          <w:tcPr>
            <w:tcW w:w="1265"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FIN-205</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100.0%</w:t>
            </w:r>
          </w:p>
        </w:tc>
        <w:tc>
          <w:tcPr>
            <w:tcW w:w="1058"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w:t>
            </w:r>
          </w:p>
        </w:tc>
      </w:tr>
      <w:tr w:rsidR="00B61D81" w:rsidRPr="00B61D81" w:rsidTr="00B61D81">
        <w:trPr>
          <w:trHeight w:val="300"/>
        </w:trPr>
        <w:tc>
          <w:tcPr>
            <w:tcW w:w="1420"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410</w:t>
            </w:r>
          </w:p>
        </w:tc>
        <w:tc>
          <w:tcPr>
            <w:tcW w:w="2915"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Accounting Instruction</w:t>
            </w:r>
          </w:p>
        </w:tc>
        <w:tc>
          <w:tcPr>
            <w:tcW w:w="1265"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FIN-208</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88.9%</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72.7%</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83.3%</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68.4%</w:t>
            </w:r>
          </w:p>
        </w:tc>
        <w:tc>
          <w:tcPr>
            <w:tcW w:w="1058"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87.5%</w:t>
            </w:r>
          </w:p>
        </w:tc>
      </w:tr>
      <w:tr w:rsidR="00B61D81" w:rsidRPr="00B61D81" w:rsidTr="00B61D81">
        <w:trPr>
          <w:trHeight w:val="300"/>
        </w:trPr>
        <w:tc>
          <w:tcPr>
            <w:tcW w:w="1420"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410</w:t>
            </w:r>
          </w:p>
        </w:tc>
        <w:tc>
          <w:tcPr>
            <w:tcW w:w="2915"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Accounting Instruction</w:t>
            </w:r>
          </w:p>
        </w:tc>
        <w:tc>
          <w:tcPr>
            <w:tcW w:w="1265"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FIN-215</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85.0%</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83.1%</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82.3%</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76.7%</w:t>
            </w:r>
          </w:p>
        </w:tc>
        <w:tc>
          <w:tcPr>
            <w:tcW w:w="1058"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82.4%</w:t>
            </w:r>
          </w:p>
        </w:tc>
      </w:tr>
      <w:tr w:rsidR="00B61D81" w:rsidRPr="00B61D81" w:rsidTr="00B61D81">
        <w:trPr>
          <w:trHeight w:val="300"/>
        </w:trPr>
        <w:tc>
          <w:tcPr>
            <w:tcW w:w="1420"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410</w:t>
            </w:r>
          </w:p>
        </w:tc>
        <w:tc>
          <w:tcPr>
            <w:tcW w:w="2915"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Accounting Instruction</w:t>
            </w:r>
          </w:p>
        </w:tc>
        <w:tc>
          <w:tcPr>
            <w:tcW w:w="1265"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FIN-245</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70.0%</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59.4%</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62.9%</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82.7%</w:t>
            </w:r>
          </w:p>
        </w:tc>
        <w:tc>
          <w:tcPr>
            <w:tcW w:w="1058"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83.1%</w:t>
            </w:r>
          </w:p>
        </w:tc>
      </w:tr>
      <w:tr w:rsidR="00B61D81" w:rsidRPr="00B61D81" w:rsidTr="00B61D81">
        <w:trPr>
          <w:trHeight w:val="300"/>
        </w:trPr>
        <w:tc>
          <w:tcPr>
            <w:tcW w:w="1420"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410</w:t>
            </w:r>
          </w:p>
        </w:tc>
        <w:tc>
          <w:tcPr>
            <w:tcW w:w="2915"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Accounting Instruction</w:t>
            </w:r>
          </w:p>
        </w:tc>
        <w:tc>
          <w:tcPr>
            <w:tcW w:w="1265"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FIN-246</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52.6%</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54.2%</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44.4%</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83.3%</w:t>
            </w:r>
          </w:p>
        </w:tc>
        <w:tc>
          <w:tcPr>
            <w:tcW w:w="1058"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w:t>
            </w:r>
          </w:p>
        </w:tc>
      </w:tr>
      <w:tr w:rsidR="00B61D81" w:rsidRPr="00B61D81" w:rsidTr="00B61D81">
        <w:trPr>
          <w:trHeight w:val="300"/>
        </w:trPr>
        <w:tc>
          <w:tcPr>
            <w:tcW w:w="1420"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410</w:t>
            </w:r>
          </w:p>
        </w:tc>
        <w:tc>
          <w:tcPr>
            <w:tcW w:w="2915"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Accounting Instruction</w:t>
            </w:r>
          </w:p>
        </w:tc>
        <w:tc>
          <w:tcPr>
            <w:tcW w:w="1265"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FIN-255</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50.0%</w:t>
            </w:r>
          </w:p>
        </w:tc>
        <w:tc>
          <w:tcPr>
            <w:tcW w:w="1058"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w:t>
            </w:r>
          </w:p>
        </w:tc>
      </w:tr>
      <w:tr w:rsidR="00B61D81" w:rsidRPr="00B61D81" w:rsidTr="00B61D81">
        <w:trPr>
          <w:trHeight w:val="300"/>
        </w:trPr>
        <w:tc>
          <w:tcPr>
            <w:tcW w:w="1420"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410</w:t>
            </w:r>
          </w:p>
        </w:tc>
        <w:tc>
          <w:tcPr>
            <w:tcW w:w="2915"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Accounting Instruction</w:t>
            </w:r>
          </w:p>
        </w:tc>
        <w:tc>
          <w:tcPr>
            <w:tcW w:w="1265"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FIN-260</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94.6%</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94.9%</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85.2%</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82.8%</w:t>
            </w:r>
          </w:p>
        </w:tc>
        <w:tc>
          <w:tcPr>
            <w:tcW w:w="1058"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80.0%</w:t>
            </w:r>
          </w:p>
        </w:tc>
      </w:tr>
      <w:tr w:rsidR="00B61D81" w:rsidRPr="00B61D81" w:rsidTr="00B61D81">
        <w:trPr>
          <w:trHeight w:val="300"/>
        </w:trPr>
        <w:tc>
          <w:tcPr>
            <w:tcW w:w="1420"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410</w:t>
            </w:r>
          </w:p>
        </w:tc>
        <w:tc>
          <w:tcPr>
            <w:tcW w:w="2915"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Accounting Instruction</w:t>
            </w:r>
          </w:p>
        </w:tc>
        <w:tc>
          <w:tcPr>
            <w:tcW w:w="1265" w:type="dxa"/>
            <w:tcBorders>
              <w:top w:val="nil"/>
              <w:left w:val="nil"/>
              <w:bottom w:val="nil"/>
              <w:right w:val="nil"/>
            </w:tcBorders>
            <w:shd w:val="clear" w:color="auto" w:fill="auto"/>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FIN-270</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w:t>
            </w:r>
          </w:p>
        </w:tc>
        <w:tc>
          <w:tcPr>
            <w:tcW w:w="1058" w:type="dxa"/>
            <w:tcBorders>
              <w:top w:val="nil"/>
              <w:left w:val="nil"/>
              <w:bottom w:val="nil"/>
              <w:right w:val="nil"/>
            </w:tcBorders>
            <w:shd w:val="clear" w:color="auto" w:fill="auto"/>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w:t>
            </w:r>
          </w:p>
        </w:tc>
      </w:tr>
      <w:tr w:rsidR="00B61D81" w:rsidRPr="00B61D81" w:rsidTr="00B61D81">
        <w:trPr>
          <w:trHeight w:val="300"/>
        </w:trPr>
        <w:tc>
          <w:tcPr>
            <w:tcW w:w="1420"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410</w:t>
            </w:r>
          </w:p>
        </w:tc>
        <w:tc>
          <w:tcPr>
            <w:tcW w:w="2915"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Accounting Instruction</w:t>
            </w:r>
          </w:p>
        </w:tc>
        <w:tc>
          <w:tcPr>
            <w:tcW w:w="1265" w:type="dxa"/>
            <w:tcBorders>
              <w:top w:val="nil"/>
              <w:left w:val="nil"/>
              <w:bottom w:val="nil"/>
              <w:right w:val="nil"/>
            </w:tcBorders>
            <w:shd w:val="clear" w:color="000000" w:fill="D8D8D8"/>
            <w:noWrap/>
            <w:vAlign w:val="bottom"/>
            <w:hideMark/>
          </w:tcPr>
          <w:p w:rsidR="00B61D81" w:rsidRPr="00B61D81" w:rsidRDefault="00B61D81" w:rsidP="00B61D81">
            <w:pPr>
              <w:rPr>
                <w:rFonts w:ascii="Calibri" w:hAnsi="Calibri"/>
                <w:color w:val="000000"/>
              </w:rPr>
            </w:pPr>
            <w:r w:rsidRPr="00B61D81">
              <w:rPr>
                <w:rFonts w:ascii="Calibri" w:hAnsi="Calibri"/>
                <w:color w:val="000000"/>
                <w:sz w:val="22"/>
                <w:szCs w:val="22"/>
              </w:rPr>
              <w:t>FIN-295</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100.0%</w:t>
            </w:r>
          </w:p>
        </w:tc>
        <w:tc>
          <w:tcPr>
            <w:tcW w:w="1058" w:type="dxa"/>
            <w:tcBorders>
              <w:top w:val="nil"/>
              <w:left w:val="nil"/>
              <w:bottom w:val="nil"/>
              <w:right w:val="nil"/>
            </w:tcBorders>
            <w:shd w:val="clear" w:color="000000" w:fill="D8D8D8"/>
            <w:noWrap/>
            <w:vAlign w:val="bottom"/>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w:t>
            </w:r>
          </w:p>
        </w:tc>
      </w:tr>
    </w:tbl>
    <w:p w:rsidR="00A201E2" w:rsidRDefault="00A201E2">
      <w:pPr>
        <w:spacing w:after="200" w:line="276" w:lineRule="auto"/>
        <w:rPr>
          <w:rFonts w:ascii="Arial" w:hAnsi="Arial" w:cs="Arial"/>
          <w:b/>
          <w:color w:val="000000" w:themeColor="text1"/>
        </w:rPr>
      </w:pPr>
    </w:p>
    <w:sectPr w:rsidR="00A201E2" w:rsidSect="00A201E2">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EF5" w:rsidRDefault="00E22EF5" w:rsidP="0094204C">
      <w:r>
        <w:separator/>
      </w:r>
    </w:p>
  </w:endnote>
  <w:endnote w:type="continuationSeparator" w:id="0">
    <w:p w:rsidR="00E22EF5" w:rsidRDefault="00E22EF5" w:rsidP="009420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517"/>
      <w:docPartObj>
        <w:docPartGallery w:val="Page Numbers (Bottom of Page)"/>
        <w:docPartUnique/>
      </w:docPartObj>
    </w:sdtPr>
    <w:sdtContent>
      <w:p w:rsidR="009E6189" w:rsidRDefault="009E6189">
        <w:pPr>
          <w:pStyle w:val="Footer"/>
          <w:jc w:val="right"/>
        </w:pPr>
        <w:fldSimple w:instr=" PAGE   \* MERGEFORMAT ">
          <w:r w:rsidR="000E2976">
            <w:rPr>
              <w:noProof/>
            </w:rPr>
            <w:t>8</w:t>
          </w:r>
        </w:fldSimple>
      </w:p>
    </w:sdtContent>
  </w:sdt>
  <w:p w:rsidR="009E6189" w:rsidRDefault="009E61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EF5" w:rsidRDefault="00E22EF5" w:rsidP="0094204C">
      <w:r>
        <w:separator/>
      </w:r>
    </w:p>
  </w:footnote>
  <w:footnote w:type="continuationSeparator" w:id="0">
    <w:p w:rsidR="00E22EF5" w:rsidRDefault="00E22EF5"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71700"/>
    <w:multiLevelType w:val="hybridMultilevel"/>
    <w:tmpl w:val="1DA47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1C235D"/>
    <w:multiLevelType w:val="hybridMultilevel"/>
    <w:tmpl w:val="DE90C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A935A56"/>
    <w:multiLevelType w:val="hybridMultilevel"/>
    <w:tmpl w:val="D04A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19193E"/>
    <w:multiLevelType w:val="hybridMultilevel"/>
    <w:tmpl w:val="4DBA64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2">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9"/>
  </w:num>
  <w:num w:numId="5">
    <w:abstractNumId w:val="2"/>
  </w:num>
  <w:num w:numId="6">
    <w:abstractNumId w:val="6"/>
  </w:num>
  <w:num w:numId="7">
    <w:abstractNumId w:val="12"/>
  </w:num>
  <w:num w:numId="8">
    <w:abstractNumId w:val="11"/>
  </w:num>
  <w:num w:numId="9">
    <w:abstractNumId w:val="0"/>
  </w:num>
  <w:num w:numId="10">
    <w:abstractNumId w:val="13"/>
  </w:num>
  <w:num w:numId="11">
    <w:abstractNumId w:val="5"/>
  </w:num>
  <w:num w:numId="12">
    <w:abstractNumId w:val="8"/>
  </w:num>
  <w:num w:numId="13">
    <w:abstractNumId w:val="10"/>
  </w:num>
  <w:num w:numId="14">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7E6"/>
    <w:rsid w:val="00034CE6"/>
    <w:rsid w:val="00036DF9"/>
    <w:rsid w:val="000455E8"/>
    <w:rsid w:val="00054BFD"/>
    <w:rsid w:val="00056964"/>
    <w:rsid w:val="000616F3"/>
    <w:rsid w:val="00063778"/>
    <w:rsid w:val="00065129"/>
    <w:rsid w:val="000738FE"/>
    <w:rsid w:val="00074BD5"/>
    <w:rsid w:val="00080933"/>
    <w:rsid w:val="00097843"/>
    <w:rsid w:val="000A089D"/>
    <w:rsid w:val="000A2A44"/>
    <w:rsid w:val="000A4EE0"/>
    <w:rsid w:val="000B0D23"/>
    <w:rsid w:val="000B261C"/>
    <w:rsid w:val="000D1F03"/>
    <w:rsid w:val="000D3A39"/>
    <w:rsid w:val="000E2976"/>
    <w:rsid w:val="000E4EFE"/>
    <w:rsid w:val="000E7FB4"/>
    <w:rsid w:val="000F0AF3"/>
    <w:rsid w:val="000F154F"/>
    <w:rsid w:val="000F21F2"/>
    <w:rsid w:val="000F2F76"/>
    <w:rsid w:val="000F4249"/>
    <w:rsid w:val="0010227C"/>
    <w:rsid w:val="001026AA"/>
    <w:rsid w:val="00115E77"/>
    <w:rsid w:val="001201D5"/>
    <w:rsid w:val="00120277"/>
    <w:rsid w:val="00120627"/>
    <w:rsid w:val="00120E81"/>
    <w:rsid w:val="001240D0"/>
    <w:rsid w:val="00125D80"/>
    <w:rsid w:val="001324D2"/>
    <w:rsid w:val="00142776"/>
    <w:rsid w:val="00144201"/>
    <w:rsid w:val="001532B7"/>
    <w:rsid w:val="001628B1"/>
    <w:rsid w:val="00174C4B"/>
    <w:rsid w:val="001803A0"/>
    <w:rsid w:val="00181457"/>
    <w:rsid w:val="00183806"/>
    <w:rsid w:val="00183A7F"/>
    <w:rsid w:val="00184AE5"/>
    <w:rsid w:val="0018798A"/>
    <w:rsid w:val="00190F5C"/>
    <w:rsid w:val="0019135D"/>
    <w:rsid w:val="00195B7B"/>
    <w:rsid w:val="00195E35"/>
    <w:rsid w:val="001A1B67"/>
    <w:rsid w:val="001A3179"/>
    <w:rsid w:val="001A7AF7"/>
    <w:rsid w:val="001B6007"/>
    <w:rsid w:val="001C202C"/>
    <w:rsid w:val="001C42D0"/>
    <w:rsid w:val="001C5617"/>
    <w:rsid w:val="001C5DC3"/>
    <w:rsid w:val="001D3205"/>
    <w:rsid w:val="001D3E1D"/>
    <w:rsid w:val="001D5757"/>
    <w:rsid w:val="001D6D23"/>
    <w:rsid w:val="001D7080"/>
    <w:rsid w:val="001D736E"/>
    <w:rsid w:val="001E0764"/>
    <w:rsid w:val="001E7137"/>
    <w:rsid w:val="001F4B9E"/>
    <w:rsid w:val="00207C4C"/>
    <w:rsid w:val="00210FF3"/>
    <w:rsid w:val="002245AB"/>
    <w:rsid w:val="0022692B"/>
    <w:rsid w:val="002315EE"/>
    <w:rsid w:val="002406E3"/>
    <w:rsid w:val="0025548D"/>
    <w:rsid w:val="00255C18"/>
    <w:rsid w:val="00255F7D"/>
    <w:rsid w:val="00256114"/>
    <w:rsid w:val="0025618C"/>
    <w:rsid w:val="00262914"/>
    <w:rsid w:val="00262EFB"/>
    <w:rsid w:val="00265A99"/>
    <w:rsid w:val="00266F2F"/>
    <w:rsid w:val="0026791C"/>
    <w:rsid w:val="002737F8"/>
    <w:rsid w:val="00276B75"/>
    <w:rsid w:val="00280C60"/>
    <w:rsid w:val="00281C63"/>
    <w:rsid w:val="0028603C"/>
    <w:rsid w:val="002922CE"/>
    <w:rsid w:val="00293D8D"/>
    <w:rsid w:val="002A1D8C"/>
    <w:rsid w:val="002A3A2F"/>
    <w:rsid w:val="002A7A6E"/>
    <w:rsid w:val="002B4E30"/>
    <w:rsid w:val="002C1797"/>
    <w:rsid w:val="002C3079"/>
    <w:rsid w:val="002C56AC"/>
    <w:rsid w:val="002D1DFE"/>
    <w:rsid w:val="002D2748"/>
    <w:rsid w:val="002D3CAD"/>
    <w:rsid w:val="002D428E"/>
    <w:rsid w:val="002E175B"/>
    <w:rsid w:val="002E28B0"/>
    <w:rsid w:val="002E548B"/>
    <w:rsid w:val="002E5631"/>
    <w:rsid w:val="002E7DBB"/>
    <w:rsid w:val="002F63A2"/>
    <w:rsid w:val="002F6A59"/>
    <w:rsid w:val="00303041"/>
    <w:rsid w:val="00305AE1"/>
    <w:rsid w:val="0030733F"/>
    <w:rsid w:val="00307A43"/>
    <w:rsid w:val="0031075A"/>
    <w:rsid w:val="00315CE8"/>
    <w:rsid w:val="00320CDE"/>
    <w:rsid w:val="00320DF3"/>
    <w:rsid w:val="003233E7"/>
    <w:rsid w:val="003254BC"/>
    <w:rsid w:val="00326281"/>
    <w:rsid w:val="003263AE"/>
    <w:rsid w:val="00330692"/>
    <w:rsid w:val="00337A3A"/>
    <w:rsid w:val="003454F6"/>
    <w:rsid w:val="00350D53"/>
    <w:rsid w:val="00357413"/>
    <w:rsid w:val="003641BA"/>
    <w:rsid w:val="0037786D"/>
    <w:rsid w:val="00377D40"/>
    <w:rsid w:val="00394144"/>
    <w:rsid w:val="003A298D"/>
    <w:rsid w:val="003B176D"/>
    <w:rsid w:val="003B2034"/>
    <w:rsid w:val="003B5176"/>
    <w:rsid w:val="003B5F45"/>
    <w:rsid w:val="003C1C8E"/>
    <w:rsid w:val="003C320F"/>
    <w:rsid w:val="003D2587"/>
    <w:rsid w:val="003D6946"/>
    <w:rsid w:val="003D6D6E"/>
    <w:rsid w:val="003E791C"/>
    <w:rsid w:val="00401FC8"/>
    <w:rsid w:val="00404810"/>
    <w:rsid w:val="00414645"/>
    <w:rsid w:val="0042188E"/>
    <w:rsid w:val="00424E5D"/>
    <w:rsid w:val="00425F46"/>
    <w:rsid w:val="00434F56"/>
    <w:rsid w:val="00437FCC"/>
    <w:rsid w:val="00445B6E"/>
    <w:rsid w:val="004467C4"/>
    <w:rsid w:val="00447EAC"/>
    <w:rsid w:val="00455833"/>
    <w:rsid w:val="004604FB"/>
    <w:rsid w:val="00461386"/>
    <w:rsid w:val="00462D00"/>
    <w:rsid w:val="004712EB"/>
    <w:rsid w:val="00476425"/>
    <w:rsid w:val="0048088F"/>
    <w:rsid w:val="00480BB2"/>
    <w:rsid w:val="004818E1"/>
    <w:rsid w:val="00481A7E"/>
    <w:rsid w:val="0048427F"/>
    <w:rsid w:val="00486741"/>
    <w:rsid w:val="00495C9D"/>
    <w:rsid w:val="004A1E40"/>
    <w:rsid w:val="004B7492"/>
    <w:rsid w:val="004C2B30"/>
    <w:rsid w:val="004C52FC"/>
    <w:rsid w:val="004C7DB2"/>
    <w:rsid w:val="004D3BE1"/>
    <w:rsid w:val="004D3C8C"/>
    <w:rsid w:val="004E1C60"/>
    <w:rsid w:val="004E47AA"/>
    <w:rsid w:val="004E4BD6"/>
    <w:rsid w:val="004E62E4"/>
    <w:rsid w:val="004F41D5"/>
    <w:rsid w:val="00503D4B"/>
    <w:rsid w:val="0051294F"/>
    <w:rsid w:val="00516463"/>
    <w:rsid w:val="00520FBE"/>
    <w:rsid w:val="0052152C"/>
    <w:rsid w:val="0054350A"/>
    <w:rsid w:val="0054777C"/>
    <w:rsid w:val="005531E8"/>
    <w:rsid w:val="005674F9"/>
    <w:rsid w:val="00573ECD"/>
    <w:rsid w:val="00585766"/>
    <w:rsid w:val="005863ED"/>
    <w:rsid w:val="005864A4"/>
    <w:rsid w:val="00590784"/>
    <w:rsid w:val="005918B2"/>
    <w:rsid w:val="00597F85"/>
    <w:rsid w:val="005F5F7E"/>
    <w:rsid w:val="005F6A04"/>
    <w:rsid w:val="005F6B5B"/>
    <w:rsid w:val="005F7377"/>
    <w:rsid w:val="006032C4"/>
    <w:rsid w:val="0061454F"/>
    <w:rsid w:val="006150A0"/>
    <w:rsid w:val="0061712A"/>
    <w:rsid w:val="0062085F"/>
    <w:rsid w:val="006368CC"/>
    <w:rsid w:val="00637591"/>
    <w:rsid w:val="00640611"/>
    <w:rsid w:val="00643904"/>
    <w:rsid w:val="00651CF2"/>
    <w:rsid w:val="006532D6"/>
    <w:rsid w:val="0065453B"/>
    <w:rsid w:val="006551C4"/>
    <w:rsid w:val="00660080"/>
    <w:rsid w:val="0066285F"/>
    <w:rsid w:val="00665205"/>
    <w:rsid w:val="0066607A"/>
    <w:rsid w:val="0067484F"/>
    <w:rsid w:val="00675C00"/>
    <w:rsid w:val="00677703"/>
    <w:rsid w:val="006835C1"/>
    <w:rsid w:val="00690A3D"/>
    <w:rsid w:val="00691FAF"/>
    <w:rsid w:val="006A2AA3"/>
    <w:rsid w:val="006B0168"/>
    <w:rsid w:val="006B13E0"/>
    <w:rsid w:val="006B5756"/>
    <w:rsid w:val="006B6194"/>
    <w:rsid w:val="006B6511"/>
    <w:rsid w:val="006C142B"/>
    <w:rsid w:val="006C28B1"/>
    <w:rsid w:val="006C4C0B"/>
    <w:rsid w:val="006C4F5E"/>
    <w:rsid w:val="006D67EB"/>
    <w:rsid w:val="006E3686"/>
    <w:rsid w:val="006F0183"/>
    <w:rsid w:val="00716A26"/>
    <w:rsid w:val="00740D35"/>
    <w:rsid w:val="00746675"/>
    <w:rsid w:val="0074722F"/>
    <w:rsid w:val="00751FC5"/>
    <w:rsid w:val="00766DD5"/>
    <w:rsid w:val="00781DA4"/>
    <w:rsid w:val="007825CC"/>
    <w:rsid w:val="007856A2"/>
    <w:rsid w:val="0078669D"/>
    <w:rsid w:val="00786F00"/>
    <w:rsid w:val="00791FF2"/>
    <w:rsid w:val="0079281D"/>
    <w:rsid w:val="00794EA2"/>
    <w:rsid w:val="007C1FEF"/>
    <w:rsid w:val="007C46D3"/>
    <w:rsid w:val="007C74F5"/>
    <w:rsid w:val="007D3453"/>
    <w:rsid w:val="007E36F4"/>
    <w:rsid w:val="007F45E6"/>
    <w:rsid w:val="007F66F9"/>
    <w:rsid w:val="0080292B"/>
    <w:rsid w:val="008034BE"/>
    <w:rsid w:val="008056C5"/>
    <w:rsid w:val="00805C23"/>
    <w:rsid w:val="00807113"/>
    <w:rsid w:val="00812E58"/>
    <w:rsid w:val="008177A5"/>
    <w:rsid w:val="00817DDA"/>
    <w:rsid w:val="00821011"/>
    <w:rsid w:val="008258DA"/>
    <w:rsid w:val="00827AE5"/>
    <w:rsid w:val="00845162"/>
    <w:rsid w:val="00847243"/>
    <w:rsid w:val="008642E1"/>
    <w:rsid w:val="00875A7C"/>
    <w:rsid w:val="00877383"/>
    <w:rsid w:val="00880686"/>
    <w:rsid w:val="008836F4"/>
    <w:rsid w:val="008860C1"/>
    <w:rsid w:val="008909D4"/>
    <w:rsid w:val="008942FA"/>
    <w:rsid w:val="00897A68"/>
    <w:rsid w:val="008B07E3"/>
    <w:rsid w:val="008B362E"/>
    <w:rsid w:val="008B52A0"/>
    <w:rsid w:val="008B7801"/>
    <w:rsid w:val="008D01E1"/>
    <w:rsid w:val="008D4D55"/>
    <w:rsid w:val="008D7CAA"/>
    <w:rsid w:val="008E063A"/>
    <w:rsid w:val="008E155C"/>
    <w:rsid w:val="008F3D47"/>
    <w:rsid w:val="008F41A6"/>
    <w:rsid w:val="009004B3"/>
    <w:rsid w:val="00910468"/>
    <w:rsid w:val="009108ED"/>
    <w:rsid w:val="00915CDA"/>
    <w:rsid w:val="00925394"/>
    <w:rsid w:val="0092540D"/>
    <w:rsid w:val="00925FB5"/>
    <w:rsid w:val="009268A3"/>
    <w:rsid w:val="0094204C"/>
    <w:rsid w:val="00963DD8"/>
    <w:rsid w:val="009650F0"/>
    <w:rsid w:val="00970C70"/>
    <w:rsid w:val="00981D62"/>
    <w:rsid w:val="00984174"/>
    <w:rsid w:val="009A2F4E"/>
    <w:rsid w:val="009A616E"/>
    <w:rsid w:val="009A69F0"/>
    <w:rsid w:val="009B3EAF"/>
    <w:rsid w:val="009C105C"/>
    <w:rsid w:val="009C1092"/>
    <w:rsid w:val="009D4970"/>
    <w:rsid w:val="009E2519"/>
    <w:rsid w:val="009E45C3"/>
    <w:rsid w:val="009E6189"/>
    <w:rsid w:val="009F2769"/>
    <w:rsid w:val="009F71F8"/>
    <w:rsid w:val="00A03C1A"/>
    <w:rsid w:val="00A11155"/>
    <w:rsid w:val="00A14B89"/>
    <w:rsid w:val="00A201E2"/>
    <w:rsid w:val="00A21675"/>
    <w:rsid w:val="00A21E6E"/>
    <w:rsid w:val="00A258E6"/>
    <w:rsid w:val="00A279B7"/>
    <w:rsid w:val="00A316A8"/>
    <w:rsid w:val="00A341DF"/>
    <w:rsid w:val="00A35251"/>
    <w:rsid w:val="00A36DEE"/>
    <w:rsid w:val="00A41D01"/>
    <w:rsid w:val="00A4491A"/>
    <w:rsid w:val="00A4607B"/>
    <w:rsid w:val="00A476CD"/>
    <w:rsid w:val="00A505B9"/>
    <w:rsid w:val="00A52BD7"/>
    <w:rsid w:val="00A53BE4"/>
    <w:rsid w:val="00A54831"/>
    <w:rsid w:val="00A6078F"/>
    <w:rsid w:val="00A62968"/>
    <w:rsid w:val="00A63ACE"/>
    <w:rsid w:val="00A8476F"/>
    <w:rsid w:val="00AA0916"/>
    <w:rsid w:val="00AA222D"/>
    <w:rsid w:val="00AA5E8C"/>
    <w:rsid w:val="00AB725C"/>
    <w:rsid w:val="00AC0386"/>
    <w:rsid w:val="00AC62F8"/>
    <w:rsid w:val="00AD0CA7"/>
    <w:rsid w:val="00AD4FA7"/>
    <w:rsid w:val="00AE4AD2"/>
    <w:rsid w:val="00AE5F43"/>
    <w:rsid w:val="00AF1271"/>
    <w:rsid w:val="00AF6A23"/>
    <w:rsid w:val="00B0704C"/>
    <w:rsid w:val="00B11F28"/>
    <w:rsid w:val="00B27095"/>
    <w:rsid w:val="00B31728"/>
    <w:rsid w:val="00B34F9E"/>
    <w:rsid w:val="00B42C55"/>
    <w:rsid w:val="00B43DE0"/>
    <w:rsid w:val="00B44B23"/>
    <w:rsid w:val="00B4625A"/>
    <w:rsid w:val="00B472AA"/>
    <w:rsid w:val="00B608D5"/>
    <w:rsid w:val="00B61D81"/>
    <w:rsid w:val="00B700A5"/>
    <w:rsid w:val="00B709CE"/>
    <w:rsid w:val="00B70D5A"/>
    <w:rsid w:val="00B71307"/>
    <w:rsid w:val="00B75DD0"/>
    <w:rsid w:val="00B764F8"/>
    <w:rsid w:val="00B80F25"/>
    <w:rsid w:val="00B81607"/>
    <w:rsid w:val="00B8227E"/>
    <w:rsid w:val="00B8714D"/>
    <w:rsid w:val="00B90F20"/>
    <w:rsid w:val="00B91F1E"/>
    <w:rsid w:val="00B93382"/>
    <w:rsid w:val="00BA3246"/>
    <w:rsid w:val="00BA411F"/>
    <w:rsid w:val="00BA527A"/>
    <w:rsid w:val="00BB272C"/>
    <w:rsid w:val="00BB28CF"/>
    <w:rsid w:val="00BB4ABC"/>
    <w:rsid w:val="00BB4C9F"/>
    <w:rsid w:val="00BB5574"/>
    <w:rsid w:val="00BC12BF"/>
    <w:rsid w:val="00BC2A48"/>
    <w:rsid w:val="00BC5FF1"/>
    <w:rsid w:val="00BC6236"/>
    <w:rsid w:val="00BC6C11"/>
    <w:rsid w:val="00BC7B47"/>
    <w:rsid w:val="00BD2C4F"/>
    <w:rsid w:val="00BD3EF3"/>
    <w:rsid w:val="00BE51FF"/>
    <w:rsid w:val="00BF3561"/>
    <w:rsid w:val="00BF556C"/>
    <w:rsid w:val="00C00460"/>
    <w:rsid w:val="00C05015"/>
    <w:rsid w:val="00C05EFD"/>
    <w:rsid w:val="00C0768E"/>
    <w:rsid w:val="00C11B88"/>
    <w:rsid w:val="00C22083"/>
    <w:rsid w:val="00C24C23"/>
    <w:rsid w:val="00C32DEA"/>
    <w:rsid w:val="00C45053"/>
    <w:rsid w:val="00C52D74"/>
    <w:rsid w:val="00C5365F"/>
    <w:rsid w:val="00C56C48"/>
    <w:rsid w:val="00C616FD"/>
    <w:rsid w:val="00C63B58"/>
    <w:rsid w:val="00C7001F"/>
    <w:rsid w:val="00C71F16"/>
    <w:rsid w:val="00C7573D"/>
    <w:rsid w:val="00C76F4A"/>
    <w:rsid w:val="00C77723"/>
    <w:rsid w:val="00C800A9"/>
    <w:rsid w:val="00C80222"/>
    <w:rsid w:val="00C86826"/>
    <w:rsid w:val="00C86D2C"/>
    <w:rsid w:val="00C90C76"/>
    <w:rsid w:val="00CA10D7"/>
    <w:rsid w:val="00CA71AC"/>
    <w:rsid w:val="00CB09E0"/>
    <w:rsid w:val="00CC3545"/>
    <w:rsid w:val="00CC5D92"/>
    <w:rsid w:val="00CC66AD"/>
    <w:rsid w:val="00CC69E8"/>
    <w:rsid w:val="00CC6AF3"/>
    <w:rsid w:val="00CD2613"/>
    <w:rsid w:val="00CD3412"/>
    <w:rsid w:val="00CD7FA8"/>
    <w:rsid w:val="00CE06A2"/>
    <w:rsid w:val="00CE118B"/>
    <w:rsid w:val="00CF34BC"/>
    <w:rsid w:val="00D07030"/>
    <w:rsid w:val="00D23E74"/>
    <w:rsid w:val="00D31DDA"/>
    <w:rsid w:val="00D44D7D"/>
    <w:rsid w:val="00D52978"/>
    <w:rsid w:val="00D54C5C"/>
    <w:rsid w:val="00D57E53"/>
    <w:rsid w:val="00D60F74"/>
    <w:rsid w:val="00D632DC"/>
    <w:rsid w:val="00D708C3"/>
    <w:rsid w:val="00D72CCC"/>
    <w:rsid w:val="00D75DBC"/>
    <w:rsid w:val="00D81A4C"/>
    <w:rsid w:val="00D9642E"/>
    <w:rsid w:val="00DA5E37"/>
    <w:rsid w:val="00DA7AD4"/>
    <w:rsid w:val="00DA7FA2"/>
    <w:rsid w:val="00DB041B"/>
    <w:rsid w:val="00DB12AC"/>
    <w:rsid w:val="00DB17B2"/>
    <w:rsid w:val="00DC0672"/>
    <w:rsid w:val="00DC5CEE"/>
    <w:rsid w:val="00DC75CD"/>
    <w:rsid w:val="00DD42DB"/>
    <w:rsid w:val="00DE7976"/>
    <w:rsid w:val="00DF1658"/>
    <w:rsid w:val="00DF5973"/>
    <w:rsid w:val="00DF7501"/>
    <w:rsid w:val="00E12A67"/>
    <w:rsid w:val="00E12E4F"/>
    <w:rsid w:val="00E13C55"/>
    <w:rsid w:val="00E14C90"/>
    <w:rsid w:val="00E16205"/>
    <w:rsid w:val="00E22EF5"/>
    <w:rsid w:val="00E254D9"/>
    <w:rsid w:val="00E25A14"/>
    <w:rsid w:val="00E25ACC"/>
    <w:rsid w:val="00E36856"/>
    <w:rsid w:val="00E450AE"/>
    <w:rsid w:val="00E501C6"/>
    <w:rsid w:val="00E55AD1"/>
    <w:rsid w:val="00E642B3"/>
    <w:rsid w:val="00E7049B"/>
    <w:rsid w:val="00E727F2"/>
    <w:rsid w:val="00E73A43"/>
    <w:rsid w:val="00E749F1"/>
    <w:rsid w:val="00E87116"/>
    <w:rsid w:val="00E90F22"/>
    <w:rsid w:val="00E91701"/>
    <w:rsid w:val="00E96021"/>
    <w:rsid w:val="00E97968"/>
    <w:rsid w:val="00EA13B2"/>
    <w:rsid w:val="00EA3B77"/>
    <w:rsid w:val="00EA7AFE"/>
    <w:rsid w:val="00EB3C20"/>
    <w:rsid w:val="00EC0B9E"/>
    <w:rsid w:val="00EC1EB5"/>
    <w:rsid w:val="00EC6B80"/>
    <w:rsid w:val="00ED0C45"/>
    <w:rsid w:val="00ED4142"/>
    <w:rsid w:val="00ED537E"/>
    <w:rsid w:val="00EF15CD"/>
    <w:rsid w:val="00EF6E21"/>
    <w:rsid w:val="00EF775B"/>
    <w:rsid w:val="00F0239E"/>
    <w:rsid w:val="00F07EFD"/>
    <w:rsid w:val="00F1164D"/>
    <w:rsid w:val="00F1200D"/>
    <w:rsid w:val="00F154DF"/>
    <w:rsid w:val="00F17C08"/>
    <w:rsid w:val="00F27D5C"/>
    <w:rsid w:val="00F340B8"/>
    <w:rsid w:val="00F37373"/>
    <w:rsid w:val="00F43F29"/>
    <w:rsid w:val="00F509AE"/>
    <w:rsid w:val="00F53EAF"/>
    <w:rsid w:val="00F60941"/>
    <w:rsid w:val="00F60C52"/>
    <w:rsid w:val="00F60FAC"/>
    <w:rsid w:val="00F7110B"/>
    <w:rsid w:val="00F81080"/>
    <w:rsid w:val="00F8191D"/>
    <w:rsid w:val="00F86156"/>
    <w:rsid w:val="00F920EB"/>
    <w:rsid w:val="00F938A3"/>
    <w:rsid w:val="00F94D4D"/>
    <w:rsid w:val="00F95896"/>
    <w:rsid w:val="00FA24D1"/>
    <w:rsid w:val="00FA6F3F"/>
    <w:rsid w:val="00FA70EA"/>
    <w:rsid w:val="00FA7DDB"/>
    <w:rsid w:val="00FB039C"/>
    <w:rsid w:val="00FB0E89"/>
    <w:rsid w:val="00FB231A"/>
    <w:rsid w:val="00FB390A"/>
    <w:rsid w:val="00FB4AA9"/>
    <w:rsid w:val="00FC1435"/>
    <w:rsid w:val="00FC45CA"/>
    <w:rsid w:val="00FC49AB"/>
    <w:rsid w:val="00FC7F0C"/>
    <w:rsid w:val="00FD45A4"/>
    <w:rsid w:val="00FD4866"/>
    <w:rsid w:val="00FE084D"/>
    <w:rsid w:val="00FF3007"/>
    <w:rsid w:val="00FF4BC4"/>
    <w:rsid w:val="00FF558C"/>
    <w:rsid w:val="00FF7279"/>
    <w:rsid w:val="00FF796B"/>
    <w:rsid w:val="00FF7E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034960971">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Office_Excel_Worksheet2.xlsx"/><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package" Target="embeddings/Microsoft_Office_Excel_Worksheet3.xlsx"/><Relationship Id="rId10" Type="http://schemas.openxmlformats.org/officeDocument/2006/relationships/package" Target="embeddings/Microsoft_Office_Excel_Worksheet1.xlsx"/><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3.e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ypress\accshare\Chairperson\Annual%20Update\2012%20-%202013\Degree%20Completi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ypress\accshare\Chairperson\Annual%20Update\2012%20-%202013\Practice%20set%20success%20rate%20for%202011%202012%20academic%20yea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Accounting Instruction</a:t>
            </a:r>
          </a:p>
        </c:rich>
      </c:tx>
      <c:layout>
        <c:manualLayout>
          <c:xMode val="edge"/>
          <c:yMode val="edge"/>
          <c:x val="0.27616666666666695"/>
          <c:y val="2.3148148148148147E-2"/>
        </c:manualLayout>
      </c:layout>
    </c:title>
    <c:plotArea>
      <c:layout/>
      <c:barChart>
        <c:barDir val="col"/>
        <c:grouping val="clustered"/>
        <c:ser>
          <c:idx val="0"/>
          <c:order val="0"/>
          <c:cat>
            <c:strRef>
              <c:f>Sheet1!$A$1:$A$5</c:f>
              <c:strCache>
                <c:ptCount val="5"/>
                <c:pt idx="0">
                  <c:v>FY 07-08</c:v>
                </c:pt>
                <c:pt idx="1">
                  <c:v>FY 08-09</c:v>
                </c:pt>
                <c:pt idx="2">
                  <c:v>FY 09-10</c:v>
                </c:pt>
                <c:pt idx="3">
                  <c:v>FY 10-11</c:v>
                </c:pt>
                <c:pt idx="4">
                  <c:v>FY 11-12</c:v>
                </c:pt>
              </c:strCache>
            </c:strRef>
          </c:cat>
          <c:val>
            <c:numRef>
              <c:f>Sheet1!$B$1:$B$5</c:f>
              <c:numCache>
                <c:formatCode>General</c:formatCode>
                <c:ptCount val="5"/>
                <c:pt idx="0">
                  <c:v>33</c:v>
                </c:pt>
                <c:pt idx="1">
                  <c:v>31</c:v>
                </c:pt>
                <c:pt idx="2">
                  <c:v>37</c:v>
                </c:pt>
                <c:pt idx="3">
                  <c:v>47</c:v>
                </c:pt>
                <c:pt idx="4">
                  <c:v>53</c:v>
                </c:pt>
              </c:numCache>
            </c:numRef>
          </c:val>
        </c:ser>
        <c:dLbls>
          <c:showVal val="1"/>
        </c:dLbls>
        <c:overlap val="-25"/>
        <c:axId val="131111168"/>
        <c:axId val="127336448"/>
      </c:barChart>
      <c:catAx>
        <c:axId val="131111168"/>
        <c:scaling>
          <c:orientation val="minMax"/>
        </c:scaling>
        <c:axPos val="b"/>
        <c:majorTickMark val="none"/>
        <c:tickLblPos val="nextTo"/>
        <c:crossAx val="127336448"/>
        <c:crosses val="autoZero"/>
        <c:auto val="1"/>
        <c:lblAlgn val="ctr"/>
        <c:lblOffset val="100"/>
      </c:catAx>
      <c:valAx>
        <c:axId val="127336448"/>
        <c:scaling>
          <c:orientation val="minMax"/>
        </c:scaling>
        <c:axPos val="l"/>
        <c:majorGridlines/>
        <c:numFmt formatCode="General" sourceLinked="1"/>
        <c:tickLblPos val="nextTo"/>
        <c:crossAx val="131111168"/>
        <c:crosses val="autoZero"/>
        <c:crossBetween val="between"/>
      </c:valAx>
    </c:plotArea>
    <c:plotVisOnly val="1"/>
    <c:dispBlanksAs val="gap"/>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Overall Department Success</a:t>
            </a:r>
            <a:r>
              <a:rPr lang="en-US" baseline="0"/>
              <a:t> Rates</a:t>
            </a:r>
            <a:endParaRPr lang="en-US"/>
          </a:p>
        </c:rich>
      </c:tx>
    </c:title>
    <c:plotArea>
      <c:layout/>
      <c:barChart>
        <c:barDir val="col"/>
        <c:grouping val="clustered"/>
        <c:ser>
          <c:idx val="0"/>
          <c:order val="0"/>
          <c:tx>
            <c:strRef>
              <c:f>'CHART FOR SUCCESS RATES'!$J$6</c:f>
              <c:strCache>
                <c:ptCount val="1"/>
                <c:pt idx="0">
                  <c:v>0410 - Accounting Instruction</c:v>
                </c:pt>
              </c:strCache>
            </c:strRef>
          </c:tx>
          <c:dLbls>
            <c:showVal val="1"/>
          </c:dLbls>
          <c:cat>
            <c:strRef>
              <c:f>'CHART FOR SUCCESS RATES'!$D$5:$H$5</c:f>
              <c:strCache>
                <c:ptCount val="5"/>
                <c:pt idx="0">
                  <c:v>FY 07-08</c:v>
                </c:pt>
                <c:pt idx="1">
                  <c:v>FY 08-09</c:v>
                </c:pt>
                <c:pt idx="2">
                  <c:v>FY 09-10</c:v>
                </c:pt>
                <c:pt idx="3">
                  <c:v>FY 10-11</c:v>
                </c:pt>
                <c:pt idx="4">
                  <c:v>FY 11-12 (excludes Spring)</c:v>
                </c:pt>
              </c:strCache>
            </c:strRef>
          </c:cat>
          <c:val>
            <c:numRef>
              <c:f>'CHART FOR SUCCESS RATES'!$D$6:$H$6</c:f>
              <c:numCache>
                <c:formatCode>0.0%</c:formatCode>
                <c:ptCount val="5"/>
                <c:pt idx="0">
                  <c:v>0.64400000000000168</c:v>
                </c:pt>
                <c:pt idx="1">
                  <c:v>0.64400000000000168</c:v>
                </c:pt>
                <c:pt idx="2">
                  <c:v>0.67700000000000193</c:v>
                </c:pt>
                <c:pt idx="3">
                  <c:v>0.66000000000000192</c:v>
                </c:pt>
                <c:pt idx="4">
                  <c:v>0.67400000000000193</c:v>
                </c:pt>
              </c:numCache>
            </c:numRef>
          </c:val>
        </c:ser>
        <c:ser>
          <c:idx val="1"/>
          <c:order val="1"/>
          <c:tx>
            <c:strRef>
              <c:f>'CHART FOR SUCCESS RATES'!$C$7</c:f>
              <c:strCache>
                <c:ptCount val="1"/>
                <c:pt idx="0">
                  <c:v>BPS</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RATES'!$D$7:$H$7</c:f>
              <c:numCache>
                <c:formatCode>0.0%</c:formatCode>
                <c:ptCount val="5"/>
                <c:pt idx="0">
                  <c:v>0.73200000000000065</c:v>
                </c:pt>
                <c:pt idx="1">
                  <c:v>0.72800000000000065</c:v>
                </c:pt>
                <c:pt idx="2">
                  <c:v>0.71800000000000064</c:v>
                </c:pt>
                <c:pt idx="3">
                  <c:v>0.70600000000000063</c:v>
                </c:pt>
                <c:pt idx="4">
                  <c:v>0.72900000000000065</c:v>
                </c:pt>
              </c:numCache>
            </c:numRef>
          </c:val>
        </c:ser>
        <c:ser>
          <c:idx val="2"/>
          <c:order val="2"/>
          <c:tx>
            <c:strRef>
              <c:f>'CHART FOR SUCCESS RATES'!$C$8</c:f>
              <c:strCache>
                <c:ptCount val="1"/>
                <c:pt idx="0">
                  <c:v>COLLEGEWIDE</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RATES'!$D$8:$H$8</c:f>
              <c:numCache>
                <c:formatCode>0.0%</c:formatCode>
                <c:ptCount val="5"/>
                <c:pt idx="0">
                  <c:v>0.71700000000000064</c:v>
                </c:pt>
                <c:pt idx="1">
                  <c:v>0.71000000000000063</c:v>
                </c:pt>
                <c:pt idx="2">
                  <c:v>0.70200000000000062</c:v>
                </c:pt>
                <c:pt idx="3">
                  <c:v>0.69000000000000061</c:v>
                </c:pt>
                <c:pt idx="4">
                  <c:v>0.70500000000000063</c:v>
                </c:pt>
              </c:numCache>
            </c:numRef>
          </c:val>
        </c:ser>
        <c:axId val="128915328"/>
        <c:axId val="128916864"/>
      </c:barChart>
      <c:catAx>
        <c:axId val="128915328"/>
        <c:scaling>
          <c:orientation val="minMax"/>
        </c:scaling>
        <c:axPos val="b"/>
        <c:numFmt formatCode="0.0%" sourceLinked="1"/>
        <c:majorTickMark val="none"/>
        <c:tickLblPos val="nextTo"/>
        <c:crossAx val="128916864"/>
        <c:crosses val="autoZero"/>
        <c:auto val="1"/>
        <c:lblAlgn val="ctr"/>
        <c:lblOffset val="100"/>
      </c:catAx>
      <c:valAx>
        <c:axId val="128916864"/>
        <c:scaling>
          <c:orientation val="minMax"/>
          <c:max val="1"/>
          <c:min val="0"/>
        </c:scaling>
        <c:axPos val="l"/>
        <c:majorGridlines>
          <c:spPr>
            <a:ln>
              <a:solidFill>
                <a:srgbClr val="4F81BD">
                  <a:alpha val="31000"/>
                </a:srgbClr>
              </a:solidFill>
            </a:ln>
          </c:spPr>
        </c:majorGridlines>
        <c:numFmt formatCode="0.0%" sourceLinked="1"/>
        <c:majorTickMark val="none"/>
        <c:tickLblPos val="nextTo"/>
        <c:crossAx val="128915328"/>
        <c:crosses val="autoZero"/>
        <c:crossBetween val="between"/>
      </c:valAx>
    </c:plotArea>
    <c:legend>
      <c:legendPos val="r"/>
    </c:legend>
    <c:plotVisOnly val="1"/>
    <c:dispBlanksAs val="gap"/>
  </c:chart>
  <c:spPr>
    <a:ln w="25400">
      <a:solidFill>
        <a:sysClr val="windowText" lastClr="000000"/>
      </a:solid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100"/>
            </a:pPr>
            <a:r>
              <a:rPr lang="en-US" sz="1100"/>
              <a:t>Student Success Rates for AY 11-12</a:t>
            </a:r>
          </a:p>
        </c:rich>
      </c:tx>
      <c:layout>
        <c:manualLayout>
          <c:xMode val="edge"/>
          <c:yMode val="edge"/>
          <c:x val="0.13711452076395586"/>
          <c:y val="0"/>
        </c:manualLayout>
      </c:layout>
      <c:overlay val="1"/>
    </c:title>
    <c:view3D>
      <c:rotX val="30"/>
      <c:perspective val="30"/>
    </c:view3D>
    <c:plotArea>
      <c:layout/>
      <c:pie3DChart>
        <c:varyColors val="1"/>
        <c:ser>
          <c:idx val="0"/>
          <c:order val="0"/>
          <c:dLbls>
            <c:dLblPos val="inEnd"/>
            <c:showVal val="1"/>
            <c:showCatName val="1"/>
          </c:dLbls>
          <c:cat>
            <c:strRef>
              <c:f>Sheet1!$H$5:$J$5</c:f>
              <c:strCache>
                <c:ptCount val="3"/>
                <c:pt idx="0">
                  <c:v>Over 70%</c:v>
                </c:pt>
                <c:pt idx="1">
                  <c:v>Over 75%</c:v>
                </c:pt>
                <c:pt idx="2">
                  <c:v>Over 80%</c:v>
                </c:pt>
              </c:strCache>
            </c:strRef>
          </c:cat>
          <c:val>
            <c:numRef>
              <c:f>Sheet1!$H$12:$J$12</c:f>
              <c:numCache>
                <c:formatCode>0.0%</c:formatCode>
                <c:ptCount val="3"/>
                <c:pt idx="0">
                  <c:v>0.92537313432835822</c:v>
                </c:pt>
                <c:pt idx="1">
                  <c:v>0.88059701492537312</c:v>
                </c:pt>
                <c:pt idx="2">
                  <c:v>0.82089552238805985</c:v>
                </c:pt>
              </c:numCache>
            </c:numRef>
          </c:val>
        </c:ser>
        <c:dLbls>
          <c:showVal val="1"/>
        </c:dLbls>
      </c:pie3DChart>
    </c:plotArea>
    <c:plotVisOnly val="1"/>
  </c:chart>
  <c:externalData r:id="rId1"/>
</c:chartSpace>
</file>

<file path=word/drawings/drawing1.xml><?xml version="1.0" encoding="utf-8"?>
<c:userShapes xmlns:c="http://schemas.openxmlformats.org/drawingml/2006/chart">
  <cdr:relSizeAnchor xmlns:cdr="http://schemas.openxmlformats.org/drawingml/2006/chartDrawing">
    <cdr:from>
      <cdr:x>0.28542</cdr:x>
      <cdr:y>0.10764</cdr:y>
    </cdr:from>
    <cdr:to>
      <cdr:x>0.81042</cdr:x>
      <cdr:y>0.19792</cdr:y>
    </cdr:to>
    <cdr:sp macro="" textlink="">
      <cdr:nvSpPr>
        <cdr:cNvPr id="2" name="TextBox 1"/>
        <cdr:cNvSpPr txBox="1"/>
      </cdr:nvSpPr>
      <cdr:spPr>
        <a:xfrm xmlns:a="http://schemas.openxmlformats.org/drawingml/2006/main">
          <a:off x="1304925" y="295275"/>
          <a:ext cx="2400300"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Degree and Certificate Completion</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25FB5-EA5B-4379-91B7-4164DC0AD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14</Pages>
  <Words>3100</Words>
  <Characters>17673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20732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jackie.myers</cp:lastModifiedBy>
  <cp:revision>19</cp:revision>
  <cp:lastPrinted>2012-09-24T13:16:00Z</cp:lastPrinted>
  <dcterms:created xsi:type="dcterms:W3CDTF">2012-09-24T15:38:00Z</dcterms:created>
  <dcterms:modified xsi:type="dcterms:W3CDTF">2012-09-24T20:43:00Z</dcterms:modified>
</cp:coreProperties>
</file>