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58FAA" w14:textId="77777777" w:rsidR="00EE061F" w:rsidRDefault="00EE061F" w:rsidP="00EE061F">
      <w:pPr>
        <w:jc w:val="center"/>
        <w:rPr>
          <w:rFonts w:ascii="Arial" w:hAnsi="Arial" w:cs="Arial"/>
          <w:b/>
          <w:color w:val="000000" w:themeColor="text1"/>
          <w:sz w:val="28"/>
        </w:rPr>
      </w:pPr>
      <w:r>
        <w:rPr>
          <w:rFonts w:ascii="Arial" w:hAnsi="Arial" w:cs="Arial"/>
          <w:b/>
          <w:color w:val="000000" w:themeColor="text1"/>
          <w:sz w:val="28"/>
        </w:rPr>
        <w:t>Sinclair Community College</w:t>
      </w:r>
    </w:p>
    <w:p w14:paraId="51E54CE4" w14:textId="77777777" w:rsidR="00EE061F" w:rsidRDefault="00EE061F" w:rsidP="00EE061F">
      <w:pPr>
        <w:jc w:val="center"/>
        <w:rPr>
          <w:rFonts w:ascii="Arial" w:hAnsi="Arial" w:cs="Arial"/>
          <w:b/>
          <w:color w:val="000000" w:themeColor="text1"/>
        </w:rPr>
      </w:pPr>
      <w:r>
        <w:rPr>
          <w:rFonts w:ascii="Arial" w:hAnsi="Arial" w:cs="Arial"/>
          <w:b/>
          <w:color w:val="000000" w:themeColor="text1"/>
        </w:rPr>
        <w:t>Continuous Improvement Annual Update 2016-17</w:t>
      </w:r>
    </w:p>
    <w:p w14:paraId="64C3A263" w14:textId="77777777" w:rsidR="00EE061F" w:rsidRDefault="00EE061F" w:rsidP="00EE061F">
      <w:pPr>
        <w:jc w:val="center"/>
        <w:rPr>
          <w:rFonts w:ascii="Arial" w:hAnsi="Arial" w:cs="Arial"/>
          <w:b/>
          <w:color w:val="000000" w:themeColor="text1"/>
        </w:rPr>
      </w:pPr>
    </w:p>
    <w:p w14:paraId="4039AED2" w14:textId="77777777" w:rsidR="00EE061F" w:rsidRDefault="00EE061F" w:rsidP="00EE061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7FF4759E" w14:textId="77777777" w:rsidR="00EE061F" w:rsidRDefault="00EE061F" w:rsidP="00EE061F">
      <w:pPr>
        <w:jc w:val="center"/>
        <w:rPr>
          <w:rFonts w:ascii="Arial" w:hAnsi="Arial" w:cs="Arial"/>
          <w:b/>
          <w:color w:val="000000" w:themeColor="text1"/>
        </w:rPr>
      </w:pPr>
    </w:p>
    <w:p w14:paraId="60512B9A" w14:textId="77777777" w:rsidR="00EE061F" w:rsidRDefault="00EE061F" w:rsidP="00EE061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5DC785B2" w14:textId="77777777" w:rsidR="001026AA" w:rsidRPr="00CD2613" w:rsidRDefault="001026AA" w:rsidP="001026AA">
      <w:pPr>
        <w:jc w:val="center"/>
        <w:rPr>
          <w:rFonts w:ascii="Arial" w:hAnsi="Arial" w:cs="Arial"/>
          <w:b/>
          <w:color w:val="000000" w:themeColor="text1"/>
        </w:rPr>
      </w:pPr>
    </w:p>
    <w:p w14:paraId="4A60DE79" w14:textId="7C430C2B"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BD6151" w:rsidRPr="00BD6151">
                        <w:rPr>
                          <w:rFonts w:ascii="Arial" w:hAnsi="Arial" w:cs="Arial"/>
                          <w:b/>
                          <w:sz w:val="20"/>
                          <w:szCs w:val="20"/>
                        </w:rPr>
                        <w:t xml:space="preserve">LHS - </w:t>
                      </w:r>
                      <w:r w:rsidR="001F4A26" w:rsidRPr="001F4A26">
                        <w:rPr>
                          <w:rFonts w:ascii="Arial" w:hAnsi="Arial" w:cs="Arial"/>
                          <w:b/>
                          <w:sz w:val="20"/>
                          <w:szCs w:val="20"/>
                        </w:rPr>
                        <w:t>0678-Radiologic Technology</w:t>
                      </w:r>
                    </w:sdtContent>
                  </w:sdt>
                </w:sdtContent>
              </w:sdt>
            </w:sdtContent>
          </w:sdt>
        </w:sdtContent>
      </w:sdt>
    </w:p>
    <w:p w14:paraId="01439583" w14:textId="28EBE3CB"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8128A0">
        <w:rPr>
          <w:rFonts w:ascii="Arial" w:hAnsi="Arial" w:cs="Arial"/>
          <w:color w:val="000000" w:themeColor="text1"/>
        </w:rPr>
        <w:t>201</w:t>
      </w:r>
      <w:r w:rsidR="001F4A26">
        <w:rPr>
          <w:rFonts w:ascii="Arial" w:hAnsi="Arial" w:cs="Arial"/>
          <w:color w:val="000000" w:themeColor="text1"/>
        </w:rPr>
        <w:t>5</w:t>
      </w:r>
      <w:r w:rsidR="008128A0">
        <w:rPr>
          <w:rFonts w:ascii="Arial" w:hAnsi="Arial" w:cs="Arial"/>
          <w:color w:val="000000" w:themeColor="text1"/>
        </w:rPr>
        <w:t>-201</w:t>
      </w:r>
      <w:r w:rsidR="001F4A26">
        <w:rPr>
          <w:rFonts w:ascii="Arial" w:hAnsi="Arial" w:cs="Arial"/>
          <w:color w:val="000000" w:themeColor="text1"/>
        </w:rPr>
        <w:t>6</w:t>
      </w:r>
    </w:p>
    <w:p w14:paraId="18CB75FE" w14:textId="3EB4E3D1"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40EA">
        <w:rPr>
          <w:rFonts w:ascii="Arial" w:hAnsi="Arial" w:cs="Arial"/>
          <w:color w:val="000000" w:themeColor="text1"/>
        </w:rPr>
        <w:t>20</w:t>
      </w:r>
      <w:r w:rsidR="001F4A26">
        <w:rPr>
          <w:rFonts w:ascii="Arial" w:hAnsi="Arial" w:cs="Arial"/>
          <w:color w:val="000000" w:themeColor="text1"/>
        </w:rPr>
        <w:t>20</w:t>
      </w:r>
      <w:r w:rsidR="00AC40EA">
        <w:rPr>
          <w:rFonts w:ascii="Arial" w:hAnsi="Arial" w:cs="Arial"/>
          <w:color w:val="000000" w:themeColor="text1"/>
        </w:rPr>
        <w:t>-202</w:t>
      </w:r>
      <w:r w:rsidR="001F4A26">
        <w:rPr>
          <w:rFonts w:ascii="Arial" w:hAnsi="Arial" w:cs="Arial"/>
          <w:color w:val="000000" w:themeColor="text1"/>
        </w:rPr>
        <w:t>1</w:t>
      </w:r>
    </w:p>
    <w:p w14:paraId="507A5BFA" w14:textId="77777777" w:rsidR="00827AE5" w:rsidRPr="00CD2613" w:rsidRDefault="00827AE5" w:rsidP="00F0239E">
      <w:pPr>
        <w:jc w:val="center"/>
        <w:rPr>
          <w:rFonts w:ascii="Arial" w:hAnsi="Arial" w:cs="Arial"/>
          <w:b/>
          <w:color w:val="000000" w:themeColor="text1"/>
        </w:rPr>
      </w:pPr>
    </w:p>
    <w:p w14:paraId="01276ED6" w14:textId="77777777" w:rsidR="00F0239E" w:rsidRDefault="00E67211" w:rsidP="00F4284C">
      <w:pPr>
        <w:spacing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0D3BDD7" w14:textId="77777777" w:rsidR="001D736E" w:rsidRPr="00CD2613" w:rsidRDefault="001D736E" w:rsidP="00CD2613">
      <w:pPr>
        <w:pStyle w:val="ListParagraph"/>
        <w:ind w:left="0"/>
        <w:rPr>
          <w:rFonts w:ascii="Arial" w:hAnsi="Arial" w:cs="Arial"/>
          <w:b/>
          <w:color w:val="000000" w:themeColor="text1"/>
          <w:u w:val="single"/>
        </w:rPr>
      </w:pPr>
    </w:p>
    <w:p w14:paraId="3626C07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F0C74" w:rsidRPr="006F0C74" w14:paraId="55847C99" w14:textId="77777777" w:rsidTr="002E3EEF">
        <w:trPr>
          <w:trHeight w:val="466"/>
        </w:trPr>
        <w:tc>
          <w:tcPr>
            <w:tcW w:w="3951" w:type="dxa"/>
            <w:shd w:val="clear" w:color="auto" w:fill="auto"/>
          </w:tcPr>
          <w:p w14:paraId="07B3697C" w14:textId="75AC585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G</w:t>
            </w:r>
            <w:r w:rsidR="00B806A4">
              <w:rPr>
                <w:rFonts w:ascii="Arial" w:hAnsi="Arial" w:cs="Arial"/>
                <w:b/>
                <w:sz w:val="20"/>
                <w:szCs w:val="20"/>
              </w:rPr>
              <w:t>oals</w:t>
            </w:r>
          </w:p>
        </w:tc>
        <w:tc>
          <w:tcPr>
            <w:tcW w:w="2647" w:type="dxa"/>
            <w:shd w:val="clear" w:color="auto" w:fill="auto"/>
          </w:tcPr>
          <w:p w14:paraId="08E26702"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Status</w:t>
            </w:r>
          </w:p>
        </w:tc>
        <w:tc>
          <w:tcPr>
            <w:tcW w:w="6632" w:type="dxa"/>
            <w:shd w:val="clear" w:color="auto" w:fill="auto"/>
          </w:tcPr>
          <w:p w14:paraId="70966A9A"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Progress or Rationale for No Longer Applicable</w:t>
            </w:r>
          </w:p>
        </w:tc>
      </w:tr>
      <w:tr w:rsidR="006F0C74" w:rsidRPr="00B806A4" w14:paraId="2B6CFC48" w14:textId="77777777" w:rsidTr="002E3EEF">
        <w:trPr>
          <w:trHeight w:val="1399"/>
        </w:trPr>
        <w:tc>
          <w:tcPr>
            <w:tcW w:w="3951" w:type="dxa"/>
            <w:shd w:val="clear" w:color="auto" w:fill="auto"/>
          </w:tcPr>
          <w:p w14:paraId="3E5D31BC" w14:textId="0D484B61" w:rsidR="006F0C74" w:rsidRPr="00B806A4" w:rsidRDefault="001F4A26" w:rsidP="001F4A26">
            <w:pPr>
              <w:rPr>
                <w:rFonts w:ascii="Arial" w:hAnsi="Arial" w:cs="Arial"/>
                <w:color w:val="000000"/>
                <w:sz w:val="20"/>
                <w:szCs w:val="20"/>
              </w:rPr>
            </w:pPr>
            <w:r>
              <w:rPr>
                <w:rFonts w:ascii="Arial" w:hAnsi="Arial" w:cs="Arial"/>
              </w:rPr>
              <w:t>The Mammography short-term certificate will begin in 16/FA and other modalities are being investigated and will be discussed with advisory committee members. The program faculty members are always evaluating the need and ability for us to offer additi</w:t>
            </w:r>
            <w:r w:rsidRPr="007577B8">
              <w:rPr>
                <w:rFonts w:ascii="Arial" w:hAnsi="Arial" w:cs="Arial"/>
              </w:rPr>
              <w:t xml:space="preserve">onal certificates, a higher degree, etc. and we will continue to do so. The advisory board members will be </w:t>
            </w:r>
            <w:r w:rsidRPr="007577B8">
              <w:rPr>
                <w:rFonts w:ascii="Arial" w:hAnsi="Arial" w:cs="Arial"/>
              </w:rPr>
              <w:lastRenderedPageBreak/>
              <w:t>consulted with regard to which imaging modalities are in need at this time, which will guide us toward what new short-term certificates we may add in the future.</w:t>
            </w:r>
          </w:p>
        </w:tc>
        <w:tc>
          <w:tcPr>
            <w:tcW w:w="2647" w:type="dxa"/>
            <w:shd w:val="clear" w:color="auto" w:fill="auto"/>
          </w:tcPr>
          <w:p w14:paraId="1849D8FC" w14:textId="77777777" w:rsidR="006F0C74" w:rsidRPr="00B806A4" w:rsidRDefault="006F0C74" w:rsidP="002E3EEF">
            <w:pPr>
              <w:pStyle w:val="ListParagraph"/>
              <w:ind w:left="0"/>
              <w:rPr>
                <w:rFonts w:ascii="Arial" w:hAnsi="Arial" w:cs="Arial"/>
                <w:color w:val="000000"/>
                <w:sz w:val="20"/>
                <w:szCs w:val="20"/>
              </w:rPr>
            </w:pPr>
          </w:p>
          <w:p w14:paraId="0C29FFF2" w14:textId="0B0874F0"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D2D">
              <w:rPr>
                <w:rFonts w:ascii="Arial" w:hAnsi="Arial" w:cs="Arial"/>
                <w:sz w:val="20"/>
                <w:szCs w:val="20"/>
              </w:rPr>
              <w:fldChar w:fldCharType="begin">
                <w:ffData>
                  <w:name w:val="Check1"/>
                  <w:enabled/>
                  <w:calcOnExit w:val="0"/>
                  <w:checkBox>
                    <w:sizeAuto/>
                    <w:default w:val="1"/>
                  </w:checkBox>
                </w:ffData>
              </w:fldChar>
            </w:r>
            <w:bookmarkStart w:id="0" w:name="Check1"/>
            <w:r w:rsidR="00614D2D">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614D2D">
              <w:rPr>
                <w:rFonts w:ascii="Arial" w:hAnsi="Arial" w:cs="Arial"/>
                <w:sz w:val="20"/>
                <w:szCs w:val="20"/>
              </w:rPr>
              <w:fldChar w:fldCharType="end"/>
            </w:r>
            <w:bookmarkEnd w:id="0"/>
          </w:p>
          <w:p w14:paraId="383D6DD4" w14:textId="77777777" w:rsidR="006F0C74" w:rsidRPr="00B806A4" w:rsidRDefault="006F0C74" w:rsidP="002E3EEF">
            <w:pPr>
              <w:pStyle w:val="ListParagraph"/>
              <w:ind w:left="0"/>
              <w:rPr>
                <w:rFonts w:ascii="Arial" w:hAnsi="Arial" w:cs="Arial"/>
                <w:color w:val="000000"/>
                <w:sz w:val="20"/>
                <w:szCs w:val="20"/>
              </w:rPr>
            </w:pPr>
          </w:p>
          <w:p w14:paraId="27AB231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6B6E620D" w14:textId="77777777" w:rsidR="006F0C74" w:rsidRPr="00B806A4" w:rsidRDefault="006F0C74" w:rsidP="002E3EEF">
            <w:pPr>
              <w:pStyle w:val="ListParagraph"/>
              <w:ind w:left="0"/>
              <w:rPr>
                <w:rFonts w:ascii="Arial" w:hAnsi="Arial" w:cs="Arial"/>
                <w:color w:val="000000"/>
                <w:sz w:val="20"/>
                <w:szCs w:val="20"/>
              </w:rPr>
            </w:pPr>
          </w:p>
          <w:p w14:paraId="04B4831D"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1C16A2B7" w14:textId="79403E62" w:rsidR="006F0C74" w:rsidRPr="00B806A4" w:rsidRDefault="00614D2D" w:rsidP="00614D2D">
            <w:pPr>
              <w:rPr>
                <w:rFonts w:ascii="Arial" w:hAnsi="Arial" w:cs="Arial"/>
                <w:sz w:val="20"/>
                <w:szCs w:val="20"/>
              </w:rPr>
            </w:pPr>
            <w:r>
              <w:rPr>
                <w:rFonts w:ascii="Arial" w:hAnsi="Arial" w:cs="Arial"/>
                <w:sz w:val="20"/>
                <w:szCs w:val="20"/>
              </w:rPr>
              <w:t>We plan to start offering clinical practicum courses in the short-term certificate in Mammography (MAMMO.S.STC) in 17/FA. Once we see what the need is for additional clinicals and/or didactic instruction we will re-evaluate</w:t>
            </w:r>
            <w:r w:rsidR="00E30BE7">
              <w:rPr>
                <w:rFonts w:ascii="Arial" w:hAnsi="Arial" w:cs="Arial"/>
                <w:sz w:val="20"/>
                <w:szCs w:val="20"/>
              </w:rPr>
              <w:t xml:space="preserve"> the feasibility of this STC and</w:t>
            </w:r>
            <w:r>
              <w:rPr>
                <w:rFonts w:ascii="Arial" w:hAnsi="Arial" w:cs="Arial"/>
                <w:sz w:val="20"/>
                <w:szCs w:val="20"/>
              </w:rPr>
              <w:t xml:space="preserve"> will make plans for future offerings accordingly. We also continue to survey the community for other potential STC and continuing education course offerings, and we will get some advice on these areas from our advisory board at our 2017 meeting in May, 2017.</w:t>
            </w:r>
          </w:p>
        </w:tc>
      </w:tr>
      <w:tr w:rsidR="001F4A26" w:rsidRPr="00B806A4" w14:paraId="617CB7FA" w14:textId="77777777" w:rsidTr="002E3EEF">
        <w:trPr>
          <w:trHeight w:val="1399"/>
        </w:trPr>
        <w:tc>
          <w:tcPr>
            <w:tcW w:w="3951" w:type="dxa"/>
            <w:shd w:val="clear" w:color="auto" w:fill="auto"/>
          </w:tcPr>
          <w:p w14:paraId="044081DA" w14:textId="5A5E3465" w:rsidR="001F4A26" w:rsidRPr="00B806A4" w:rsidRDefault="001F4A26" w:rsidP="001F4A26">
            <w:pPr>
              <w:spacing w:line="276" w:lineRule="auto"/>
              <w:rPr>
                <w:rFonts w:ascii="Arial" w:hAnsi="Arial" w:cs="Arial"/>
                <w:color w:val="000000"/>
                <w:sz w:val="20"/>
                <w:szCs w:val="20"/>
              </w:rPr>
            </w:pPr>
            <w:r w:rsidRPr="007577B8">
              <w:rPr>
                <w:rFonts w:ascii="Arial" w:hAnsi="Arial" w:cs="Arial"/>
              </w:rPr>
              <w:t>We will also do a feasibility and need study in the area to gain additional information on interest in our department offering a bachelor’s degree and on which additional imaging modalities would be viable options.</w:t>
            </w:r>
          </w:p>
        </w:tc>
        <w:tc>
          <w:tcPr>
            <w:tcW w:w="2647" w:type="dxa"/>
            <w:shd w:val="clear" w:color="auto" w:fill="auto"/>
          </w:tcPr>
          <w:p w14:paraId="251C075D" w14:textId="77777777" w:rsidR="001F4A26" w:rsidRPr="00B806A4" w:rsidRDefault="001F4A26" w:rsidP="001F4A26">
            <w:pPr>
              <w:pStyle w:val="ListParagraph"/>
              <w:ind w:left="0"/>
              <w:rPr>
                <w:rFonts w:ascii="Arial" w:hAnsi="Arial" w:cs="Arial"/>
                <w:color w:val="000000"/>
                <w:sz w:val="20"/>
                <w:szCs w:val="20"/>
              </w:rPr>
            </w:pPr>
          </w:p>
          <w:p w14:paraId="3F533B86" w14:textId="156D4A2F"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5D21B8">
              <w:rPr>
                <w:rFonts w:ascii="Arial" w:hAnsi="Arial" w:cs="Arial"/>
                <w:sz w:val="20"/>
                <w:szCs w:val="20"/>
              </w:rPr>
              <w:fldChar w:fldCharType="begin">
                <w:ffData>
                  <w:name w:val=""/>
                  <w:enabled/>
                  <w:calcOnExit w:val="0"/>
                  <w:checkBox>
                    <w:sizeAuto/>
                    <w:default w:val="0"/>
                  </w:checkBox>
                </w:ffData>
              </w:fldChar>
            </w:r>
            <w:r w:rsidR="005D21B8">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5D21B8">
              <w:rPr>
                <w:rFonts w:ascii="Arial" w:hAnsi="Arial" w:cs="Arial"/>
                <w:sz w:val="20"/>
                <w:szCs w:val="20"/>
              </w:rPr>
              <w:fldChar w:fldCharType="end"/>
            </w:r>
          </w:p>
          <w:p w14:paraId="771F5B1E" w14:textId="77777777" w:rsidR="001F4A26" w:rsidRPr="00B806A4" w:rsidRDefault="001F4A26" w:rsidP="001F4A26">
            <w:pPr>
              <w:pStyle w:val="ListParagraph"/>
              <w:ind w:left="0"/>
              <w:rPr>
                <w:rFonts w:ascii="Arial" w:hAnsi="Arial" w:cs="Arial"/>
                <w:color w:val="000000"/>
                <w:sz w:val="20"/>
                <w:szCs w:val="20"/>
              </w:rPr>
            </w:pPr>
          </w:p>
          <w:p w14:paraId="08F78D21" w14:textId="4A5A6080"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5D21B8">
              <w:rPr>
                <w:rFonts w:ascii="Arial" w:hAnsi="Arial" w:cs="Arial"/>
                <w:sz w:val="20"/>
                <w:szCs w:val="20"/>
              </w:rPr>
              <w:fldChar w:fldCharType="begin">
                <w:ffData>
                  <w:name w:val=""/>
                  <w:enabled/>
                  <w:calcOnExit w:val="0"/>
                  <w:checkBox>
                    <w:sizeAuto/>
                    <w:default w:val="1"/>
                  </w:checkBox>
                </w:ffData>
              </w:fldChar>
            </w:r>
            <w:r w:rsidR="005D21B8">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5D21B8">
              <w:rPr>
                <w:rFonts w:ascii="Arial" w:hAnsi="Arial" w:cs="Arial"/>
                <w:sz w:val="20"/>
                <w:szCs w:val="20"/>
              </w:rPr>
              <w:fldChar w:fldCharType="end"/>
            </w:r>
          </w:p>
          <w:p w14:paraId="1BEDEEF3" w14:textId="77777777" w:rsidR="001F4A26" w:rsidRPr="00B806A4" w:rsidRDefault="001F4A26" w:rsidP="001F4A26">
            <w:pPr>
              <w:pStyle w:val="ListParagraph"/>
              <w:ind w:left="0"/>
              <w:rPr>
                <w:rFonts w:ascii="Arial" w:hAnsi="Arial" w:cs="Arial"/>
                <w:color w:val="000000"/>
                <w:sz w:val="20"/>
                <w:szCs w:val="20"/>
              </w:rPr>
            </w:pPr>
          </w:p>
          <w:p w14:paraId="2330CD14" w14:textId="11F4B074"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22383602" w14:textId="229689D4" w:rsidR="001F4A26" w:rsidRPr="00B806A4" w:rsidRDefault="00614D2D" w:rsidP="00614D2D">
            <w:pPr>
              <w:rPr>
                <w:rFonts w:ascii="Arial" w:hAnsi="Arial" w:cs="Arial"/>
                <w:sz w:val="20"/>
                <w:szCs w:val="20"/>
              </w:rPr>
            </w:pPr>
            <w:r>
              <w:rPr>
                <w:rFonts w:ascii="Arial" w:hAnsi="Arial" w:cs="Arial"/>
                <w:sz w:val="20"/>
                <w:szCs w:val="20"/>
              </w:rPr>
              <w:t xml:space="preserve">The community, including members of our advisory board, are in favor of bachelor degree offerings at </w:t>
            </w:r>
            <w:r w:rsidRPr="00614D2D">
              <w:rPr>
                <w:rFonts w:ascii="Arial" w:hAnsi="Arial" w:cs="Arial"/>
                <w:sz w:val="20"/>
                <w:szCs w:val="20"/>
              </w:rPr>
              <w:t>Sinclair Community College</w:t>
            </w:r>
            <w:r>
              <w:rPr>
                <w:rFonts w:ascii="Arial" w:hAnsi="Arial" w:cs="Arial"/>
                <w:sz w:val="20"/>
                <w:szCs w:val="20"/>
              </w:rPr>
              <w:t>. A degree specific to Radiologic Sciences seems to be the most supported degree, but a bachelor’s degree in Health Sciences would also be supported by the community as an affordable option for a BS degree. As mentioned earlier, we will continue to work with the community and our advisory board members to seek which advanced modality courses could be offered as STC’s or continuing education courses.</w:t>
            </w:r>
          </w:p>
        </w:tc>
      </w:tr>
      <w:tr w:rsidR="001F4A26" w:rsidRPr="00B806A4" w14:paraId="0E4151D4" w14:textId="77777777" w:rsidTr="002E3EEF">
        <w:trPr>
          <w:trHeight w:val="1101"/>
        </w:trPr>
        <w:tc>
          <w:tcPr>
            <w:tcW w:w="3951" w:type="dxa"/>
            <w:shd w:val="clear" w:color="auto" w:fill="auto"/>
          </w:tcPr>
          <w:p w14:paraId="1CE37218" w14:textId="31D2A3BF" w:rsidR="001F4A26" w:rsidRPr="00B806A4" w:rsidRDefault="001F4A26" w:rsidP="001F4A26">
            <w:pPr>
              <w:spacing w:line="276" w:lineRule="auto"/>
              <w:rPr>
                <w:rFonts w:ascii="Arial" w:hAnsi="Arial" w:cs="Arial"/>
                <w:color w:val="000000"/>
                <w:sz w:val="20"/>
                <w:szCs w:val="20"/>
              </w:rPr>
            </w:pPr>
            <w:r w:rsidRPr="007577B8">
              <w:rPr>
                <w:rFonts w:ascii="Arial" w:hAnsi="Arial" w:cs="Arial"/>
              </w:rPr>
              <w:t>We will also increase the information provided to potential students regarding the rigor and schedule of the program in hopes of reducing the number of students that leave the program for non-academic reasons.</w:t>
            </w:r>
          </w:p>
        </w:tc>
        <w:tc>
          <w:tcPr>
            <w:tcW w:w="2647" w:type="dxa"/>
            <w:shd w:val="clear" w:color="auto" w:fill="auto"/>
          </w:tcPr>
          <w:p w14:paraId="65D8E0FD" w14:textId="77777777" w:rsidR="001F4A26" w:rsidRPr="00B806A4" w:rsidRDefault="001F4A26" w:rsidP="001F4A26">
            <w:pPr>
              <w:pStyle w:val="ListParagraph"/>
              <w:ind w:left="0"/>
              <w:rPr>
                <w:rFonts w:ascii="Arial" w:hAnsi="Arial" w:cs="Arial"/>
                <w:color w:val="000000"/>
                <w:sz w:val="20"/>
                <w:szCs w:val="20"/>
              </w:rPr>
            </w:pPr>
          </w:p>
          <w:p w14:paraId="4C3C2CBD" w14:textId="43B091D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D2D">
              <w:rPr>
                <w:rFonts w:ascii="Arial" w:hAnsi="Arial" w:cs="Arial"/>
                <w:sz w:val="20"/>
                <w:szCs w:val="20"/>
              </w:rPr>
              <w:fldChar w:fldCharType="begin">
                <w:ffData>
                  <w:name w:val=""/>
                  <w:enabled/>
                  <w:calcOnExit w:val="0"/>
                  <w:checkBox>
                    <w:sizeAuto/>
                    <w:default w:val="1"/>
                  </w:checkBox>
                </w:ffData>
              </w:fldChar>
            </w:r>
            <w:r w:rsidR="00614D2D">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614D2D">
              <w:rPr>
                <w:rFonts w:ascii="Arial" w:hAnsi="Arial" w:cs="Arial"/>
                <w:sz w:val="20"/>
                <w:szCs w:val="20"/>
              </w:rPr>
              <w:fldChar w:fldCharType="end"/>
            </w:r>
          </w:p>
          <w:p w14:paraId="3B8D3EE7" w14:textId="77777777" w:rsidR="001F4A26" w:rsidRPr="00B806A4" w:rsidRDefault="001F4A26" w:rsidP="001F4A26">
            <w:pPr>
              <w:pStyle w:val="ListParagraph"/>
              <w:ind w:left="0"/>
              <w:rPr>
                <w:rFonts w:ascii="Arial" w:hAnsi="Arial" w:cs="Arial"/>
                <w:color w:val="000000"/>
                <w:sz w:val="20"/>
                <w:szCs w:val="20"/>
              </w:rPr>
            </w:pPr>
          </w:p>
          <w:p w14:paraId="34B30181"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524D86AE" w14:textId="77777777" w:rsidR="001F4A26" w:rsidRPr="00B806A4" w:rsidRDefault="001F4A26" w:rsidP="001F4A26">
            <w:pPr>
              <w:pStyle w:val="ListParagraph"/>
              <w:ind w:left="0"/>
              <w:rPr>
                <w:rFonts w:ascii="Arial" w:hAnsi="Arial" w:cs="Arial"/>
                <w:color w:val="000000"/>
                <w:sz w:val="20"/>
                <w:szCs w:val="20"/>
              </w:rPr>
            </w:pPr>
          </w:p>
          <w:p w14:paraId="6BCEED94" w14:textId="0334B2B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6ACB246D" w14:textId="57915680" w:rsidR="001F4A26" w:rsidRPr="00B806A4" w:rsidRDefault="00614D2D" w:rsidP="005D21B8">
            <w:pPr>
              <w:rPr>
                <w:rFonts w:ascii="Arial" w:hAnsi="Arial" w:cs="Arial"/>
                <w:sz w:val="20"/>
                <w:szCs w:val="20"/>
              </w:rPr>
            </w:pPr>
            <w:r>
              <w:rPr>
                <w:rFonts w:ascii="Arial" w:hAnsi="Arial" w:cs="Arial"/>
                <w:sz w:val="20"/>
                <w:szCs w:val="20"/>
              </w:rPr>
              <w:t xml:space="preserve">The attrition in RAT.S.AAS due to non-academic reasons has reduced, so the program faculty members are happy about that. Beginning in 16/FA the Introduction to Radiologic Technology course (RAT 1101) was revised and more emphasis is now placed on entrance requirements, rigor and tempo of the program, study skills, time management, etc. </w:t>
            </w:r>
            <w:r w:rsidR="005D21B8">
              <w:rPr>
                <w:rFonts w:ascii="Arial" w:hAnsi="Arial" w:cs="Arial"/>
                <w:sz w:val="20"/>
                <w:szCs w:val="20"/>
              </w:rPr>
              <w:t xml:space="preserve">This course is still being taught only by full-time faculty and supplemental retirees so a strong connection to the program is made during this course. During the RAT lab visit in the RAT 1101 course second-year students are brought in to speak with the potential students and they share their experiences, knowledge, etc. and answer questions. The department administrative assistant also comes in to the lab to meet and greet the potential students so they can meet the person that answers general program questions via phone and email. </w:t>
            </w:r>
            <w:r>
              <w:rPr>
                <w:rFonts w:ascii="Arial" w:hAnsi="Arial" w:cs="Arial"/>
                <w:sz w:val="20"/>
                <w:szCs w:val="20"/>
              </w:rPr>
              <w:t>The revised curriculum for RAT 1101 will be re-evaluated at the end of 17/SP to see if any furt</w:t>
            </w:r>
            <w:r w:rsidR="005D21B8">
              <w:rPr>
                <w:rFonts w:ascii="Arial" w:hAnsi="Arial" w:cs="Arial"/>
                <w:sz w:val="20"/>
                <w:szCs w:val="20"/>
              </w:rPr>
              <w:t>her revisions are necessary for 17/FA.</w:t>
            </w:r>
          </w:p>
        </w:tc>
      </w:tr>
      <w:tr w:rsidR="001F4A26" w:rsidRPr="00B806A4" w14:paraId="5010A586" w14:textId="77777777" w:rsidTr="002E3EEF">
        <w:trPr>
          <w:trHeight w:val="1101"/>
        </w:trPr>
        <w:tc>
          <w:tcPr>
            <w:tcW w:w="3951" w:type="dxa"/>
            <w:shd w:val="clear" w:color="auto" w:fill="auto"/>
          </w:tcPr>
          <w:p w14:paraId="6B3E7AB0" w14:textId="240C5BE9" w:rsidR="001F4A26" w:rsidRPr="00B806A4" w:rsidRDefault="001F4A26" w:rsidP="001F4A26">
            <w:pPr>
              <w:spacing w:line="276" w:lineRule="auto"/>
              <w:rPr>
                <w:rFonts w:ascii="Arial" w:hAnsi="Arial" w:cs="Arial"/>
                <w:color w:val="000000"/>
                <w:sz w:val="20"/>
                <w:szCs w:val="20"/>
              </w:rPr>
            </w:pPr>
            <w:r>
              <w:rPr>
                <w:rFonts w:ascii="Arial" w:hAnsi="Arial" w:cs="Arial"/>
              </w:rPr>
              <w:t>Once Connect for Completion has defined new student services opportunities, we will work with them to assist students with personal issues in hopes of keeping them in the program.</w:t>
            </w:r>
          </w:p>
        </w:tc>
        <w:tc>
          <w:tcPr>
            <w:tcW w:w="2647" w:type="dxa"/>
            <w:shd w:val="clear" w:color="auto" w:fill="auto"/>
          </w:tcPr>
          <w:p w14:paraId="6B62763C" w14:textId="77777777" w:rsidR="001F4A26" w:rsidRPr="00B806A4" w:rsidRDefault="001F4A26" w:rsidP="001F4A26">
            <w:pPr>
              <w:pStyle w:val="ListParagraph"/>
              <w:ind w:left="0"/>
              <w:rPr>
                <w:rFonts w:ascii="Arial" w:hAnsi="Arial" w:cs="Arial"/>
                <w:color w:val="000000"/>
                <w:sz w:val="20"/>
                <w:szCs w:val="20"/>
              </w:rPr>
            </w:pPr>
          </w:p>
          <w:p w14:paraId="3B5EC46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3DA14669" w14:textId="77777777" w:rsidR="001F4A26" w:rsidRPr="00B806A4" w:rsidRDefault="001F4A26" w:rsidP="001F4A26">
            <w:pPr>
              <w:pStyle w:val="ListParagraph"/>
              <w:ind w:left="0"/>
              <w:rPr>
                <w:rFonts w:ascii="Arial" w:hAnsi="Arial" w:cs="Arial"/>
                <w:color w:val="000000"/>
                <w:sz w:val="20"/>
                <w:szCs w:val="20"/>
              </w:rPr>
            </w:pPr>
          </w:p>
          <w:p w14:paraId="6F16FD50" w14:textId="225E71D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5D21B8">
              <w:rPr>
                <w:rFonts w:ascii="Arial" w:hAnsi="Arial" w:cs="Arial"/>
                <w:sz w:val="20"/>
                <w:szCs w:val="20"/>
              </w:rPr>
              <w:fldChar w:fldCharType="begin">
                <w:ffData>
                  <w:name w:val=""/>
                  <w:enabled/>
                  <w:calcOnExit w:val="0"/>
                  <w:checkBox>
                    <w:sizeAuto/>
                    <w:default w:val="1"/>
                  </w:checkBox>
                </w:ffData>
              </w:fldChar>
            </w:r>
            <w:r w:rsidR="005D21B8">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5D21B8">
              <w:rPr>
                <w:rFonts w:ascii="Arial" w:hAnsi="Arial" w:cs="Arial"/>
                <w:sz w:val="20"/>
                <w:szCs w:val="20"/>
              </w:rPr>
              <w:fldChar w:fldCharType="end"/>
            </w:r>
          </w:p>
          <w:p w14:paraId="6000D7BA" w14:textId="77777777" w:rsidR="001F4A26" w:rsidRPr="00B806A4" w:rsidRDefault="001F4A26" w:rsidP="001F4A26">
            <w:pPr>
              <w:pStyle w:val="ListParagraph"/>
              <w:ind w:left="0"/>
              <w:rPr>
                <w:rFonts w:ascii="Arial" w:hAnsi="Arial" w:cs="Arial"/>
                <w:color w:val="000000"/>
                <w:sz w:val="20"/>
                <w:szCs w:val="20"/>
              </w:rPr>
            </w:pPr>
          </w:p>
          <w:p w14:paraId="2018F119" w14:textId="1B60E98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7E6106A" w14:textId="4E0AE4E1" w:rsidR="001F4A26" w:rsidRPr="00B806A4" w:rsidRDefault="005D21B8" w:rsidP="005D21B8">
            <w:pPr>
              <w:rPr>
                <w:rFonts w:ascii="Arial" w:hAnsi="Arial" w:cs="Arial"/>
                <w:sz w:val="20"/>
                <w:szCs w:val="20"/>
              </w:rPr>
            </w:pPr>
            <w:r>
              <w:rPr>
                <w:rFonts w:ascii="Arial" w:hAnsi="Arial" w:cs="Arial"/>
                <w:sz w:val="20"/>
                <w:szCs w:val="20"/>
              </w:rPr>
              <w:t xml:space="preserve">We often refer students with non-academic issues to the Counselors and Student Services to assure students have access to resources outside </w:t>
            </w:r>
            <w:r w:rsidRPr="005D21B8">
              <w:rPr>
                <w:rFonts w:ascii="Arial" w:hAnsi="Arial" w:cs="Arial"/>
                <w:sz w:val="20"/>
                <w:szCs w:val="20"/>
              </w:rPr>
              <w:t>Sinclair Community College</w:t>
            </w:r>
            <w:r>
              <w:rPr>
                <w:rFonts w:ascii="Arial" w:hAnsi="Arial" w:cs="Arial"/>
                <w:sz w:val="20"/>
                <w:szCs w:val="20"/>
              </w:rPr>
              <w:t>. These items would include long-term counseling, housing and transportation assistance, etc. We will continue to try to find resources for our students so they can continue uninterrupted in the program curricular sequence.</w:t>
            </w:r>
          </w:p>
        </w:tc>
      </w:tr>
    </w:tbl>
    <w:p w14:paraId="0422B84F"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2700"/>
        <w:gridCol w:w="6660"/>
      </w:tblGrid>
      <w:tr w:rsidR="00E912CE" w:rsidRPr="00B806A4" w14:paraId="117BE6AD" w14:textId="77777777" w:rsidTr="00F4284C">
        <w:tc>
          <w:tcPr>
            <w:tcW w:w="3955" w:type="dxa"/>
            <w:shd w:val="clear" w:color="auto" w:fill="auto"/>
          </w:tcPr>
          <w:p w14:paraId="4305737C" w14:textId="25ADC0B0" w:rsidR="00E912CE" w:rsidRPr="00B806A4" w:rsidRDefault="00B806A4">
            <w:pPr>
              <w:spacing w:before="120"/>
              <w:jc w:val="center"/>
              <w:rPr>
                <w:rFonts w:ascii="Arial" w:hAnsi="Arial" w:cs="Arial"/>
                <w:b/>
                <w:sz w:val="20"/>
                <w:szCs w:val="20"/>
              </w:rPr>
            </w:pPr>
            <w:r w:rsidRPr="00B806A4">
              <w:rPr>
                <w:rFonts w:ascii="Arial" w:hAnsi="Arial" w:cs="Arial"/>
                <w:b/>
                <w:sz w:val="20"/>
                <w:szCs w:val="20"/>
              </w:rPr>
              <w:t>Recommendations</w:t>
            </w:r>
          </w:p>
        </w:tc>
        <w:tc>
          <w:tcPr>
            <w:tcW w:w="2700" w:type="dxa"/>
            <w:shd w:val="clear" w:color="auto" w:fill="auto"/>
          </w:tcPr>
          <w:p w14:paraId="432C2C25"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Status</w:t>
            </w:r>
          </w:p>
        </w:tc>
        <w:tc>
          <w:tcPr>
            <w:tcW w:w="6660" w:type="dxa"/>
            <w:shd w:val="clear" w:color="auto" w:fill="auto"/>
          </w:tcPr>
          <w:p w14:paraId="10A667F4"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Progress or Rationale for No Longer Applicable</w:t>
            </w:r>
          </w:p>
        </w:tc>
      </w:tr>
      <w:tr w:rsidR="00E912CE" w:rsidRPr="00B806A4" w14:paraId="7EB9C79A" w14:textId="77777777" w:rsidTr="00F4284C">
        <w:tc>
          <w:tcPr>
            <w:tcW w:w="3955" w:type="dxa"/>
            <w:shd w:val="clear" w:color="auto" w:fill="auto"/>
          </w:tcPr>
          <w:p w14:paraId="69D40675" w14:textId="77777777" w:rsidR="001F4A26" w:rsidRDefault="001F4A26" w:rsidP="001F4A26">
            <w:pPr>
              <w:pStyle w:val="NoSpacing"/>
              <w:rPr>
                <w:rFonts w:ascii="Arial" w:eastAsia="Arial" w:hAnsi="Arial" w:cs="Arial"/>
              </w:rPr>
            </w:pPr>
            <w:r>
              <w:rPr>
                <w:rFonts w:ascii="Arial" w:hAnsi="Arial"/>
              </w:rPr>
              <w:t xml:space="preserve">In the discussion with the Review Team, it was noted that the diversity of students who make it into the program is not reflective of the diversity of students in the Introduction to Radiologic Technology course.  How can the diversity of students who actually make it into the program be more representative of those who are interested in the program? Is the math requirement appropriate for this program, and is it an unnecessary barrier to program diversity? The department is strongly encouraged to have conversations with the math department to determine whether the math requirement is the appropriate one for this program, and whether students are unnecessarily being screened out of the program by the math requirement, or by any other program requirements.  Sometimes the best radiographers are not the ones that have the highest scores in math, or the best grades in their classes.  If the purpose of this particular math requirement is to encourage critical thinking, perhaps other means can be found to teach this valuable skill. The department is strongly encouraged to </w:t>
            </w:r>
            <w:r>
              <w:rPr>
                <w:rFonts w:ascii="Arial" w:hAnsi="Arial"/>
              </w:rPr>
              <w:lastRenderedPageBreak/>
              <w:t>have conversations surrounding these issues.</w:t>
            </w:r>
          </w:p>
          <w:p w14:paraId="04389253" w14:textId="77777777" w:rsidR="00E912CE" w:rsidRPr="00B806A4" w:rsidRDefault="00E912CE" w:rsidP="001F4A26">
            <w:pPr>
              <w:pStyle w:val="NoSpacing"/>
              <w:rPr>
                <w:rFonts w:ascii="Arial" w:hAnsi="Arial" w:cs="Arial"/>
                <w:sz w:val="20"/>
                <w:szCs w:val="20"/>
              </w:rPr>
            </w:pPr>
          </w:p>
        </w:tc>
        <w:tc>
          <w:tcPr>
            <w:tcW w:w="2700" w:type="dxa"/>
            <w:shd w:val="clear" w:color="auto" w:fill="auto"/>
          </w:tcPr>
          <w:p w14:paraId="09522756" w14:textId="77777777" w:rsidR="00E912CE" w:rsidRPr="00B806A4" w:rsidRDefault="00E912CE" w:rsidP="002E3EEF">
            <w:pPr>
              <w:pStyle w:val="ListParagraph"/>
              <w:ind w:left="0"/>
              <w:rPr>
                <w:rFonts w:ascii="Arial" w:hAnsi="Arial" w:cs="Arial"/>
                <w:color w:val="000000"/>
                <w:sz w:val="20"/>
                <w:szCs w:val="20"/>
              </w:rPr>
            </w:pPr>
          </w:p>
          <w:p w14:paraId="6B46E13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193ACEFA" w14:textId="77777777" w:rsidR="001F4A26" w:rsidRPr="00B806A4" w:rsidRDefault="001F4A26" w:rsidP="001F4A26">
            <w:pPr>
              <w:pStyle w:val="ListParagraph"/>
              <w:ind w:left="0"/>
              <w:rPr>
                <w:rFonts w:ascii="Arial" w:hAnsi="Arial" w:cs="Arial"/>
                <w:color w:val="000000"/>
                <w:sz w:val="20"/>
                <w:szCs w:val="20"/>
              </w:rPr>
            </w:pPr>
          </w:p>
          <w:p w14:paraId="00231821" w14:textId="2F3FC6F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2C4EE7">
              <w:rPr>
                <w:rFonts w:ascii="Arial" w:hAnsi="Arial" w:cs="Arial"/>
                <w:sz w:val="20"/>
                <w:szCs w:val="20"/>
              </w:rPr>
              <w:fldChar w:fldCharType="begin">
                <w:ffData>
                  <w:name w:val=""/>
                  <w:enabled/>
                  <w:calcOnExit w:val="0"/>
                  <w:checkBox>
                    <w:sizeAuto/>
                    <w:default w:val="1"/>
                  </w:checkBox>
                </w:ffData>
              </w:fldChar>
            </w:r>
            <w:r w:rsidR="002C4EE7">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2C4EE7">
              <w:rPr>
                <w:rFonts w:ascii="Arial" w:hAnsi="Arial" w:cs="Arial"/>
                <w:sz w:val="20"/>
                <w:szCs w:val="20"/>
              </w:rPr>
              <w:fldChar w:fldCharType="end"/>
            </w:r>
          </w:p>
          <w:p w14:paraId="5D614C27" w14:textId="77777777" w:rsidR="001F4A26" w:rsidRPr="00B806A4" w:rsidRDefault="001F4A26" w:rsidP="001F4A26">
            <w:pPr>
              <w:pStyle w:val="ListParagraph"/>
              <w:ind w:left="0"/>
              <w:rPr>
                <w:rFonts w:ascii="Arial" w:hAnsi="Arial" w:cs="Arial"/>
                <w:color w:val="000000"/>
                <w:sz w:val="20"/>
                <w:szCs w:val="20"/>
              </w:rPr>
            </w:pPr>
          </w:p>
          <w:p w14:paraId="7AD27AE9" w14:textId="78B36DC6" w:rsidR="00E912CE"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6986C53" w14:textId="5D052701" w:rsidR="00BC45A9" w:rsidRDefault="0035013D" w:rsidP="00A209C3">
            <w:pPr>
              <w:rPr>
                <w:rFonts w:ascii="Arial" w:hAnsi="Arial" w:cs="Arial"/>
                <w:sz w:val="20"/>
                <w:szCs w:val="20"/>
              </w:rPr>
            </w:pPr>
            <w:r>
              <w:rPr>
                <w:rFonts w:ascii="Arial" w:hAnsi="Arial" w:cs="Arial"/>
                <w:sz w:val="20"/>
                <w:szCs w:val="20"/>
              </w:rPr>
              <w:t xml:space="preserve">Programmatic accreditation </w:t>
            </w:r>
            <w:r w:rsidR="00BC45A9">
              <w:rPr>
                <w:rFonts w:ascii="Arial" w:hAnsi="Arial" w:cs="Arial"/>
                <w:sz w:val="20"/>
                <w:szCs w:val="20"/>
              </w:rPr>
              <w:t>standards state that “Non-discriminatory practices assure applicants have equal opportunity for admission. Statistical information such as race, color, religion, gender, age, disability, national origin, and any other protected class may be collected; however, this information must be voluntarily provided by the student. Use of this information in the student selection process is discriminatory.” Base</w:t>
            </w:r>
            <w:r w:rsidR="00E30BE7">
              <w:rPr>
                <w:rFonts w:ascii="Arial" w:hAnsi="Arial" w:cs="Arial"/>
                <w:sz w:val="20"/>
                <w:szCs w:val="20"/>
              </w:rPr>
              <w:t>d</w:t>
            </w:r>
            <w:r w:rsidR="00BC45A9">
              <w:rPr>
                <w:rFonts w:ascii="Arial" w:hAnsi="Arial" w:cs="Arial"/>
                <w:sz w:val="20"/>
                <w:szCs w:val="20"/>
              </w:rPr>
              <w:t xml:space="preserve"> on these accreditation standards the RAT.S.AAS admission criteria is clearly defined and all students are accepted based on objective criteria. The sooner </w:t>
            </w:r>
            <w:r w:rsidR="00E30BE7">
              <w:rPr>
                <w:rFonts w:ascii="Arial" w:hAnsi="Arial" w:cs="Arial"/>
                <w:sz w:val="20"/>
                <w:szCs w:val="20"/>
              </w:rPr>
              <w:t>a student</w:t>
            </w:r>
            <w:r w:rsidR="00BC45A9">
              <w:rPr>
                <w:rFonts w:ascii="Arial" w:hAnsi="Arial" w:cs="Arial"/>
                <w:sz w:val="20"/>
                <w:szCs w:val="20"/>
              </w:rPr>
              <w:t xml:space="preserve"> meets the pre-requisi</w:t>
            </w:r>
            <w:r w:rsidR="00E30BE7">
              <w:rPr>
                <w:rFonts w:ascii="Arial" w:hAnsi="Arial" w:cs="Arial"/>
                <w:sz w:val="20"/>
                <w:szCs w:val="20"/>
              </w:rPr>
              <w:t>te requirements, the sooner the student</w:t>
            </w:r>
            <w:r w:rsidR="00BC45A9">
              <w:rPr>
                <w:rFonts w:ascii="Arial" w:hAnsi="Arial" w:cs="Arial"/>
                <w:sz w:val="20"/>
                <w:szCs w:val="20"/>
              </w:rPr>
              <w:t xml:space="preserve"> can enter the technical curriculum of the program. </w:t>
            </w:r>
          </w:p>
          <w:p w14:paraId="2B6412CC" w14:textId="6DBCB03F" w:rsidR="0035013D" w:rsidRDefault="0035013D" w:rsidP="00A209C3">
            <w:pPr>
              <w:rPr>
                <w:rFonts w:ascii="Arial" w:hAnsi="Arial" w:cs="Arial"/>
                <w:sz w:val="20"/>
                <w:szCs w:val="20"/>
              </w:rPr>
            </w:pPr>
            <w:r>
              <w:rPr>
                <w:rFonts w:ascii="Arial" w:hAnsi="Arial" w:cs="Arial"/>
                <w:sz w:val="20"/>
                <w:szCs w:val="20"/>
              </w:rPr>
              <w:t xml:space="preserve"> </w:t>
            </w:r>
          </w:p>
          <w:p w14:paraId="180DE348" w14:textId="37F54020" w:rsidR="0035013D" w:rsidRDefault="0035013D" w:rsidP="0035013D">
            <w:pPr>
              <w:rPr>
                <w:rFonts w:ascii="Arial" w:hAnsi="Arial" w:cs="Arial"/>
                <w:sz w:val="20"/>
                <w:szCs w:val="20"/>
              </w:rPr>
            </w:pPr>
            <w:r>
              <w:rPr>
                <w:rFonts w:ascii="Arial" w:hAnsi="Arial" w:cs="Arial"/>
                <w:sz w:val="20"/>
                <w:szCs w:val="20"/>
              </w:rPr>
              <w:t xml:space="preserve">The program is in compliance with the objectives set by the Joint Review Committee on Education in Radiologic Technology (JRCERT) and follows the national radiography curriculum. The national </w:t>
            </w:r>
            <w:r w:rsidR="00BC45A9">
              <w:rPr>
                <w:rFonts w:ascii="Arial" w:hAnsi="Arial" w:cs="Arial"/>
                <w:sz w:val="20"/>
                <w:szCs w:val="20"/>
              </w:rPr>
              <w:t xml:space="preserve">curriculum </w:t>
            </w:r>
            <w:r>
              <w:rPr>
                <w:rFonts w:ascii="Arial" w:hAnsi="Arial" w:cs="Arial"/>
                <w:sz w:val="20"/>
                <w:szCs w:val="20"/>
              </w:rPr>
              <w:t>includes radiologic technology courses and general education courses such as algebra, bio</w:t>
            </w:r>
            <w:r w:rsidR="00BC45A9">
              <w:rPr>
                <w:rFonts w:ascii="Arial" w:hAnsi="Arial" w:cs="Arial"/>
                <w:sz w:val="20"/>
                <w:szCs w:val="20"/>
              </w:rPr>
              <w:t>logy, communication, etc.</w:t>
            </w:r>
            <w:r>
              <w:rPr>
                <w:rFonts w:ascii="Arial" w:hAnsi="Arial" w:cs="Arial"/>
                <w:sz w:val="20"/>
                <w:szCs w:val="20"/>
              </w:rPr>
              <w:t xml:space="preserve"> </w:t>
            </w:r>
            <w:r w:rsidR="00BC45A9">
              <w:rPr>
                <w:rFonts w:ascii="Arial" w:hAnsi="Arial" w:cs="Arial"/>
                <w:sz w:val="20"/>
                <w:szCs w:val="20"/>
              </w:rPr>
              <w:t>The JRCERT requires that the curriculum be</w:t>
            </w:r>
            <w:r>
              <w:rPr>
                <w:rFonts w:ascii="Arial" w:hAnsi="Arial" w:cs="Arial"/>
                <w:sz w:val="20"/>
                <w:szCs w:val="20"/>
              </w:rPr>
              <w:t xml:space="preserve"> well-structured, comprehensive and appropriately sequenced </w:t>
            </w:r>
            <w:r w:rsidR="00BC45A9">
              <w:rPr>
                <w:rFonts w:ascii="Arial" w:hAnsi="Arial" w:cs="Arial"/>
                <w:sz w:val="20"/>
                <w:szCs w:val="20"/>
              </w:rPr>
              <w:t xml:space="preserve">and our program curriculum meets curricular requirements. </w:t>
            </w:r>
          </w:p>
          <w:p w14:paraId="77F4287E" w14:textId="77777777" w:rsidR="00E912CE" w:rsidRDefault="00BC45A9" w:rsidP="00A209C3">
            <w:pPr>
              <w:rPr>
                <w:rFonts w:ascii="Arial" w:hAnsi="Arial" w:cs="Arial"/>
                <w:sz w:val="20"/>
                <w:szCs w:val="20"/>
              </w:rPr>
            </w:pPr>
            <w:r>
              <w:rPr>
                <w:rFonts w:ascii="Arial" w:hAnsi="Arial" w:cs="Arial"/>
                <w:sz w:val="20"/>
                <w:szCs w:val="20"/>
              </w:rPr>
              <w:t>The program is satisfied that the current math requirement is appropriate for the program curriculum.</w:t>
            </w:r>
          </w:p>
          <w:p w14:paraId="3277D410" w14:textId="77777777" w:rsidR="00BC45A9" w:rsidRDefault="00BC45A9" w:rsidP="00A209C3">
            <w:pPr>
              <w:rPr>
                <w:rFonts w:ascii="Arial" w:hAnsi="Arial" w:cs="Arial"/>
                <w:sz w:val="20"/>
                <w:szCs w:val="20"/>
              </w:rPr>
            </w:pPr>
          </w:p>
          <w:p w14:paraId="77C23FFE" w14:textId="6551B50B" w:rsidR="00BC45A9" w:rsidRPr="00F4284C" w:rsidRDefault="00BC45A9" w:rsidP="00BC45A9">
            <w:pPr>
              <w:rPr>
                <w:rFonts w:ascii="Arial" w:hAnsi="Arial" w:cs="Arial"/>
                <w:sz w:val="20"/>
                <w:szCs w:val="20"/>
              </w:rPr>
            </w:pPr>
            <w:r>
              <w:rPr>
                <w:rFonts w:ascii="Arial" w:hAnsi="Arial" w:cs="Arial"/>
                <w:sz w:val="20"/>
                <w:szCs w:val="20"/>
              </w:rPr>
              <w:t>Twice a year the program faculty members perform a comprehensive evaluation of assessment measures including critical thinking and problem-solving, communication, clinical competence and professionalism. Critical thinking and problem-solving skills are evaluated throughout the program in many courses, including</w:t>
            </w:r>
            <w:r w:rsidR="00A62E53">
              <w:rPr>
                <w:rFonts w:ascii="Arial" w:hAnsi="Arial" w:cs="Arial"/>
                <w:sz w:val="20"/>
                <w:szCs w:val="20"/>
              </w:rPr>
              <w:t xml:space="preserve"> all</w:t>
            </w:r>
            <w:r>
              <w:rPr>
                <w:rFonts w:ascii="Arial" w:hAnsi="Arial" w:cs="Arial"/>
                <w:sz w:val="20"/>
                <w:szCs w:val="20"/>
              </w:rPr>
              <w:t xml:space="preserve"> clinical practic</w:t>
            </w:r>
            <w:r w:rsidR="00A62E53">
              <w:rPr>
                <w:rFonts w:ascii="Arial" w:hAnsi="Arial" w:cs="Arial"/>
                <w:sz w:val="20"/>
                <w:szCs w:val="20"/>
              </w:rPr>
              <w:t>um courses, radiographic procedure labs, patient care labs, and radiologic sciences labs.</w:t>
            </w:r>
          </w:p>
        </w:tc>
      </w:tr>
      <w:tr w:rsidR="001F4A26" w:rsidRPr="00B806A4" w14:paraId="07FE54B8" w14:textId="77777777" w:rsidTr="00F4284C">
        <w:tc>
          <w:tcPr>
            <w:tcW w:w="3955" w:type="dxa"/>
            <w:shd w:val="clear" w:color="auto" w:fill="auto"/>
          </w:tcPr>
          <w:p w14:paraId="12260B2D" w14:textId="77777777" w:rsidR="001F4A26" w:rsidRDefault="001F4A26" w:rsidP="001F4A26">
            <w:pPr>
              <w:pStyle w:val="NoSpacing"/>
              <w:rPr>
                <w:rFonts w:ascii="Arial" w:eastAsia="Arial" w:hAnsi="Arial" w:cs="Arial"/>
              </w:rPr>
            </w:pPr>
            <w:r>
              <w:rPr>
                <w:rFonts w:ascii="Arial" w:hAnsi="Arial"/>
              </w:rPr>
              <w:t>The Review Team wondered who is responsible for students who are interested in the RAT program before they're actually admitted to the program.  The department is keenly aware of and responsive to the responsibility it has for students who are admitted to the program. But who has responsibility for the students who are interested in the program but have not yet been admitted? That should probably be part of a wider campus discussion regarding students who are in the Health Sciences degree program but are waiting to get into other programs. Do they have adequate support? What additional support could the department provide? It was clear from the discussions with the department that the department's perception of the waitlist is different from student perceptions of the waitlist.  The department is encouraged to discuss how it might help students who are interested in the program but have not yet been admitted, and come up with a brief list of recommendations.</w:t>
            </w:r>
          </w:p>
          <w:p w14:paraId="73FC3A64" w14:textId="77777777" w:rsidR="001F4A26" w:rsidRPr="00B806A4" w:rsidRDefault="001F4A26" w:rsidP="001F4A26">
            <w:pPr>
              <w:spacing w:after="200"/>
              <w:rPr>
                <w:rFonts w:ascii="Arial" w:hAnsi="Arial" w:cs="Arial"/>
                <w:color w:val="000000"/>
                <w:sz w:val="20"/>
                <w:szCs w:val="20"/>
              </w:rPr>
            </w:pPr>
          </w:p>
        </w:tc>
        <w:tc>
          <w:tcPr>
            <w:tcW w:w="2700" w:type="dxa"/>
            <w:shd w:val="clear" w:color="auto" w:fill="auto"/>
          </w:tcPr>
          <w:p w14:paraId="49E986AD" w14:textId="77777777" w:rsidR="001F4A26" w:rsidRPr="00B806A4" w:rsidRDefault="001F4A26" w:rsidP="001F4A26">
            <w:pPr>
              <w:pStyle w:val="ListParagraph"/>
              <w:ind w:left="0"/>
              <w:rPr>
                <w:rFonts w:ascii="Arial" w:hAnsi="Arial" w:cs="Arial"/>
                <w:color w:val="000000"/>
                <w:sz w:val="20"/>
                <w:szCs w:val="20"/>
              </w:rPr>
            </w:pPr>
          </w:p>
          <w:p w14:paraId="1EE0832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26141CA7" w14:textId="77777777" w:rsidR="001F4A26" w:rsidRPr="00B806A4" w:rsidRDefault="001F4A26" w:rsidP="001F4A26">
            <w:pPr>
              <w:pStyle w:val="ListParagraph"/>
              <w:ind w:left="0"/>
              <w:rPr>
                <w:rFonts w:ascii="Arial" w:hAnsi="Arial" w:cs="Arial"/>
                <w:color w:val="000000"/>
                <w:sz w:val="20"/>
                <w:szCs w:val="20"/>
              </w:rPr>
            </w:pPr>
          </w:p>
          <w:p w14:paraId="6C9BEFF5" w14:textId="18F948BC"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A62E53">
              <w:rPr>
                <w:rFonts w:ascii="Arial" w:hAnsi="Arial" w:cs="Arial"/>
                <w:sz w:val="20"/>
                <w:szCs w:val="20"/>
              </w:rPr>
              <w:fldChar w:fldCharType="begin">
                <w:ffData>
                  <w:name w:val=""/>
                  <w:enabled/>
                  <w:calcOnExit w:val="0"/>
                  <w:checkBox>
                    <w:sizeAuto/>
                    <w:default w:val="1"/>
                  </w:checkBox>
                </w:ffData>
              </w:fldChar>
            </w:r>
            <w:r w:rsidR="00A62E53">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A62E53">
              <w:rPr>
                <w:rFonts w:ascii="Arial" w:hAnsi="Arial" w:cs="Arial"/>
                <w:sz w:val="20"/>
                <w:szCs w:val="20"/>
              </w:rPr>
              <w:fldChar w:fldCharType="end"/>
            </w:r>
          </w:p>
          <w:p w14:paraId="35517A2C" w14:textId="77777777" w:rsidR="001F4A26" w:rsidRPr="00B806A4" w:rsidRDefault="001F4A26" w:rsidP="001F4A26">
            <w:pPr>
              <w:pStyle w:val="ListParagraph"/>
              <w:ind w:left="0"/>
              <w:rPr>
                <w:rFonts w:ascii="Arial" w:hAnsi="Arial" w:cs="Arial"/>
                <w:color w:val="000000"/>
                <w:sz w:val="20"/>
                <w:szCs w:val="20"/>
              </w:rPr>
            </w:pPr>
          </w:p>
          <w:p w14:paraId="16210463" w14:textId="11C8C0A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B1ACA67" w14:textId="77777777" w:rsidR="001F4A26" w:rsidRDefault="00A62E53" w:rsidP="001F4A26">
            <w:pPr>
              <w:rPr>
                <w:rFonts w:ascii="Arial" w:hAnsi="Arial" w:cs="Arial"/>
                <w:sz w:val="20"/>
                <w:szCs w:val="20"/>
              </w:rPr>
            </w:pPr>
            <w:r>
              <w:rPr>
                <w:rFonts w:ascii="Arial" w:hAnsi="Arial" w:cs="Arial"/>
                <w:sz w:val="20"/>
                <w:szCs w:val="20"/>
              </w:rPr>
              <w:t>As previously mentioned, the Introduction to Radiologic Technology course (RAT 1101) has been revised for 16/FA offerings and more emphasis is now placed on entrance requirements, rigor and tempo of the program, study skills, time management, etc. This course is still being taught only by full-time faculty and supplemental retirees so a strong connection to the program is made during this course. During the RAT lab visit in the RAT 1101 course second-year students are brought in to speak with the potential students and they share their experiences, knowledge, etc. and answer questions. The department administrative assistant also comes in to the lab to meet and greet the potential students so they can meet the person that answers general program questions via phone and email. The revised curriculum for RAT 1101 will be re-evaluated at the end of 17/SP to see if any further revisions are necessary for 17/FA.</w:t>
            </w:r>
          </w:p>
          <w:p w14:paraId="6A62C0BD" w14:textId="77777777" w:rsidR="00A62E53" w:rsidRDefault="00A62E53" w:rsidP="001F4A26">
            <w:pPr>
              <w:rPr>
                <w:rFonts w:ascii="Arial" w:hAnsi="Arial" w:cs="Arial"/>
                <w:sz w:val="20"/>
                <w:szCs w:val="20"/>
              </w:rPr>
            </w:pPr>
          </w:p>
          <w:p w14:paraId="40BDE4DD" w14:textId="77777777" w:rsidR="00A62E53" w:rsidRDefault="00A62E53" w:rsidP="001F4A26">
            <w:pPr>
              <w:rPr>
                <w:rFonts w:ascii="Arial" w:hAnsi="Arial" w:cs="Arial"/>
                <w:sz w:val="20"/>
                <w:szCs w:val="20"/>
              </w:rPr>
            </w:pPr>
            <w:r>
              <w:rPr>
                <w:rFonts w:ascii="Arial" w:hAnsi="Arial" w:cs="Arial"/>
                <w:sz w:val="20"/>
                <w:szCs w:val="20"/>
              </w:rPr>
              <w:t>The rumors/misperceptions on the RAT.S.AAS waiting list are also discussed at length throughout the RAT 1101 course to further clarify to students the wait at the time they take RAT 1101. The department chair and administrative assistant also meet with the HS advisors regularly to answer questions and clarify the waiting list.</w:t>
            </w:r>
          </w:p>
          <w:p w14:paraId="62CA0064" w14:textId="77777777" w:rsidR="00A62E53" w:rsidRDefault="00A62E53" w:rsidP="001F4A26">
            <w:pPr>
              <w:rPr>
                <w:rFonts w:ascii="Arial" w:hAnsi="Arial" w:cs="Arial"/>
                <w:sz w:val="20"/>
                <w:szCs w:val="20"/>
              </w:rPr>
            </w:pPr>
          </w:p>
          <w:p w14:paraId="0BB1F474" w14:textId="3269F52C" w:rsidR="00A62E53" w:rsidRPr="00F4284C" w:rsidRDefault="00A62E53" w:rsidP="00A62E53">
            <w:pPr>
              <w:rPr>
                <w:rFonts w:ascii="Arial" w:hAnsi="Arial" w:cs="Arial"/>
                <w:sz w:val="20"/>
                <w:szCs w:val="20"/>
              </w:rPr>
            </w:pPr>
            <w:r>
              <w:rPr>
                <w:rFonts w:ascii="Arial" w:hAnsi="Arial" w:cs="Arial"/>
                <w:sz w:val="20"/>
                <w:szCs w:val="20"/>
              </w:rPr>
              <w:t>At this time we feel the knowledge of the waiting list for the students who have taken RAT 1101 is accurate, and we will continue to work with academic advisors to assure students have the most up-to-date information on our waiting list. We also welcome students to stop in the office or call the office to ask questions at any time.</w:t>
            </w:r>
          </w:p>
        </w:tc>
      </w:tr>
      <w:tr w:rsidR="001F4A26" w:rsidRPr="00B806A4" w14:paraId="6D98C506" w14:textId="77777777" w:rsidTr="00F4284C">
        <w:tc>
          <w:tcPr>
            <w:tcW w:w="3955" w:type="dxa"/>
            <w:shd w:val="clear" w:color="auto" w:fill="auto"/>
          </w:tcPr>
          <w:p w14:paraId="628C7775" w14:textId="77777777" w:rsidR="001F4A26" w:rsidRDefault="001F4A26" w:rsidP="001F4A26">
            <w:pPr>
              <w:pStyle w:val="NoSpacing"/>
              <w:rPr>
                <w:rFonts w:ascii="Arial" w:eastAsia="Arial" w:hAnsi="Arial" w:cs="Arial"/>
              </w:rPr>
            </w:pPr>
            <w:r>
              <w:rPr>
                <w:rFonts w:ascii="Arial" w:hAnsi="Arial"/>
              </w:rPr>
              <w:t xml:space="preserve">To what extent could RAR help the program identify students who are at risk for non-success, both those were waiting to get into the program, and </w:t>
            </w:r>
            <w:r>
              <w:rPr>
                <w:rFonts w:ascii="Arial" w:hAnsi="Arial"/>
              </w:rPr>
              <w:lastRenderedPageBreak/>
              <w:t>those who have already been admitted?  Are there predictive analytics that could both help identify students who may not be adequately prepared to enter the program, and those in the program who may need additional resources in order to successfully complete?  The department is strongly encouraged to meet with representatives from RAR to discuss what kinds of research might be done in this regard.  Can we identify students who are in danger of withdrawing from the program before they do, and thereby improve retention?</w:t>
            </w:r>
          </w:p>
          <w:p w14:paraId="2CD7BAAC" w14:textId="36C1115E" w:rsidR="001F4A26" w:rsidRPr="00F4284C" w:rsidRDefault="001F4A26" w:rsidP="001F4A26">
            <w:pPr>
              <w:pStyle w:val="NoSpacing"/>
            </w:pPr>
          </w:p>
        </w:tc>
        <w:tc>
          <w:tcPr>
            <w:tcW w:w="2700" w:type="dxa"/>
            <w:shd w:val="clear" w:color="auto" w:fill="auto"/>
          </w:tcPr>
          <w:p w14:paraId="265E7CBA" w14:textId="77777777" w:rsidR="001F4A26" w:rsidRPr="00B806A4" w:rsidRDefault="001F4A26" w:rsidP="001F4A26">
            <w:pPr>
              <w:pStyle w:val="ListParagraph"/>
              <w:ind w:left="0"/>
              <w:rPr>
                <w:rFonts w:ascii="Arial" w:hAnsi="Arial" w:cs="Arial"/>
                <w:color w:val="000000"/>
                <w:sz w:val="20"/>
                <w:szCs w:val="20"/>
              </w:rPr>
            </w:pPr>
          </w:p>
          <w:p w14:paraId="11E3BD05" w14:textId="33D6F9A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A62E53">
              <w:rPr>
                <w:rFonts w:ascii="Arial" w:hAnsi="Arial" w:cs="Arial"/>
                <w:sz w:val="20"/>
                <w:szCs w:val="20"/>
              </w:rPr>
              <w:fldChar w:fldCharType="begin">
                <w:ffData>
                  <w:name w:val=""/>
                  <w:enabled/>
                  <w:calcOnExit w:val="0"/>
                  <w:checkBox>
                    <w:sizeAuto/>
                    <w:default w:val="1"/>
                  </w:checkBox>
                </w:ffData>
              </w:fldChar>
            </w:r>
            <w:r w:rsidR="00A62E53">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A62E53">
              <w:rPr>
                <w:rFonts w:ascii="Arial" w:hAnsi="Arial" w:cs="Arial"/>
                <w:sz w:val="20"/>
                <w:szCs w:val="20"/>
              </w:rPr>
              <w:fldChar w:fldCharType="end"/>
            </w:r>
          </w:p>
          <w:p w14:paraId="68D72D4C" w14:textId="77777777" w:rsidR="001F4A26" w:rsidRPr="00B806A4" w:rsidRDefault="001F4A26" w:rsidP="001F4A26">
            <w:pPr>
              <w:pStyle w:val="ListParagraph"/>
              <w:ind w:left="0"/>
              <w:rPr>
                <w:rFonts w:ascii="Arial" w:hAnsi="Arial" w:cs="Arial"/>
                <w:color w:val="000000"/>
                <w:sz w:val="20"/>
                <w:szCs w:val="20"/>
              </w:rPr>
            </w:pPr>
          </w:p>
          <w:p w14:paraId="21F1BD90" w14:textId="0683A4DF"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520207F1" w14:textId="77777777" w:rsidR="001F4A26" w:rsidRPr="00B806A4" w:rsidRDefault="001F4A26" w:rsidP="001F4A26">
            <w:pPr>
              <w:pStyle w:val="ListParagraph"/>
              <w:ind w:left="0"/>
              <w:rPr>
                <w:rFonts w:ascii="Arial" w:hAnsi="Arial" w:cs="Arial"/>
                <w:color w:val="000000"/>
                <w:sz w:val="20"/>
                <w:szCs w:val="20"/>
              </w:rPr>
            </w:pPr>
          </w:p>
          <w:p w14:paraId="535E9D90" w14:textId="32F77F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B5556E4" w14:textId="77777777" w:rsidR="001F4A26" w:rsidRDefault="00A62E53" w:rsidP="00A62E53">
            <w:pPr>
              <w:rPr>
                <w:rFonts w:ascii="Arial" w:hAnsi="Arial" w:cs="Arial"/>
                <w:sz w:val="20"/>
                <w:szCs w:val="20"/>
              </w:rPr>
            </w:pPr>
            <w:r>
              <w:rPr>
                <w:rFonts w:ascii="Arial" w:hAnsi="Arial" w:cs="Arial"/>
                <w:sz w:val="20"/>
                <w:szCs w:val="20"/>
              </w:rPr>
              <w:lastRenderedPageBreak/>
              <w:t xml:space="preserve">The department chairperson will work with the current RAR items to see if anything would be helpful but non-academic attrition is nearly impossible to predict. We feel we have made major progress in both course completion and in the program completion and we attribute that </w:t>
            </w:r>
            <w:r>
              <w:rPr>
                <w:rFonts w:ascii="Arial" w:hAnsi="Arial" w:cs="Arial"/>
                <w:sz w:val="20"/>
                <w:szCs w:val="20"/>
              </w:rPr>
              <w:lastRenderedPageBreak/>
              <w:t xml:space="preserve">to the revisions to the RAT 1101 course, increased meetings with academic advising, and overall outreach to potential students via the RAT 1101 course. </w:t>
            </w:r>
          </w:p>
          <w:p w14:paraId="3C5B591E" w14:textId="77777777" w:rsidR="00A62E53" w:rsidRDefault="00A62E53" w:rsidP="00A62E53">
            <w:pPr>
              <w:rPr>
                <w:rFonts w:ascii="Arial" w:hAnsi="Arial" w:cs="Arial"/>
                <w:sz w:val="20"/>
                <w:szCs w:val="20"/>
              </w:rPr>
            </w:pPr>
          </w:p>
          <w:p w14:paraId="6FCF828A" w14:textId="661090C9" w:rsidR="00A62E53" w:rsidRPr="00F4284C" w:rsidRDefault="00E30BE7" w:rsidP="00E30BE7">
            <w:pPr>
              <w:rPr>
                <w:rFonts w:ascii="Arial" w:hAnsi="Arial" w:cs="Arial"/>
                <w:sz w:val="20"/>
                <w:szCs w:val="20"/>
              </w:rPr>
            </w:pPr>
            <w:r>
              <w:rPr>
                <w:rFonts w:ascii="Arial" w:hAnsi="Arial" w:cs="Arial"/>
                <w:sz w:val="20"/>
                <w:szCs w:val="20"/>
              </w:rPr>
              <w:t xml:space="preserve">RAR is working on some new reports, charts, </w:t>
            </w:r>
            <w:proofErr w:type="gramStart"/>
            <w:r>
              <w:rPr>
                <w:rFonts w:ascii="Arial" w:hAnsi="Arial" w:cs="Arial"/>
                <w:sz w:val="20"/>
                <w:szCs w:val="20"/>
              </w:rPr>
              <w:t>data</w:t>
            </w:r>
            <w:proofErr w:type="gramEnd"/>
            <w:r>
              <w:rPr>
                <w:rFonts w:ascii="Arial" w:hAnsi="Arial" w:cs="Arial"/>
                <w:sz w:val="20"/>
                <w:szCs w:val="20"/>
              </w:rPr>
              <w:t xml:space="preserve"> searches at this time so </w:t>
            </w:r>
            <w:proofErr w:type="spellStart"/>
            <w:r w:rsidR="00A62E53">
              <w:rPr>
                <w:rFonts w:ascii="Arial" w:hAnsi="Arial" w:cs="Arial"/>
                <w:sz w:val="20"/>
                <w:szCs w:val="20"/>
              </w:rPr>
              <w:t>so</w:t>
            </w:r>
            <w:proofErr w:type="spellEnd"/>
            <w:r w:rsidR="00A62E53">
              <w:rPr>
                <w:rFonts w:ascii="Arial" w:hAnsi="Arial" w:cs="Arial"/>
                <w:sz w:val="20"/>
                <w:szCs w:val="20"/>
              </w:rPr>
              <w:t xml:space="preserve"> hopefully some of these items will be helpful to review when evaluating student success. </w:t>
            </w:r>
          </w:p>
        </w:tc>
      </w:tr>
      <w:tr w:rsidR="001F4A26" w:rsidRPr="00B806A4" w14:paraId="7F495421" w14:textId="77777777" w:rsidTr="00F4284C">
        <w:tc>
          <w:tcPr>
            <w:tcW w:w="3955" w:type="dxa"/>
            <w:shd w:val="clear" w:color="auto" w:fill="auto"/>
          </w:tcPr>
          <w:p w14:paraId="551347CB" w14:textId="77777777" w:rsidR="001F4A26" w:rsidRDefault="001F4A26" w:rsidP="001F4A26">
            <w:pPr>
              <w:pStyle w:val="NoSpacing"/>
              <w:rPr>
                <w:rFonts w:ascii="Arial" w:eastAsia="Arial" w:hAnsi="Arial" w:cs="Arial"/>
              </w:rPr>
            </w:pPr>
            <w:r>
              <w:rPr>
                <w:rFonts w:ascii="Arial" w:hAnsi="Arial"/>
              </w:rPr>
              <w:lastRenderedPageBreak/>
              <w:t>While the department indicated the proprietary competitors are not currently a concern, the department is strongly encouraged to keep an eye out for potential competitors emerging in the area.</w:t>
            </w:r>
          </w:p>
          <w:p w14:paraId="4E11FA8E" w14:textId="77777777" w:rsidR="001F4A26" w:rsidRPr="00B806A4" w:rsidRDefault="001F4A26" w:rsidP="001F4A26">
            <w:pPr>
              <w:spacing w:after="200"/>
              <w:rPr>
                <w:rFonts w:ascii="Arial" w:hAnsi="Arial" w:cs="Arial"/>
                <w:color w:val="000000"/>
                <w:sz w:val="20"/>
                <w:szCs w:val="20"/>
              </w:rPr>
            </w:pPr>
          </w:p>
        </w:tc>
        <w:tc>
          <w:tcPr>
            <w:tcW w:w="2700" w:type="dxa"/>
            <w:shd w:val="clear" w:color="auto" w:fill="auto"/>
          </w:tcPr>
          <w:p w14:paraId="38C902FE" w14:textId="77777777" w:rsidR="001F4A26" w:rsidRPr="00B806A4" w:rsidRDefault="001F4A26" w:rsidP="001F4A26">
            <w:pPr>
              <w:pStyle w:val="ListParagraph"/>
              <w:ind w:left="0"/>
              <w:rPr>
                <w:rFonts w:ascii="Arial" w:hAnsi="Arial" w:cs="Arial"/>
                <w:color w:val="000000"/>
                <w:sz w:val="20"/>
                <w:szCs w:val="20"/>
              </w:rPr>
            </w:pPr>
          </w:p>
          <w:p w14:paraId="1284A637"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05E93A97" w14:textId="77777777" w:rsidR="001F4A26" w:rsidRPr="00B806A4" w:rsidRDefault="001F4A26" w:rsidP="001F4A26">
            <w:pPr>
              <w:pStyle w:val="ListParagraph"/>
              <w:ind w:left="0"/>
              <w:rPr>
                <w:rFonts w:ascii="Arial" w:hAnsi="Arial" w:cs="Arial"/>
                <w:color w:val="000000"/>
                <w:sz w:val="20"/>
                <w:szCs w:val="20"/>
              </w:rPr>
            </w:pPr>
          </w:p>
          <w:p w14:paraId="5F796595" w14:textId="753C150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3F1A2C">
              <w:rPr>
                <w:rFonts w:ascii="Arial" w:hAnsi="Arial" w:cs="Arial"/>
                <w:sz w:val="20"/>
                <w:szCs w:val="20"/>
              </w:rPr>
              <w:fldChar w:fldCharType="begin">
                <w:ffData>
                  <w:name w:val=""/>
                  <w:enabled/>
                  <w:calcOnExit w:val="0"/>
                  <w:checkBox>
                    <w:sizeAuto/>
                    <w:default w:val="1"/>
                  </w:checkBox>
                </w:ffData>
              </w:fldChar>
            </w:r>
            <w:r w:rsidR="003F1A2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3F1A2C">
              <w:rPr>
                <w:rFonts w:ascii="Arial" w:hAnsi="Arial" w:cs="Arial"/>
                <w:sz w:val="20"/>
                <w:szCs w:val="20"/>
              </w:rPr>
              <w:fldChar w:fldCharType="end"/>
            </w:r>
          </w:p>
          <w:p w14:paraId="4F3ADDD8" w14:textId="77777777" w:rsidR="001F4A26" w:rsidRPr="00B806A4" w:rsidRDefault="001F4A26" w:rsidP="001F4A26">
            <w:pPr>
              <w:pStyle w:val="ListParagraph"/>
              <w:ind w:left="0"/>
              <w:rPr>
                <w:rFonts w:ascii="Arial" w:hAnsi="Arial" w:cs="Arial"/>
                <w:color w:val="000000"/>
                <w:sz w:val="20"/>
                <w:szCs w:val="20"/>
              </w:rPr>
            </w:pPr>
          </w:p>
          <w:p w14:paraId="1184F2A5" w14:textId="205D83B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45D53D2" w14:textId="45D20155" w:rsidR="001F4A26" w:rsidRPr="00F4284C" w:rsidRDefault="003F1A2C" w:rsidP="001F4A26">
            <w:pPr>
              <w:rPr>
                <w:rFonts w:ascii="Arial" w:hAnsi="Arial" w:cs="Arial"/>
                <w:sz w:val="20"/>
                <w:szCs w:val="20"/>
              </w:rPr>
            </w:pPr>
            <w:r>
              <w:rPr>
                <w:rFonts w:ascii="Arial" w:hAnsi="Arial" w:cs="Arial"/>
                <w:sz w:val="20"/>
                <w:szCs w:val="20"/>
              </w:rPr>
              <w:t>We are eternally watching for competitors that could come in and poach our clinical sites. This is a never-ending process for a program director, especially with proprietary schools that are willing to pay hospitals and imaging centers for their clinical space. We are diligent at watching this and will continue to do so.</w:t>
            </w:r>
          </w:p>
        </w:tc>
      </w:tr>
      <w:tr w:rsidR="001F4A26" w:rsidRPr="00B806A4" w14:paraId="5306487F" w14:textId="77777777" w:rsidTr="00F4284C">
        <w:tc>
          <w:tcPr>
            <w:tcW w:w="3955" w:type="dxa"/>
            <w:shd w:val="clear" w:color="auto" w:fill="auto"/>
          </w:tcPr>
          <w:p w14:paraId="6A3EF2C7" w14:textId="77777777" w:rsidR="001F4A26" w:rsidRDefault="001F4A26" w:rsidP="001F4A26">
            <w:pPr>
              <w:pStyle w:val="NoSpacing"/>
              <w:rPr>
                <w:rFonts w:ascii="Arial" w:eastAsia="Arial" w:hAnsi="Arial" w:cs="Arial"/>
              </w:rPr>
            </w:pPr>
            <w:r>
              <w:rPr>
                <w:rFonts w:ascii="Arial" w:hAnsi="Arial"/>
              </w:rPr>
              <w:t>Do the local career centers present an opportunity for recruitment? The department is encouraged to discuss whether students from local career centers could be attracted to the program through focused efforts.</w:t>
            </w:r>
          </w:p>
          <w:p w14:paraId="5B6F3849" w14:textId="52A7DDE7" w:rsidR="001F4A26" w:rsidRPr="00F4284C" w:rsidRDefault="001F4A26" w:rsidP="001F4A26">
            <w:pPr>
              <w:pStyle w:val="NoSpacing"/>
            </w:pPr>
          </w:p>
        </w:tc>
        <w:tc>
          <w:tcPr>
            <w:tcW w:w="2700" w:type="dxa"/>
            <w:shd w:val="clear" w:color="auto" w:fill="auto"/>
          </w:tcPr>
          <w:p w14:paraId="3F0A5882" w14:textId="77777777" w:rsidR="001F4A26" w:rsidRPr="00B806A4" w:rsidRDefault="001F4A26" w:rsidP="001F4A26">
            <w:pPr>
              <w:pStyle w:val="ListParagraph"/>
              <w:ind w:left="0"/>
              <w:rPr>
                <w:rFonts w:ascii="Arial" w:hAnsi="Arial" w:cs="Arial"/>
                <w:color w:val="000000"/>
                <w:sz w:val="20"/>
                <w:szCs w:val="20"/>
              </w:rPr>
            </w:pPr>
          </w:p>
          <w:p w14:paraId="0AF2595B"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0E5AC1A4" w14:textId="77777777" w:rsidR="001F4A26" w:rsidRPr="00B806A4" w:rsidRDefault="001F4A26" w:rsidP="001F4A26">
            <w:pPr>
              <w:pStyle w:val="ListParagraph"/>
              <w:ind w:left="0"/>
              <w:rPr>
                <w:rFonts w:ascii="Arial" w:hAnsi="Arial" w:cs="Arial"/>
                <w:color w:val="000000"/>
                <w:sz w:val="20"/>
                <w:szCs w:val="20"/>
              </w:rPr>
            </w:pPr>
          </w:p>
          <w:p w14:paraId="4AC3724A" w14:textId="13EB2C2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3F1A2C">
              <w:rPr>
                <w:rFonts w:ascii="Arial" w:hAnsi="Arial" w:cs="Arial"/>
                <w:sz w:val="20"/>
                <w:szCs w:val="20"/>
              </w:rPr>
              <w:fldChar w:fldCharType="begin">
                <w:ffData>
                  <w:name w:val=""/>
                  <w:enabled/>
                  <w:calcOnExit w:val="0"/>
                  <w:checkBox>
                    <w:sizeAuto/>
                    <w:default w:val="1"/>
                  </w:checkBox>
                </w:ffData>
              </w:fldChar>
            </w:r>
            <w:r w:rsidR="003F1A2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3F1A2C">
              <w:rPr>
                <w:rFonts w:ascii="Arial" w:hAnsi="Arial" w:cs="Arial"/>
                <w:sz w:val="20"/>
                <w:szCs w:val="20"/>
              </w:rPr>
              <w:fldChar w:fldCharType="end"/>
            </w:r>
          </w:p>
          <w:p w14:paraId="47046630" w14:textId="77777777" w:rsidR="001F4A26" w:rsidRPr="00B806A4" w:rsidRDefault="001F4A26" w:rsidP="001F4A26">
            <w:pPr>
              <w:pStyle w:val="ListParagraph"/>
              <w:ind w:left="0"/>
              <w:rPr>
                <w:rFonts w:ascii="Arial" w:hAnsi="Arial" w:cs="Arial"/>
                <w:color w:val="000000"/>
                <w:sz w:val="20"/>
                <w:szCs w:val="20"/>
              </w:rPr>
            </w:pPr>
          </w:p>
          <w:p w14:paraId="5AB73829" w14:textId="0ED109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1F27382" w14:textId="3A3F4359" w:rsidR="001F4A26" w:rsidRPr="00F4284C" w:rsidRDefault="003F1A2C" w:rsidP="003F1A2C">
            <w:pPr>
              <w:rPr>
                <w:rFonts w:ascii="Arial" w:hAnsi="Arial" w:cs="Arial"/>
                <w:sz w:val="20"/>
                <w:szCs w:val="20"/>
              </w:rPr>
            </w:pPr>
            <w:r>
              <w:rPr>
                <w:rFonts w:ascii="Arial" w:hAnsi="Arial" w:cs="Arial"/>
                <w:sz w:val="20"/>
                <w:szCs w:val="20"/>
              </w:rPr>
              <w:t>We have a lot of interest in our program so at this time recruitment is not an issue. Even though we do not get a lot of students that enter the program via the direct Tech Prep route, the chairperson participates in all Tech Prep events and communicates with potential students and family members at these events. If in the future we are short on interested students then an increased focus on recruitment at local career centers would definitely be an avenue to pursue.</w:t>
            </w:r>
          </w:p>
        </w:tc>
      </w:tr>
      <w:tr w:rsidR="001F4A26" w:rsidRPr="00B806A4" w14:paraId="0227BADE" w14:textId="77777777" w:rsidTr="00F4284C">
        <w:tc>
          <w:tcPr>
            <w:tcW w:w="3955" w:type="dxa"/>
            <w:shd w:val="clear" w:color="auto" w:fill="auto"/>
          </w:tcPr>
          <w:p w14:paraId="44B6FF6A" w14:textId="77777777" w:rsidR="001F4A26" w:rsidRDefault="001F4A26" w:rsidP="001F4A26">
            <w:pPr>
              <w:pStyle w:val="NoSpacing"/>
              <w:rPr>
                <w:rFonts w:ascii="Arial" w:eastAsia="Arial" w:hAnsi="Arial" w:cs="Arial"/>
              </w:rPr>
            </w:pPr>
            <w:r>
              <w:rPr>
                <w:rFonts w:ascii="Arial" w:hAnsi="Arial"/>
              </w:rPr>
              <w:t xml:space="preserve">Having enough clinical sites was mentioned as a challenge for the department. Are there any opportunities to expand clinical sites </w:t>
            </w:r>
            <w:r>
              <w:rPr>
                <w:rFonts w:ascii="Arial" w:hAnsi="Arial"/>
              </w:rPr>
              <w:lastRenderedPageBreak/>
              <w:t>beyond the immediate region?  In Springfield, for example?</w:t>
            </w:r>
          </w:p>
          <w:p w14:paraId="3ED5CFE0" w14:textId="5F290ED1" w:rsidR="001F4A26" w:rsidRPr="00F4284C" w:rsidRDefault="001F4A26" w:rsidP="001F4A26">
            <w:pPr>
              <w:pStyle w:val="NoSpacing"/>
            </w:pPr>
          </w:p>
        </w:tc>
        <w:tc>
          <w:tcPr>
            <w:tcW w:w="2700" w:type="dxa"/>
            <w:shd w:val="clear" w:color="auto" w:fill="auto"/>
          </w:tcPr>
          <w:p w14:paraId="012CADC0" w14:textId="77777777" w:rsidR="001F4A26" w:rsidRPr="00B806A4" w:rsidRDefault="001F4A26" w:rsidP="001F4A26">
            <w:pPr>
              <w:pStyle w:val="ListParagraph"/>
              <w:ind w:left="0"/>
              <w:rPr>
                <w:rFonts w:ascii="Arial" w:hAnsi="Arial" w:cs="Arial"/>
                <w:color w:val="000000"/>
                <w:sz w:val="20"/>
                <w:szCs w:val="20"/>
              </w:rPr>
            </w:pPr>
          </w:p>
          <w:p w14:paraId="2A124DA8" w14:textId="2C9415C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3F1A2C">
              <w:rPr>
                <w:rFonts w:ascii="Arial" w:hAnsi="Arial" w:cs="Arial"/>
                <w:sz w:val="20"/>
                <w:szCs w:val="20"/>
              </w:rPr>
              <w:fldChar w:fldCharType="begin">
                <w:ffData>
                  <w:name w:val=""/>
                  <w:enabled/>
                  <w:calcOnExit w:val="0"/>
                  <w:checkBox>
                    <w:sizeAuto/>
                    <w:default w:val="1"/>
                  </w:checkBox>
                </w:ffData>
              </w:fldChar>
            </w:r>
            <w:r w:rsidR="003F1A2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3F1A2C">
              <w:rPr>
                <w:rFonts w:ascii="Arial" w:hAnsi="Arial" w:cs="Arial"/>
                <w:sz w:val="20"/>
                <w:szCs w:val="20"/>
              </w:rPr>
              <w:fldChar w:fldCharType="end"/>
            </w:r>
          </w:p>
          <w:p w14:paraId="1B39F4A3" w14:textId="77777777" w:rsidR="001F4A26" w:rsidRPr="00B806A4" w:rsidRDefault="001F4A26" w:rsidP="001F4A26">
            <w:pPr>
              <w:pStyle w:val="ListParagraph"/>
              <w:ind w:left="0"/>
              <w:rPr>
                <w:rFonts w:ascii="Arial" w:hAnsi="Arial" w:cs="Arial"/>
                <w:color w:val="000000"/>
                <w:sz w:val="20"/>
                <w:szCs w:val="20"/>
              </w:rPr>
            </w:pPr>
          </w:p>
          <w:p w14:paraId="196ABE96"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2F1E4684" w14:textId="77777777" w:rsidR="001F4A26" w:rsidRPr="00B806A4" w:rsidRDefault="001F4A26" w:rsidP="001F4A26">
            <w:pPr>
              <w:pStyle w:val="ListParagraph"/>
              <w:ind w:left="0"/>
              <w:rPr>
                <w:rFonts w:ascii="Arial" w:hAnsi="Arial" w:cs="Arial"/>
                <w:color w:val="000000"/>
                <w:sz w:val="20"/>
                <w:szCs w:val="20"/>
              </w:rPr>
            </w:pPr>
          </w:p>
          <w:p w14:paraId="31B91C09" w14:textId="3783F2C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lastRenderedPageBreak/>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25754C9A" w14:textId="4FE237BC" w:rsidR="001F4A26" w:rsidRPr="00F4284C" w:rsidRDefault="003F1A2C" w:rsidP="003F1A2C">
            <w:pPr>
              <w:rPr>
                <w:rFonts w:ascii="Arial" w:hAnsi="Arial" w:cs="Arial"/>
                <w:sz w:val="20"/>
                <w:szCs w:val="20"/>
              </w:rPr>
            </w:pPr>
            <w:r>
              <w:rPr>
                <w:rFonts w:ascii="Arial" w:hAnsi="Arial" w:cs="Arial"/>
                <w:sz w:val="20"/>
                <w:szCs w:val="20"/>
              </w:rPr>
              <w:lastRenderedPageBreak/>
              <w:t xml:space="preserve">We are always looking for additional clinical sites but with another program located within about 10 miles of Sinclair it is hard sometimes to secure sites. Once the programmatic accreditation site visit is completed in fall of 2017 the program will resume the search for additional clinical sites---particularly on the east side of town. Most east side clinical sites, </w:t>
            </w:r>
            <w:r>
              <w:rPr>
                <w:rFonts w:ascii="Arial" w:hAnsi="Arial" w:cs="Arial"/>
                <w:sz w:val="20"/>
                <w:szCs w:val="20"/>
              </w:rPr>
              <w:lastRenderedPageBreak/>
              <w:t>including those in Spri</w:t>
            </w:r>
            <w:r w:rsidR="00BA3BED">
              <w:rPr>
                <w:rFonts w:ascii="Arial" w:hAnsi="Arial" w:cs="Arial"/>
                <w:sz w:val="20"/>
                <w:szCs w:val="20"/>
              </w:rPr>
              <w:t>ngfield, already have affiliation agreements</w:t>
            </w:r>
            <w:r>
              <w:rPr>
                <w:rFonts w:ascii="Arial" w:hAnsi="Arial" w:cs="Arial"/>
                <w:sz w:val="20"/>
                <w:szCs w:val="20"/>
              </w:rPr>
              <w:t xml:space="preserve"> with the other radiologic technology program in town, but we will work with them as well to try to secure more sites in the future. An additional item that we have to consider is that the more clinical sites we have the more our annual accreditation costs. Program faculty members work hard to balance need vs. want when it comes to clinical sites.</w:t>
            </w:r>
          </w:p>
        </w:tc>
      </w:tr>
      <w:tr w:rsidR="001F4A26" w:rsidRPr="00B806A4" w14:paraId="759F7643" w14:textId="77777777" w:rsidTr="00F4284C">
        <w:tc>
          <w:tcPr>
            <w:tcW w:w="3955" w:type="dxa"/>
            <w:shd w:val="clear" w:color="auto" w:fill="auto"/>
          </w:tcPr>
          <w:p w14:paraId="08DF19F0" w14:textId="77777777" w:rsidR="001F4A26" w:rsidRDefault="001F4A26" w:rsidP="001F4A26">
            <w:pPr>
              <w:pStyle w:val="NoSpacing"/>
              <w:rPr>
                <w:rFonts w:ascii="Arial" w:eastAsia="Arial" w:hAnsi="Arial" w:cs="Arial"/>
              </w:rPr>
            </w:pPr>
            <w:r>
              <w:rPr>
                <w:rFonts w:ascii="Arial" w:hAnsi="Arial"/>
              </w:rPr>
              <w:lastRenderedPageBreak/>
              <w:t>The department has done a great job of developing short-term certificates to address industry needs where appropriate. They are strongly encouraged to continue this. Are there cases were single courses, rather than a certificate, could meet local industry need?  What about the needs of radiographers who have continuing education requirements - are there any opportunities there?</w:t>
            </w:r>
          </w:p>
          <w:p w14:paraId="1ABB6C6C" w14:textId="126C12E8" w:rsidR="001F4A26" w:rsidRPr="00F4284C" w:rsidRDefault="001F4A26" w:rsidP="001F4A26">
            <w:pPr>
              <w:pStyle w:val="NoSpacing"/>
            </w:pPr>
          </w:p>
        </w:tc>
        <w:tc>
          <w:tcPr>
            <w:tcW w:w="2700" w:type="dxa"/>
            <w:shd w:val="clear" w:color="auto" w:fill="auto"/>
          </w:tcPr>
          <w:p w14:paraId="34EB8483" w14:textId="77777777" w:rsidR="001F4A26" w:rsidRPr="00B806A4" w:rsidRDefault="001F4A26" w:rsidP="001F4A26">
            <w:pPr>
              <w:pStyle w:val="ListParagraph"/>
              <w:ind w:left="0"/>
              <w:rPr>
                <w:rFonts w:ascii="Arial" w:hAnsi="Arial" w:cs="Arial"/>
                <w:color w:val="000000"/>
                <w:sz w:val="20"/>
                <w:szCs w:val="20"/>
              </w:rPr>
            </w:pPr>
          </w:p>
          <w:p w14:paraId="4A476709" w14:textId="46668ED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1507C8">
              <w:rPr>
                <w:rFonts w:ascii="Arial" w:hAnsi="Arial" w:cs="Arial"/>
                <w:sz w:val="20"/>
                <w:szCs w:val="20"/>
              </w:rPr>
              <w:fldChar w:fldCharType="begin">
                <w:ffData>
                  <w:name w:val=""/>
                  <w:enabled/>
                  <w:calcOnExit w:val="0"/>
                  <w:checkBox>
                    <w:sizeAuto/>
                    <w:default w:val="1"/>
                  </w:checkBox>
                </w:ffData>
              </w:fldChar>
            </w:r>
            <w:r w:rsidR="001507C8">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001507C8">
              <w:rPr>
                <w:rFonts w:ascii="Arial" w:hAnsi="Arial" w:cs="Arial"/>
                <w:sz w:val="20"/>
                <w:szCs w:val="20"/>
              </w:rPr>
              <w:fldChar w:fldCharType="end"/>
            </w:r>
          </w:p>
          <w:p w14:paraId="3048AF1E" w14:textId="77777777" w:rsidR="001F4A26" w:rsidRPr="00B806A4" w:rsidRDefault="001F4A26" w:rsidP="001F4A26">
            <w:pPr>
              <w:pStyle w:val="ListParagraph"/>
              <w:ind w:left="0"/>
              <w:rPr>
                <w:rFonts w:ascii="Arial" w:hAnsi="Arial" w:cs="Arial"/>
                <w:color w:val="000000"/>
                <w:sz w:val="20"/>
                <w:szCs w:val="20"/>
              </w:rPr>
            </w:pPr>
          </w:p>
          <w:p w14:paraId="6F72EC7C"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p w14:paraId="26E7420A" w14:textId="77777777" w:rsidR="001F4A26" w:rsidRPr="00B806A4" w:rsidRDefault="001F4A26" w:rsidP="001F4A26">
            <w:pPr>
              <w:pStyle w:val="ListParagraph"/>
              <w:ind w:left="0"/>
              <w:rPr>
                <w:rFonts w:ascii="Arial" w:hAnsi="Arial" w:cs="Arial"/>
                <w:color w:val="000000"/>
                <w:sz w:val="20"/>
                <w:szCs w:val="20"/>
              </w:rPr>
            </w:pPr>
          </w:p>
          <w:p w14:paraId="29EA6235" w14:textId="10DD502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BA3BED">
              <w:rPr>
                <w:rFonts w:ascii="Arial" w:hAnsi="Arial" w:cs="Arial"/>
                <w:sz w:val="20"/>
                <w:szCs w:val="20"/>
              </w:rPr>
            </w:r>
            <w:r w:rsidR="00BA3BE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1FC6489F" w14:textId="567E12DA" w:rsidR="001F4A26" w:rsidRPr="00F4284C" w:rsidRDefault="001507C8" w:rsidP="001507C8">
            <w:pPr>
              <w:rPr>
                <w:rFonts w:ascii="Arial" w:hAnsi="Arial" w:cs="Arial"/>
                <w:sz w:val="20"/>
                <w:szCs w:val="20"/>
              </w:rPr>
            </w:pPr>
            <w:r>
              <w:rPr>
                <w:rFonts w:ascii="Arial" w:hAnsi="Arial" w:cs="Arial"/>
                <w:sz w:val="20"/>
                <w:szCs w:val="20"/>
              </w:rPr>
              <w:t>The short answer to this is yes, there may be some short-term certificates that we could offer that would be only o</w:t>
            </w:r>
            <w:r w:rsidR="00BA3BED">
              <w:rPr>
                <w:rFonts w:ascii="Arial" w:hAnsi="Arial" w:cs="Arial"/>
                <w:sz w:val="20"/>
                <w:szCs w:val="20"/>
              </w:rPr>
              <w:t>ne or two courses. Our current STC</w:t>
            </w:r>
            <w:r>
              <w:rPr>
                <w:rFonts w:ascii="Arial" w:hAnsi="Arial" w:cs="Arial"/>
                <w:sz w:val="20"/>
                <w:szCs w:val="20"/>
              </w:rPr>
              <w:t>’s are 6 or 7 credit hours and they are easily finished in one semester. We also plan to work with our advisory board members and the community on potential continuing education offerings. Once we are relocated fully in the HS Center and all resources are on site we will be in a better position to decide which courses and/or continuing education offerings to pursue.</w:t>
            </w:r>
          </w:p>
        </w:tc>
      </w:tr>
    </w:tbl>
    <w:p w14:paraId="07E1B9C8" w14:textId="77777777" w:rsidR="00E24D49" w:rsidRPr="00F4284C" w:rsidRDefault="00E24D49">
      <w:pPr>
        <w:rPr>
          <w:rFonts w:ascii="Arial" w:hAnsi="Arial" w:cs="Arial"/>
          <w:sz w:val="20"/>
          <w:szCs w:val="20"/>
        </w:rPr>
      </w:pPr>
      <w:r w:rsidRPr="00F4284C">
        <w:rPr>
          <w:rFonts w:ascii="Arial" w:hAnsi="Arial" w:cs="Arial"/>
          <w:sz w:val="20"/>
          <w:szCs w:val="20"/>
        </w:rPr>
        <w:br w:type="page"/>
      </w:r>
    </w:p>
    <w:p w14:paraId="60691DF9" w14:textId="77777777" w:rsidR="00EE061F" w:rsidRDefault="00EE061F" w:rsidP="00EE061F">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3BAFC8CD" w14:textId="77777777" w:rsidR="00EE061F" w:rsidRDefault="00EE061F" w:rsidP="00EE061F">
      <w:pPr>
        <w:rPr>
          <w:rFonts w:ascii="Arial" w:hAnsi="Arial" w:cs="Arial"/>
          <w:b/>
          <w:sz w:val="20"/>
          <w:szCs w:val="20"/>
          <w:u w:val="single"/>
        </w:rPr>
      </w:pPr>
    </w:p>
    <w:p w14:paraId="61B7372A" w14:textId="77777777" w:rsidR="00EE061F" w:rsidRPr="002103B4" w:rsidRDefault="00EE061F" w:rsidP="00EE061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CCC262A" w14:textId="77777777" w:rsidR="00EE061F" w:rsidRPr="000278A4" w:rsidRDefault="00EE061F" w:rsidP="00EE061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EE061F" w:rsidRPr="004C52FC" w14:paraId="2FCA45A3" w14:textId="77777777" w:rsidTr="006024CD">
        <w:trPr>
          <w:trHeight w:val="72"/>
        </w:trPr>
        <w:tc>
          <w:tcPr>
            <w:tcW w:w="4073" w:type="dxa"/>
            <w:shd w:val="clear" w:color="auto" w:fill="FFFFFF"/>
            <w:vAlign w:val="center"/>
          </w:tcPr>
          <w:p w14:paraId="4EE10647" w14:textId="77777777" w:rsidR="00EE061F" w:rsidRPr="004C52FC" w:rsidRDefault="00EE061F"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29BAB6A6"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7AFDC482" w14:textId="77777777" w:rsidR="00EE061F" w:rsidRPr="004C52FC" w:rsidRDefault="00EE061F"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14:paraId="7468B6FE"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0413391"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0644747" w14:textId="77777777" w:rsidR="00EE061F" w:rsidRPr="004C52FC" w:rsidRDefault="00EE061F" w:rsidP="006024CD">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720F1D2C"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8DF0B88"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E061F" w:rsidRPr="004C52FC" w14:paraId="343F5014" w14:textId="77777777" w:rsidTr="006024CD">
        <w:trPr>
          <w:trHeight w:val="274"/>
        </w:trPr>
        <w:tc>
          <w:tcPr>
            <w:tcW w:w="4073" w:type="dxa"/>
            <w:tcBorders>
              <w:right w:val="single" w:sz="4" w:space="0" w:color="auto"/>
            </w:tcBorders>
            <w:shd w:val="clear" w:color="auto" w:fill="FFFFFF"/>
            <w:vAlign w:val="center"/>
          </w:tcPr>
          <w:p w14:paraId="7DDE40E6" w14:textId="77777777" w:rsidR="00EE061F" w:rsidRPr="004C52FC" w:rsidRDefault="00EE061F" w:rsidP="006024C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26CAAB8" w14:textId="77777777" w:rsidR="00EE061F" w:rsidRPr="004C52FC" w:rsidRDefault="00EE061F" w:rsidP="006024C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591769CF" w14:textId="77777777" w:rsidR="001F4A26" w:rsidRDefault="001F4A26" w:rsidP="001F4A26">
            <w:pPr>
              <w:jc w:val="center"/>
              <w:rPr>
                <w:rFonts w:ascii="Verdana" w:hAnsi="Verdana"/>
                <w:b/>
                <w:bCs/>
                <w:color w:val="333333"/>
                <w:sz w:val="16"/>
                <w:szCs w:val="16"/>
              </w:rPr>
            </w:pPr>
            <w:r>
              <w:rPr>
                <w:rFonts w:ascii="Verdana" w:hAnsi="Verdana"/>
                <w:b/>
                <w:bCs/>
                <w:color w:val="333333"/>
                <w:sz w:val="16"/>
                <w:szCs w:val="16"/>
              </w:rPr>
              <w:t>RAT2415</w:t>
            </w:r>
            <w:r>
              <w:rPr>
                <w:rFonts w:ascii="Verdana" w:hAnsi="Verdana"/>
                <w:color w:val="333333"/>
                <w:sz w:val="16"/>
                <w:szCs w:val="16"/>
              </w:rPr>
              <w:t xml:space="preserve"> - Radiographic Pathology</w:t>
            </w:r>
          </w:p>
          <w:p w14:paraId="2DDE35BA" w14:textId="6EFF40E3" w:rsidR="00EE061F" w:rsidRPr="0034460B" w:rsidRDefault="00EE061F" w:rsidP="006024CD">
            <w:pPr>
              <w:jc w:val="center"/>
              <w:rPr>
                <w:rFonts w:asciiTheme="minorHAnsi" w:hAnsiTheme="minorHAnsi" w:cs="Arial"/>
                <w:color w:val="000000" w:themeColor="text1"/>
              </w:rPr>
            </w:pPr>
          </w:p>
        </w:tc>
        <w:tc>
          <w:tcPr>
            <w:tcW w:w="2250" w:type="dxa"/>
            <w:shd w:val="clear" w:color="auto" w:fill="auto"/>
          </w:tcPr>
          <w:p w14:paraId="40BFF517" w14:textId="77777777" w:rsidR="00EE061F" w:rsidRPr="004C52FC" w:rsidRDefault="00EE061F" w:rsidP="006024CD">
            <w:pPr>
              <w:ind w:left="72"/>
              <w:rPr>
                <w:rFonts w:asciiTheme="minorHAnsi" w:hAnsiTheme="minorHAnsi" w:cs="Arial"/>
                <w:color w:val="000000" w:themeColor="text1"/>
              </w:rPr>
            </w:pPr>
          </w:p>
        </w:tc>
        <w:tc>
          <w:tcPr>
            <w:tcW w:w="4028" w:type="dxa"/>
            <w:shd w:val="clear" w:color="auto" w:fill="auto"/>
          </w:tcPr>
          <w:p w14:paraId="1F2A4900" w14:textId="656C7DB6" w:rsidR="00EE061F" w:rsidRPr="004C52FC" w:rsidRDefault="0031152B" w:rsidP="00BA3BED">
            <w:pPr>
              <w:ind w:left="72"/>
              <w:rPr>
                <w:rFonts w:asciiTheme="minorHAnsi" w:hAnsiTheme="minorHAnsi" w:cs="Arial"/>
                <w:color w:val="000000" w:themeColor="text1"/>
              </w:rPr>
            </w:pPr>
            <w:r>
              <w:rPr>
                <w:rFonts w:asciiTheme="minorHAnsi" w:hAnsiTheme="minorHAnsi" w:cs="Arial"/>
                <w:color w:val="000000" w:themeColor="text1"/>
              </w:rPr>
              <w:t xml:space="preserve">*We </w:t>
            </w:r>
            <w:r w:rsidR="00BA3BED">
              <w:rPr>
                <w:rFonts w:asciiTheme="minorHAnsi" w:hAnsiTheme="minorHAnsi" w:cs="Arial"/>
                <w:color w:val="000000" w:themeColor="text1"/>
              </w:rPr>
              <w:t>are still gathering data and will report information literacy next year with computer literacy.</w:t>
            </w:r>
          </w:p>
        </w:tc>
      </w:tr>
      <w:tr w:rsidR="00EE061F" w:rsidRPr="004C52FC" w14:paraId="3DD44239" w14:textId="77777777" w:rsidTr="006024CD">
        <w:trPr>
          <w:trHeight w:val="274"/>
        </w:trPr>
        <w:tc>
          <w:tcPr>
            <w:tcW w:w="13523" w:type="dxa"/>
            <w:gridSpan w:val="5"/>
            <w:shd w:val="clear" w:color="auto" w:fill="000000" w:themeFill="text1"/>
            <w:vAlign w:val="center"/>
          </w:tcPr>
          <w:p w14:paraId="7BEFE940" w14:textId="77777777" w:rsidR="00EE061F" w:rsidRPr="0034460B" w:rsidRDefault="00EE061F" w:rsidP="006024CD">
            <w:pPr>
              <w:ind w:left="72"/>
              <w:rPr>
                <w:rFonts w:asciiTheme="minorHAnsi" w:hAnsiTheme="minorHAnsi" w:cs="Arial"/>
                <w:b/>
                <w:color w:val="FFFFFF" w:themeColor="background1"/>
              </w:rPr>
            </w:pPr>
            <w:r w:rsidRPr="0034460B">
              <w:rPr>
                <w:rFonts w:asciiTheme="minorHAnsi" w:hAnsiTheme="minorHAnsi" w:cs="Arial"/>
                <w:b/>
                <w:color w:val="FFFFFF" w:themeColor="background1"/>
              </w:rPr>
              <w:t>NEXT YEAR:</w:t>
            </w:r>
          </w:p>
        </w:tc>
      </w:tr>
      <w:tr w:rsidR="00EE061F" w:rsidRPr="004C52FC" w14:paraId="042CFB79" w14:textId="77777777" w:rsidTr="006024CD">
        <w:trPr>
          <w:trHeight w:val="274"/>
        </w:trPr>
        <w:tc>
          <w:tcPr>
            <w:tcW w:w="4073" w:type="dxa"/>
            <w:tcBorders>
              <w:right w:val="single" w:sz="4" w:space="0" w:color="auto"/>
            </w:tcBorders>
            <w:shd w:val="clear" w:color="auto" w:fill="FFFFFF"/>
            <w:vAlign w:val="center"/>
          </w:tcPr>
          <w:p w14:paraId="12FD55DC" w14:textId="77777777" w:rsidR="00EE061F" w:rsidRDefault="00EE061F" w:rsidP="006024C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BD38189" w14:textId="77777777" w:rsidR="00EE061F" w:rsidRPr="004C52FC" w:rsidRDefault="00EE061F" w:rsidP="006024C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2635F885" w14:textId="77777777" w:rsidR="001F4A26" w:rsidRDefault="001F4A26" w:rsidP="001F4A26">
            <w:pPr>
              <w:jc w:val="center"/>
              <w:rPr>
                <w:rFonts w:ascii="Verdana" w:hAnsi="Verdana"/>
                <w:b/>
                <w:bCs/>
                <w:color w:val="333333"/>
                <w:sz w:val="16"/>
                <w:szCs w:val="16"/>
              </w:rPr>
            </w:pPr>
            <w:r>
              <w:rPr>
                <w:rFonts w:ascii="Verdana" w:hAnsi="Verdana"/>
                <w:b/>
                <w:bCs/>
                <w:color w:val="333333"/>
                <w:sz w:val="16"/>
                <w:szCs w:val="16"/>
              </w:rPr>
              <w:t>RAT2526</w:t>
            </w:r>
            <w:r>
              <w:rPr>
                <w:rFonts w:ascii="Verdana" w:hAnsi="Verdana"/>
                <w:color w:val="333333"/>
                <w:sz w:val="16"/>
                <w:szCs w:val="16"/>
              </w:rPr>
              <w:t xml:space="preserve"> - Capstone in Radiologic Technology</w:t>
            </w:r>
          </w:p>
          <w:p w14:paraId="1C1D297B" w14:textId="1A15B558" w:rsidR="00EE061F" w:rsidRPr="0034460B" w:rsidRDefault="00EE061F" w:rsidP="006024CD">
            <w:pPr>
              <w:jc w:val="center"/>
              <w:rPr>
                <w:rFonts w:asciiTheme="minorHAnsi" w:hAnsiTheme="minorHAnsi"/>
                <w:b/>
                <w:bCs/>
                <w:color w:val="333333"/>
              </w:rPr>
            </w:pPr>
          </w:p>
        </w:tc>
        <w:tc>
          <w:tcPr>
            <w:tcW w:w="2250" w:type="dxa"/>
            <w:shd w:val="clear" w:color="auto" w:fill="auto"/>
          </w:tcPr>
          <w:p w14:paraId="25CD1CD1" w14:textId="77777777" w:rsidR="00EE061F" w:rsidRPr="004C52FC" w:rsidRDefault="00EE061F" w:rsidP="006024CD">
            <w:pPr>
              <w:ind w:left="72"/>
              <w:rPr>
                <w:rFonts w:asciiTheme="minorHAnsi" w:hAnsiTheme="minorHAnsi" w:cs="Arial"/>
                <w:color w:val="000000" w:themeColor="text1"/>
              </w:rPr>
            </w:pPr>
          </w:p>
        </w:tc>
        <w:tc>
          <w:tcPr>
            <w:tcW w:w="4028" w:type="dxa"/>
            <w:shd w:val="clear" w:color="auto" w:fill="auto"/>
          </w:tcPr>
          <w:p w14:paraId="48D73C31" w14:textId="77777777" w:rsidR="00EE061F" w:rsidRPr="004C52FC" w:rsidRDefault="00EE061F" w:rsidP="006024CD">
            <w:pPr>
              <w:ind w:left="72"/>
              <w:rPr>
                <w:rFonts w:asciiTheme="minorHAnsi" w:hAnsiTheme="minorHAnsi" w:cs="Arial"/>
                <w:color w:val="000000" w:themeColor="text1"/>
              </w:rPr>
            </w:pPr>
          </w:p>
        </w:tc>
      </w:tr>
    </w:tbl>
    <w:p w14:paraId="4CB7F200" w14:textId="77777777" w:rsidR="00EE061F" w:rsidRDefault="00EE061F" w:rsidP="00EE061F">
      <w:pPr>
        <w:rPr>
          <w:rFonts w:ascii="Arial" w:hAnsi="Arial" w:cs="Arial"/>
          <w:sz w:val="20"/>
          <w:szCs w:val="20"/>
        </w:rPr>
      </w:pPr>
    </w:p>
    <w:p w14:paraId="47CBC7CF" w14:textId="77777777" w:rsidR="00EE061F" w:rsidRDefault="00EE061F" w:rsidP="00EE061F">
      <w:pPr>
        <w:rPr>
          <w:rFonts w:ascii="Arial" w:hAnsi="Arial" w:cs="Arial"/>
          <w:sz w:val="20"/>
          <w:szCs w:val="20"/>
        </w:rPr>
      </w:pPr>
    </w:p>
    <w:p w14:paraId="6FBD39EC" w14:textId="77777777" w:rsidR="00EE061F" w:rsidRDefault="00EE061F" w:rsidP="00EE061F">
      <w:pPr>
        <w:rPr>
          <w:rFonts w:ascii="Arial" w:hAnsi="Arial" w:cs="Arial"/>
          <w:sz w:val="20"/>
          <w:szCs w:val="20"/>
        </w:rPr>
      </w:pPr>
    </w:p>
    <w:p w14:paraId="4963F7E3" w14:textId="77777777" w:rsidR="00EE061F" w:rsidRDefault="00EE061F" w:rsidP="00EE061F">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1B29A1B3" w14:textId="77777777" w:rsidR="00EE061F" w:rsidRDefault="00EE061F" w:rsidP="00EE061F">
      <w:pPr>
        <w:rPr>
          <w:rFonts w:ascii="Arial" w:hAnsi="Arial" w:cs="Arial"/>
          <w:b/>
          <w:color w:val="000000" w:themeColor="text1"/>
          <w:u w:val="single"/>
        </w:rPr>
      </w:pPr>
    </w:p>
    <w:p w14:paraId="75C06B12" w14:textId="77777777" w:rsidR="00B50E5D" w:rsidRDefault="00B50E5D"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8"/>
        <w:gridCol w:w="32"/>
        <w:gridCol w:w="1661"/>
        <w:gridCol w:w="1435"/>
        <w:gridCol w:w="2142"/>
        <w:gridCol w:w="3645"/>
        <w:gridCol w:w="375"/>
      </w:tblGrid>
      <w:tr w:rsidR="006F0C74" w:rsidRPr="00B806A4" w14:paraId="0E4939C6" w14:textId="77777777" w:rsidTr="00F4284C">
        <w:trPr>
          <w:gridAfter w:val="1"/>
          <w:wAfter w:w="387" w:type="dxa"/>
          <w:trHeight w:val="274"/>
        </w:trPr>
        <w:tc>
          <w:tcPr>
            <w:tcW w:w="3708" w:type="dxa"/>
            <w:shd w:val="clear" w:color="auto" w:fill="FFFFFF"/>
            <w:vAlign w:val="center"/>
          </w:tcPr>
          <w:p w14:paraId="71D8830D" w14:textId="77777777" w:rsidR="006F0C74" w:rsidRPr="00F4284C" w:rsidRDefault="006F0C74" w:rsidP="002E3EEF">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742" w:type="dxa"/>
            <w:gridSpan w:val="2"/>
            <w:shd w:val="clear" w:color="auto" w:fill="auto"/>
          </w:tcPr>
          <w:p w14:paraId="1A28911F"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75" w:type="dxa"/>
            <w:shd w:val="clear" w:color="auto" w:fill="auto"/>
          </w:tcPr>
          <w:p w14:paraId="21540E6E"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205" w:type="dxa"/>
            <w:shd w:val="clear" w:color="auto" w:fill="auto"/>
          </w:tcPr>
          <w:p w14:paraId="30BA665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9F4929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36A857D0" w14:textId="77777777" w:rsidR="006F0C74" w:rsidRPr="00F4284C" w:rsidRDefault="006F0C74" w:rsidP="002E3EEF">
            <w:pPr>
              <w:jc w:val="center"/>
              <w:rPr>
                <w:rFonts w:ascii="Arial" w:eastAsia="Calibri" w:hAnsi="Arial" w:cs="Arial"/>
                <w:color w:val="000000"/>
                <w:sz w:val="20"/>
                <w:szCs w:val="20"/>
              </w:rPr>
            </w:pPr>
          </w:p>
        </w:tc>
        <w:tc>
          <w:tcPr>
            <w:tcW w:w="3758" w:type="dxa"/>
            <w:shd w:val="clear" w:color="auto" w:fill="auto"/>
          </w:tcPr>
          <w:p w14:paraId="733D9FCD"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1E286220"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6F0C74" w:rsidRPr="00B806A4" w14:paraId="04EBB5D1" w14:textId="77777777" w:rsidTr="00F4284C">
        <w:trPr>
          <w:gridAfter w:val="1"/>
          <w:wAfter w:w="387" w:type="dxa"/>
          <w:trHeight w:val="1250"/>
        </w:trPr>
        <w:tc>
          <w:tcPr>
            <w:tcW w:w="3708" w:type="dxa"/>
            <w:shd w:val="clear" w:color="auto" w:fill="FFFFFF"/>
            <w:vAlign w:val="center"/>
          </w:tcPr>
          <w:p w14:paraId="2A3A13BC" w14:textId="1BEE66BD" w:rsidR="006F0C74" w:rsidRPr="00F4284C" w:rsidRDefault="0015556E" w:rsidP="002E3EEF">
            <w:pPr>
              <w:rPr>
                <w:rFonts w:ascii="Arial" w:hAnsi="Arial" w:cs="Arial"/>
                <w:sz w:val="20"/>
                <w:szCs w:val="20"/>
              </w:rPr>
            </w:pPr>
            <w:r w:rsidRPr="0015556E">
              <w:rPr>
                <w:rFonts w:ascii="Arial" w:hAnsi="Arial" w:cs="Arial"/>
                <w:sz w:val="20"/>
                <w:szCs w:val="20"/>
              </w:rPr>
              <w:t>Demonstrate competence in the delivery of clinical practice with entry-level skills.</w:t>
            </w:r>
          </w:p>
        </w:tc>
        <w:tc>
          <w:tcPr>
            <w:tcW w:w="1742" w:type="dxa"/>
            <w:gridSpan w:val="2"/>
            <w:shd w:val="clear" w:color="auto" w:fill="auto"/>
            <w:vAlign w:val="center"/>
          </w:tcPr>
          <w:p w14:paraId="56BF9A6F" w14:textId="77777777" w:rsidR="006F0C74" w:rsidRPr="00F4284C" w:rsidRDefault="006F0C74" w:rsidP="002E3EEF">
            <w:pPr>
              <w:rPr>
                <w:rFonts w:ascii="Arial" w:hAnsi="Arial" w:cs="Arial"/>
                <w:color w:val="000000"/>
                <w:sz w:val="20"/>
                <w:szCs w:val="20"/>
              </w:rPr>
            </w:pPr>
          </w:p>
        </w:tc>
        <w:tc>
          <w:tcPr>
            <w:tcW w:w="1475" w:type="dxa"/>
            <w:shd w:val="clear" w:color="auto" w:fill="auto"/>
          </w:tcPr>
          <w:p w14:paraId="4105F22D" w14:textId="2400338C" w:rsidR="006F0C74" w:rsidRPr="00F4284C" w:rsidRDefault="006F0C74" w:rsidP="002E3EEF">
            <w:pPr>
              <w:rPr>
                <w:rFonts w:ascii="Arial" w:hAnsi="Arial" w:cs="Arial"/>
                <w:color w:val="000000"/>
                <w:sz w:val="20"/>
                <w:szCs w:val="20"/>
              </w:rPr>
            </w:pPr>
          </w:p>
        </w:tc>
        <w:tc>
          <w:tcPr>
            <w:tcW w:w="2205" w:type="dxa"/>
            <w:shd w:val="clear" w:color="auto" w:fill="auto"/>
          </w:tcPr>
          <w:p w14:paraId="7D7C87BC" w14:textId="30D98641" w:rsidR="006F0C74" w:rsidRPr="00F4284C" w:rsidRDefault="006F0C74" w:rsidP="002E3EEF">
            <w:pPr>
              <w:ind w:left="72"/>
              <w:rPr>
                <w:rFonts w:ascii="Arial" w:hAnsi="Arial" w:cs="Arial"/>
                <w:color w:val="000000"/>
                <w:sz w:val="20"/>
                <w:szCs w:val="20"/>
              </w:rPr>
            </w:pPr>
          </w:p>
        </w:tc>
        <w:tc>
          <w:tcPr>
            <w:tcW w:w="3758" w:type="dxa"/>
            <w:shd w:val="clear" w:color="auto" w:fill="auto"/>
          </w:tcPr>
          <w:p w14:paraId="1A031FE8" w14:textId="2412DC52" w:rsidR="006F0C74" w:rsidRPr="00F4284C" w:rsidRDefault="0049196B" w:rsidP="002E3EEF">
            <w:pPr>
              <w:ind w:left="72"/>
              <w:rPr>
                <w:rFonts w:ascii="Arial" w:hAnsi="Arial" w:cs="Arial"/>
                <w:color w:val="000000"/>
                <w:sz w:val="20"/>
                <w:szCs w:val="20"/>
              </w:rPr>
            </w:pPr>
            <w:r>
              <w:rPr>
                <w:rFonts w:ascii="Arial" w:hAnsi="Arial" w:cs="Arial"/>
                <w:color w:val="000000"/>
                <w:sz w:val="20"/>
                <w:szCs w:val="20"/>
              </w:rPr>
              <w:t>*See attached program assessment plans for detailed analysis on all program goals and student learning outcomes.</w:t>
            </w:r>
          </w:p>
        </w:tc>
      </w:tr>
      <w:tr w:rsidR="006F0C74" w:rsidRPr="00B806A4" w14:paraId="6E932EC7" w14:textId="77777777" w:rsidTr="00F4284C">
        <w:trPr>
          <w:gridAfter w:val="1"/>
          <w:wAfter w:w="387" w:type="dxa"/>
          <w:trHeight w:val="72"/>
        </w:trPr>
        <w:tc>
          <w:tcPr>
            <w:tcW w:w="3708" w:type="dxa"/>
            <w:shd w:val="clear" w:color="auto" w:fill="FFFFFF"/>
            <w:vAlign w:val="center"/>
          </w:tcPr>
          <w:p w14:paraId="61AABEAF" w14:textId="171335B3" w:rsidR="006F0C74" w:rsidRPr="00F4284C" w:rsidRDefault="0015556E" w:rsidP="002E3EEF">
            <w:pPr>
              <w:rPr>
                <w:rFonts w:ascii="Arial" w:hAnsi="Arial" w:cs="Arial"/>
                <w:sz w:val="20"/>
                <w:szCs w:val="20"/>
              </w:rPr>
            </w:pPr>
            <w:r w:rsidRPr="0015556E">
              <w:rPr>
                <w:rFonts w:ascii="Arial" w:hAnsi="Arial" w:cs="Arial"/>
                <w:sz w:val="20"/>
                <w:szCs w:val="20"/>
              </w:rPr>
              <w:lastRenderedPageBreak/>
              <w:t>Demonstrate critical thinking and problem-solving skills.</w:t>
            </w:r>
          </w:p>
        </w:tc>
        <w:tc>
          <w:tcPr>
            <w:tcW w:w="1742" w:type="dxa"/>
            <w:gridSpan w:val="2"/>
            <w:shd w:val="clear" w:color="auto" w:fill="auto"/>
            <w:vAlign w:val="center"/>
          </w:tcPr>
          <w:p w14:paraId="6E621C68" w14:textId="77777777" w:rsidR="006F0C74" w:rsidRPr="00F4284C" w:rsidRDefault="006F0C74" w:rsidP="002E3EEF">
            <w:pPr>
              <w:rPr>
                <w:rFonts w:ascii="Arial" w:hAnsi="Arial" w:cs="Arial"/>
                <w:color w:val="000000"/>
                <w:sz w:val="20"/>
                <w:szCs w:val="20"/>
              </w:rPr>
            </w:pPr>
          </w:p>
        </w:tc>
        <w:tc>
          <w:tcPr>
            <w:tcW w:w="1475" w:type="dxa"/>
            <w:shd w:val="clear" w:color="auto" w:fill="auto"/>
          </w:tcPr>
          <w:p w14:paraId="44E8C402" w14:textId="77777777" w:rsidR="006F0C74" w:rsidRPr="00F4284C" w:rsidRDefault="006F0C74" w:rsidP="002E3EEF">
            <w:pPr>
              <w:rPr>
                <w:rFonts w:ascii="Arial" w:hAnsi="Arial" w:cs="Arial"/>
                <w:color w:val="000000"/>
                <w:sz w:val="20"/>
                <w:szCs w:val="20"/>
              </w:rPr>
            </w:pPr>
          </w:p>
        </w:tc>
        <w:tc>
          <w:tcPr>
            <w:tcW w:w="2205" w:type="dxa"/>
            <w:shd w:val="clear" w:color="auto" w:fill="auto"/>
          </w:tcPr>
          <w:p w14:paraId="30B44EE1" w14:textId="77777777" w:rsidR="006F0C74" w:rsidRPr="00F4284C" w:rsidRDefault="006F0C74" w:rsidP="002E3EEF">
            <w:pPr>
              <w:ind w:left="72"/>
              <w:rPr>
                <w:rFonts w:ascii="Arial" w:hAnsi="Arial" w:cs="Arial"/>
                <w:color w:val="000000"/>
                <w:sz w:val="20"/>
                <w:szCs w:val="20"/>
              </w:rPr>
            </w:pPr>
            <w:bookmarkStart w:id="1" w:name="_GoBack"/>
            <w:bookmarkEnd w:id="1"/>
          </w:p>
        </w:tc>
        <w:tc>
          <w:tcPr>
            <w:tcW w:w="3758" w:type="dxa"/>
            <w:shd w:val="clear" w:color="auto" w:fill="auto"/>
          </w:tcPr>
          <w:p w14:paraId="1042D287" w14:textId="77777777" w:rsidR="006F0C74" w:rsidRPr="00F4284C" w:rsidRDefault="006F0C74" w:rsidP="002E3EEF">
            <w:pPr>
              <w:ind w:left="72"/>
              <w:rPr>
                <w:rFonts w:ascii="Arial" w:hAnsi="Arial" w:cs="Arial"/>
                <w:color w:val="000000"/>
                <w:sz w:val="20"/>
                <w:szCs w:val="20"/>
              </w:rPr>
            </w:pPr>
          </w:p>
        </w:tc>
      </w:tr>
      <w:tr w:rsidR="006F0C74" w:rsidRPr="00B806A4" w14:paraId="367F926D" w14:textId="77777777" w:rsidTr="00F4284C">
        <w:trPr>
          <w:gridAfter w:val="1"/>
          <w:wAfter w:w="387" w:type="dxa"/>
          <w:trHeight w:val="72"/>
        </w:trPr>
        <w:tc>
          <w:tcPr>
            <w:tcW w:w="3708" w:type="dxa"/>
            <w:shd w:val="clear" w:color="auto" w:fill="FFFFFF"/>
            <w:vAlign w:val="center"/>
          </w:tcPr>
          <w:p w14:paraId="5B3B4C54" w14:textId="359F24D6" w:rsidR="006F0C74" w:rsidRPr="00F4284C" w:rsidRDefault="0015556E" w:rsidP="002E3EEF">
            <w:pPr>
              <w:rPr>
                <w:rFonts w:ascii="Arial" w:hAnsi="Arial" w:cs="Arial"/>
                <w:sz w:val="20"/>
                <w:szCs w:val="20"/>
              </w:rPr>
            </w:pPr>
            <w:r w:rsidRPr="0015556E">
              <w:rPr>
                <w:rFonts w:ascii="Arial" w:hAnsi="Arial" w:cs="Arial"/>
                <w:sz w:val="20"/>
                <w:szCs w:val="20"/>
              </w:rPr>
              <w:t>Demonstrate effective communication.</w:t>
            </w:r>
          </w:p>
        </w:tc>
        <w:tc>
          <w:tcPr>
            <w:tcW w:w="1742" w:type="dxa"/>
            <w:gridSpan w:val="2"/>
            <w:shd w:val="clear" w:color="auto" w:fill="auto"/>
            <w:vAlign w:val="center"/>
          </w:tcPr>
          <w:p w14:paraId="20BB5CBA" w14:textId="75FFDAA0" w:rsidR="006F0C74" w:rsidRPr="00F4284C" w:rsidRDefault="006F0C74" w:rsidP="002E3EEF">
            <w:pPr>
              <w:rPr>
                <w:rFonts w:ascii="Arial" w:hAnsi="Arial" w:cs="Arial"/>
                <w:color w:val="000000"/>
                <w:sz w:val="20"/>
                <w:szCs w:val="20"/>
              </w:rPr>
            </w:pPr>
          </w:p>
        </w:tc>
        <w:tc>
          <w:tcPr>
            <w:tcW w:w="1475" w:type="dxa"/>
            <w:shd w:val="clear" w:color="auto" w:fill="auto"/>
          </w:tcPr>
          <w:p w14:paraId="5434D6AA" w14:textId="38D59D49" w:rsidR="006F0C74" w:rsidRPr="00F4284C" w:rsidRDefault="006F0C74" w:rsidP="002E3EEF">
            <w:pPr>
              <w:rPr>
                <w:rFonts w:ascii="Arial" w:hAnsi="Arial" w:cs="Arial"/>
                <w:color w:val="000000"/>
                <w:sz w:val="20"/>
                <w:szCs w:val="20"/>
              </w:rPr>
            </w:pPr>
          </w:p>
        </w:tc>
        <w:tc>
          <w:tcPr>
            <w:tcW w:w="2205" w:type="dxa"/>
            <w:shd w:val="clear" w:color="auto" w:fill="auto"/>
          </w:tcPr>
          <w:p w14:paraId="2055E22A" w14:textId="5ACE5667" w:rsidR="006F0C74" w:rsidRPr="00F4284C" w:rsidRDefault="006F0C74" w:rsidP="002E3EEF">
            <w:pPr>
              <w:rPr>
                <w:rFonts w:ascii="Arial" w:hAnsi="Arial" w:cs="Arial"/>
                <w:color w:val="000000"/>
                <w:sz w:val="20"/>
                <w:szCs w:val="20"/>
              </w:rPr>
            </w:pPr>
          </w:p>
        </w:tc>
        <w:tc>
          <w:tcPr>
            <w:tcW w:w="3758" w:type="dxa"/>
            <w:shd w:val="clear" w:color="auto" w:fill="auto"/>
          </w:tcPr>
          <w:p w14:paraId="21F105FD" w14:textId="6F20DD15" w:rsidR="006F0C74" w:rsidRPr="00F4284C" w:rsidRDefault="006F0C74" w:rsidP="00F4284C">
            <w:pPr>
              <w:ind w:left="50"/>
              <w:rPr>
                <w:rFonts w:ascii="Arial" w:hAnsi="Arial" w:cs="Arial"/>
                <w:color w:val="000000"/>
                <w:sz w:val="20"/>
                <w:szCs w:val="20"/>
              </w:rPr>
            </w:pPr>
          </w:p>
        </w:tc>
      </w:tr>
      <w:tr w:rsidR="006F0C74" w:rsidRPr="00B806A4" w14:paraId="755311C5" w14:textId="77777777" w:rsidTr="00F4284C">
        <w:trPr>
          <w:gridAfter w:val="1"/>
          <w:wAfter w:w="387" w:type="dxa"/>
          <w:trHeight w:val="72"/>
        </w:trPr>
        <w:tc>
          <w:tcPr>
            <w:tcW w:w="3708" w:type="dxa"/>
            <w:shd w:val="clear" w:color="auto" w:fill="FFFFFF"/>
            <w:vAlign w:val="center"/>
          </w:tcPr>
          <w:p w14:paraId="57213F6E" w14:textId="0C1BE62A" w:rsidR="006F0C74" w:rsidRPr="00F4284C" w:rsidRDefault="0015556E" w:rsidP="002E3EEF">
            <w:pPr>
              <w:rPr>
                <w:rFonts w:ascii="Arial" w:hAnsi="Arial" w:cs="Arial"/>
                <w:sz w:val="20"/>
                <w:szCs w:val="20"/>
              </w:rPr>
            </w:pPr>
            <w:r w:rsidRPr="0015556E">
              <w:rPr>
                <w:rFonts w:ascii="Arial" w:hAnsi="Arial" w:cs="Arial"/>
                <w:sz w:val="20"/>
                <w:szCs w:val="20"/>
              </w:rPr>
              <w:t>Demonstrate professional and ethical attitudes and behaviors.</w:t>
            </w:r>
          </w:p>
        </w:tc>
        <w:tc>
          <w:tcPr>
            <w:tcW w:w="1742" w:type="dxa"/>
            <w:gridSpan w:val="2"/>
            <w:shd w:val="clear" w:color="auto" w:fill="auto"/>
            <w:vAlign w:val="center"/>
          </w:tcPr>
          <w:p w14:paraId="148C3A9D" w14:textId="460D8003" w:rsidR="006F0C74" w:rsidRPr="00F4284C" w:rsidRDefault="006F0C74" w:rsidP="002E3EEF">
            <w:pPr>
              <w:rPr>
                <w:rFonts w:ascii="Arial" w:hAnsi="Arial" w:cs="Arial"/>
                <w:sz w:val="20"/>
                <w:szCs w:val="20"/>
              </w:rPr>
            </w:pPr>
          </w:p>
        </w:tc>
        <w:tc>
          <w:tcPr>
            <w:tcW w:w="1475" w:type="dxa"/>
            <w:shd w:val="clear" w:color="auto" w:fill="auto"/>
          </w:tcPr>
          <w:p w14:paraId="24653DA5" w14:textId="210E8B94" w:rsidR="006F0C74" w:rsidRPr="00F4284C" w:rsidRDefault="006F0C74" w:rsidP="002E3EEF">
            <w:pPr>
              <w:rPr>
                <w:rFonts w:ascii="Arial" w:hAnsi="Arial" w:cs="Arial"/>
                <w:color w:val="000000"/>
                <w:sz w:val="20"/>
                <w:szCs w:val="20"/>
              </w:rPr>
            </w:pPr>
          </w:p>
        </w:tc>
        <w:tc>
          <w:tcPr>
            <w:tcW w:w="2205" w:type="dxa"/>
            <w:shd w:val="clear" w:color="auto" w:fill="auto"/>
          </w:tcPr>
          <w:p w14:paraId="2225AE41" w14:textId="7373158C" w:rsidR="006F0C74" w:rsidRPr="00F4284C" w:rsidRDefault="006F0C74" w:rsidP="002E3EEF">
            <w:pPr>
              <w:ind w:left="72"/>
              <w:rPr>
                <w:rFonts w:ascii="Arial" w:hAnsi="Arial" w:cs="Arial"/>
                <w:color w:val="000000"/>
                <w:sz w:val="20"/>
                <w:szCs w:val="20"/>
              </w:rPr>
            </w:pPr>
          </w:p>
        </w:tc>
        <w:tc>
          <w:tcPr>
            <w:tcW w:w="3758" w:type="dxa"/>
            <w:shd w:val="clear" w:color="auto" w:fill="auto"/>
          </w:tcPr>
          <w:p w14:paraId="37774306" w14:textId="77777777" w:rsidR="006F0C74" w:rsidRPr="00F4284C" w:rsidRDefault="006F0C74" w:rsidP="002E3EEF">
            <w:pPr>
              <w:ind w:left="72"/>
              <w:rPr>
                <w:rFonts w:ascii="Arial" w:hAnsi="Arial" w:cs="Arial"/>
                <w:color w:val="000000"/>
                <w:sz w:val="20"/>
                <w:szCs w:val="20"/>
              </w:rPr>
            </w:pPr>
          </w:p>
        </w:tc>
      </w:tr>
      <w:tr w:rsidR="00D27F86" w:rsidRPr="00B806A4" w14:paraId="4C957844" w14:textId="77777777" w:rsidTr="001555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trHeight w:val="72"/>
        </w:trPr>
        <w:tc>
          <w:tcPr>
            <w:tcW w:w="3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336B829"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Are changes planned as a result of the assessment of program outcomes?  If so, what are those changes? </w:t>
            </w:r>
          </w:p>
          <w:p w14:paraId="6543A9DA" w14:textId="77777777" w:rsidR="00D27F86" w:rsidRPr="00F4284C" w:rsidRDefault="00D27F86">
            <w:pPr>
              <w:rPr>
                <w:rFonts w:ascii="Arial" w:hAnsi="Arial" w:cs="Arial"/>
                <w:color w:val="000000"/>
                <w:sz w:val="20"/>
                <w:szCs w:val="20"/>
              </w:rPr>
            </w:pPr>
          </w:p>
        </w:tc>
        <w:tc>
          <w:tcPr>
            <w:tcW w:w="95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FD8006E" w14:textId="03B7EDC6" w:rsidR="00D27F86" w:rsidRPr="00F4284C" w:rsidRDefault="0049196B" w:rsidP="0049196B">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*See attached program assessment plans.</w:t>
            </w:r>
          </w:p>
        </w:tc>
      </w:tr>
      <w:tr w:rsidR="00D27F86" w:rsidRPr="00B806A4" w14:paraId="00342402" w14:textId="77777777" w:rsidTr="001555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trHeight w:val="72"/>
        </w:trPr>
        <w:tc>
          <w:tcPr>
            <w:tcW w:w="3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3AFBB"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How will you determine whether those changes had an impact? </w:t>
            </w:r>
          </w:p>
          <w:p w14:paraId="62E96968" w14:textId="77777777" w:rsidR="00D27F86" w:rsidRPr="00F4284C" w:rsidRDefault="00D27F86">
            <w:pPr>
              <w:rPr>
                <w:rFonts w:ascii="Arial" w:hAnsi="Arial" w:cs="Arial"/>
                <w:color w:val="000000"/>
                <w:sz w:val="20"/>
                <w:szCs w:val="20"/>
              </w:rPr>
            </w:pPr>
          </w:p>
        </w:tc>
        <w:tc>
          <w:tcPr>
            <w:tcW w:w="95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7D97C5" w14:textId="276AD23C" w:rsidR="00D27F86" w:rsidRPr="00F4284C" w:rsidRDefault="0049196B">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*See attached program assessment plans.</w:t>
            </w:r>
          </w:p>
        </w:tc>
      </w:tr>
    </w:tbl>
    <w:p w14:paraId="6B56001F" w14:textId="77777777" w:rsidR="003C59D8" w:rsidRDefault="003C59D8" w:rsidP="00FA24D1">
      <w:pPr>
        <w:pStyle w:val="ListParagraph"/>
        <w:tabs>
          <w:tab w:val="left" w:pos="5040"/>
        </w:tabs>
        <w:rPr>
          <w:rFonts w:ascii="Arial" w:hAnsi="Arial" w:cs="Arial"/>
          <w:b/>
          <w:color w:val="000000" w:themeColor="text1"/>
          <w:sz w:val="20"/>
          <w:szCs w:val="20"/>
        </w:rPr>
      </w:pPr>
    </w:p>
    <w:p w14:paraId="7FDE0C10" w14:textId="77777777" w:rsidR="0034460B" w:rsidRDefault="0034460B" w:rsidP="00FA24D1">
      <w:pPr>
        <w:pStyle w:val="ListParagraph"/>
        <w:tabs>
          <w:tab w:val="left" w:pos="5040"/>
        </w:tabs>
        <w:rPr>
          <w:rFonts w:ascii="Arial" w:hAnsi="Arial" w:cs="Arial"/>
          <w:b/>
          <w:color w:val="000000" w:themeColor="text1"/>
          <w:sz w:val="20"/>
          <w:szCs w:val="20"/>
        </w:rPr>
      </w:pPr>
    </w:p>
    <w:p w14:paraId="70DA8B0A" w14:textId="77777777" w:rsidR="0034460B" w:rsidRDefault="0034460B" w:rsidP="0034460B">
      <w:pPr>
        <w:rPr>
          <w:b/>
          <w:u w:val="single"/>
        </w:rPr>
      </w:pPr>
      <w:r w:rsidRPr="00256E97">
        <w:rPr>
          <w:b/>
          <w:u w:val="single"/>
        </w:rPr>
        <w:t>OPTIONAL</w:t>
      </w:r>
      <w:r>
        <w:rPr>
          <w:b/>
          <w:u w:val="single"/>
        </w:rPr>
        <w:t>:</w:t>
      </w:r>
    </w:p>
    <w:p w14:paraId="0B14FAB8" w14:textId="77777777" w:rsidR="0034460B" w:rsidRDefault="0034460B" w:rsidP="0034460B">
      <w:pPr>
        <w:rPr>
          <w:b/>
          <w:u w:val="single"/>
        </w:rPr>
      </w:pPr>
    </w:p>
    <w:p w14:paraId="3EE31087" w14:textId="77777777" w:rsidR="0034460B" w:rsidRPr="00256E97" w:rsidRDefault="0034460B" w:rsidP="0034460B">
      <w:r>
        <w:rPr>
          <w:noProof/>
        </w:rPr>
        <mc:AlternateContent>
          <mc:Choice Requires="wps">
            <w:drawing>
              <wp:anchor distT="45720" distB="45720" distL="114300" distR="114300" simplePos="0" relativeHeight="251659264" behindDoc="0" locked="0" layoutInCell="1" allowOverlap="1" wp14:anchorId="27FDE0EA" wp14:editId="51AA2AA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651A19EC" w14:textId="77777777" w:rsidR="0034460B" w:rsidRDefault="0034460B" w:rsidP="0034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DE0EA"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651A19EC" w14:textId="77777777" w:rsidR="0034460B" w:rsidRDefault="0034460B" w:rsidP="0034460B"/>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0481CCF5" w14:textId="77777777" w:rsidR="0034460B" w:rsidRPr="00F4284C" w:rsidRDefault="0034460B" w:rsidP="00FA24D1">
      <w:pPr>
        <w:pStyle w:val="ListParagraph"/>
        <w:tabs>
          <w:tab w:val="left" w:pos="5040"/>
        </w:tabs>
        <w:rPr>
          <w:rFonts w:ascii="Arial" w:hAnsi="Arial" w:cs="Arial"/>
          <w:b/>
          <w:color w:val="000000" w:themeColor="text1"/>
          <w:sz w:val="20"/>
          <w:szCs w:val="20"/>
        </w:rPr>
      </w:pPr>
    </w:p>
    <w:p w14:paraId="5D4F8339" w14:textId="77777777" w:rsidR="003C59D8" w:rsidRPr="00F4284C" w:rsidRDefault="003C59D8" w:rsidP="00FA24D1">
      <w:pPr>
        <w:pStyle w:val="ListParagraph"/>
        <w:tabs>
          <w:tab w:val="left" w:pos="5040"/>
        </w:tabs>
        <w:rPr>
          <w:rFonts w:ascii="Arial" w:hAnsi="Arial" w:cs="Arial"/>
          <w:b/>
          <w:color w:val="000000" w:themeColor="text1"/>
          <w:sz w:val="20"/>
          <w:szCs w:val="20"/>
        </w:rPr>
      </w:pPr>
    </w:p>
    <w:sectPr w:rsidR="003C59D8" w:rsidRPr="00F4284C"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67F6" w14:textId="77777777" w:rsidR="00450480" w:rsidRDefault="00450480" w:rsidP="0094204C">
      <w:r>
        <w:separator/>
      </w:r>
    </w:p>
  </w:endnote>
  <w:endnote w:type="continuationSeparator" w:id="0">
    <w:p w14:paraId="7EF67A35" w14:textId="77777777" w:rsidR="00450480" w:rsidRDefault="0045048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20D8682E" w14:textId="277DBAE1" w:rsidR="00450480" w:rsidRDefault="00450480">
        <w:pPr>
          <w:pStyle w:val="Footer"/>
          <w:jc w:val="right"/>
        </w:pPr>
        <w:r>
          <w:fldChar w:fldCharType="begin"/>
        </w:r>
        <w:r>
          <w:instrText xml:space="preserve"> PAGE   \* MERGEFORMAT </w:instrText>
        </w:r>
        <w:r>
          <w:fldChar w:fldCharType="separate"/>
        </w:r>
        <w:r w:rsidR="00BA3BED">
          <w:rPr>
            <w:noProof/>
          </w:rPr>
          <w:t>7</w:t>
        </w:r>
        <w:r>
          <w:rPr>
            <w:noProof/>
          </w:rPr>
          <w:fldChar w:fldCharType="end"/>
        </w:r>
      </w:p>
    </w:sdtContent>
  </w:sdt>
  <w:p w14:paraId="29216CED" w14:textId="77777777" w:rsidR="00450480" w:rsidRDefault="0045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05E7E" w14:textId="77777777" w:rsidR="00450480" w:rsidRDefault="00450480" w:rsidP="0094204C">
      <w:r>
        <w:separator/>
      </w:r>
    </w:p>
  </w:footnote>
  <w:footnote w:type="continuationSeparator" w:id="0">
    <w:p w14:paraId="4A7016AF" w14:textId="77777777" w:rsidR="00450480" w:rsidRDefault="00450480"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9106F"/>
    <w:multiLevelType w:val="hybridMultilevel"/>
    <w:tmpl w:val="33A4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45F1E"/>
    <w:multiLevelType w:val="hybridMultilevel"/>
    <w:tmpl w:val="9570621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3B8F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2C7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44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D2A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8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1EB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E5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EC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10"/>
  </w:num>
  <w:num w:numId="3">
    <w:abstractNumId w:val="13"/>
  </w:num>
  <w:num w:numId="4">
    <w:abstractNumId w:val="19"/>
  </w:num>
  <w:num w:numId="5">
    <w:abstractNumId w:val="5"/>
  </w:num>
  <w:num w:numId="6">
    <w:abstractNumId w:val="15"/>
  </w:num>
  <w:num w:numId="7">
    <w:abstractNumId w:val="28"/>
  </w:num>
  <w:num w:numId="8">
    <w:abstractNumId w:val="23"/>
  </w:num>
  <w:num w:numId="9">
    <w:abstractNumId w:val="1"/>
  </w:num>
  <w:num w:numId="10">
    <w:abstractNumId w:val="31"/>
  </w:num>
  <w:num w:numId="11">
    <w:abstractNumId w:val="0"/>
  </w:num>
  <w:num w:numId="12">
    <w:abstractNumId w:val="25"/>
  </w:num>
  <w:num w:numId="13">
    <w:abstractNumId w:val="18"/>
  </w:num>
  <w:num w:numId="14">
    <w:abstractNumId w:val="7"/>
  </w:num>
  <w:num w:numId="15">
    <w:abstractNumId w:val="6"/>
  </w:num>
  <w:num w:numId="16">
    <w:abstractNumId w:val="14"/>
  </w:num>
  <w:num w:numId="17">
    <w:abstractNumId w:val="33"/>
  </w:num>
  <w:num w:numId="18">
    <w:abstractNumId w:val="8"/>
  </w:num>
  <w:num w:numId="19">
    <w:abstractNumId w:val="21"/>
  </w:num>
  <w:num w:numId="20">
    <w:abstractNumId w:val="8"/>
  </w:num>
  <w:num w:numId="21">
    <w:abstractNumId w:val="12"/>
  </w:num>
  <w:num w:numId="22">
    <w:abstractNumId w:val="24"/>
  </w:num>
  <w:num w:numId="23">
    <w:abstractNumId w:val="11"/>
  </w:num>
  <w:num w:numId="24">
    <w:abstractNumId w:val="30"/>
  </w:num>
  <w:num w:numId="25">
    <w:abstractNumId w:val="32"/>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27"/>
  </w:num>
  <w:num w:numId="30">
    <w:abstractNumId w:val="4"/>
  </w:num>
  <w:num w:numId="31">
    <w:abstractNumId w:val="3"/>
  </w:num>
  <w:num w:numId="32">
    <w:abstractNumId w:val="2"/>
  </w:num>
  <w:num w:numId="33">
    <w:abstractNumId w:val="34"/>
  </w:num>
  <w:num w:numId="34">
    <w:abstractNumId w:val="29"/>
  </w:num>
  <w:num w:numId="35">
    <w:abstractNumId w:val="26"/>
  </w:num>
  <w:num w:numId="3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9B2"/>
    <w:rsid w:val="00010B07"/>
    <w:rsid w:val="00015E26"/>
    <w:rsid w:val="00025CDE"/>
    <w:rsid w:val="000279EB"/>
    <w:rsid w:val="00033358"/>
    <w:rsid w:val="000337E6"/>
    <w:rsid w:val="00033A23"/>
    <w:rsid w:val="00034CE6"/>
    <w:rsid w:val="00036DF9"/>
    <w:rsid w:val="00052A1D"/>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4245"/>
    <w:rsid w:val="000C66EB"/>
    <w:rsid w:val="000C6F05"/>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371F0"/>
    <w:rsid w:val="0014175E"/>
    <w:rsid w:val="00142776"/>
    <w:rsid w:val="001429D4"/>
    <w:rsid w:val="001507C8"/>
    <w:rsid w:val="00152170"/>
    <w:rsid w:val="001532B7"/>
    <w:rsid w:val="0015556E"/>
    <w:rsid w:val="00157936"/>
    <w:rsid w:val="0016202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45F4"/>
    <w:rsid w:val="001E7137"/>
    <w:rsid w:val="001F4A26"/>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071"/>
    <w:rsid w:val="00276B75"/>
    <w:rsid w:val="00280C60"/>
    <w:rsid w:val="00281C63"/>
    <w:rsid w:val="0028603C"/>
    <w:rsid w:val="002922CE"/>
    <w:rsid w:val="00293D8D"/>
    <w:rsid w:val="002A1D8C"/>
    <w:rsid w:val="002B7319"/>
    <w:rsid w:val="002C1797"/>
    <w:rsid w:val="002C4EE7"/>
    <w:rsid w:val="002C56AC"/>
    <w:rsid w:val="002D1DFE"/>
    <w:rsid w:val="002D2748"/>
    <w:rsid w:val="002D3CAD"/>
    <w:rsid w:val="002D428E"/>
    <w:rsid w:val="002E175B"/>
    <w:rsid w:val="002E28B0"/>
    <w:rsid w:val="002E3EEF"/>
    <w:rsid w:val="002E548B"/>
    <w:rsid w:val="002E6B01"/>
    <w:rsid w:val="002F63A2"/>
    <w:rsid w:val="002F6C89"/>
    <w:rsid w:val="00301502"/>
    <w:rsid w:val="00303041"/>
    <w:rsid w:val="003041DD"/>
    <w:rsid w:val="00305AE1"/>
    <w:rsid w:val="0030733F"/>
    <w:rsid w:val="00307A43"/>
    <w:rsid w:val="0031152B"/>
    <w:rsid w:val="00315CE8"/>
    <w:rsid w:val="00320CDE"/>
    <w:rsid w:val="00320DF3"/>
    <w:rsid w:val="003233E7"/>
    <w:rsid w:val="003254BC"/>
    <w:rsid w:val="00330692"/>
    <w:rsid w:val="00336409"/>
    <w:rsid w:val="00337A3A"/>
    <w:rsid w:val="0034316E"/>
    <w:rsid w:val="00343C72"/>
    <w:rsid w:val="0034460B"/>
    <w:rsid w:val="003454F6"/>
    <w:rsid w:val="0035013D"/>
    <w:rsid w:val="00350D53"/>
    <w:rsid w:val="0035335D"/>
    <w:rsid w:val="003539C4"/>
    <w:rsid w:val="003641BA"/>
    <w:rsid w:val="00372B02"/>
    <w:rsid w:val="00373885"/>
    <w:rsid w:val="0037786D"/>
    <w:rsid w:val="00377D40"/>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3F1A2C"/>
    <w:rsid w:val="00404810"/>
    <w:rsid w:val="00406228"/>
    <w:rsid w:val="00414645"/>
    <w:rsid w:val="00420480"/>
    <w:rsid w:val="00424E5D"/>
    <w:rsid w:val="00425F46"/>
    <w:rsid w:val="00427BB3"/>
    <w:rsid w:val="00434F56"/>
    <w:rsid w:val="004359FC"/>
    <w:rsid w:val="004467C4"/>
    <w:rsid w:val="00450480"/>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196B"/>
    <w:rsid w:val="00495C9D"/>
    <w:rsid w:val="004A14EC"/>
    <w:rsid w:val="004B7492"/>
    <w:rsid w:val="004C2B30"/>
    <w:rsid w:val="004C52FC"/>
    <w:rsid w:val="004C5CDC"/>
    <w:rsid w:val="004C6F83"/>
    <w:rsid w:val="004C7DB2"/>
    <w:rsid w:val="004D3BE1"/>
    <w:rsid w:val="004D3C8C"/>
    <w:rsid w:val="004D3DC1"/>
    <w:rsid w:val="004E20FB"/>
    <w:rsid w:val="004E47AA"/>
    <w:rsid w:val="004E4BD6"/>
    <w:rsid w:val="004F0C1D"/>
    <w:rsid w:val="004F41D5"/>
    <w:rsid w:val="00502A7D"/>
    <w:rsid w:val="00502C46"/>
    <w:rsid w:val="00506B08"/>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D21B8"/>
    <w:rsid w:val="005E5598"/>
    <w:rsid w:val="005F4B50"/>
    <w:rsid w:val="005F5F7E"/>
    <w:rsid w:val="005F6B5B"/>
    <w:rsid w:val="005F7377"/>
    <w:rsid w:val="0060155C"/>
    <w:rsid w:val="00607632"/>
    <w:rsid w:val="0061454F"/>
    <w:rsid w:val="00614997"/>
    <w:rsid w:val="00614D2D"/>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999"/>
    <w:rsid w:val="006C4C0B"/>
    <w:rsid w:val="006C4F5E"/>
    <w:rsid w:val="006D67EB"/>
    <w:rsid w:val="006E3686"/>
    <w:rsid w:val="006F0183"/>
    <w:rsid w:val="006F0C74"/>
    <w:rsid w:val="00713F76"/>
    <w:rsid w:val="00716A26"/>
    <w:rsid w:val="00716A80"/>
    <w:rsid w:val="0072146F"/>
    <w:rsid w:val="00740D35"/>
    <w:rsid w:val="00746675"/>
    <w:rsid w:val="00751FC5"/>
    <w:rsid w:val="00757E77"/>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28A0"/>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3A8A"/>
    <w:rsid w:val="009F3F88"/>
    <w:rsid w:val="009F71F8"/>
    <w:rsid w:val="00A03C1A"/>
    <w:rsid w:val="00A06FCD"/>
    <w:rsid w:val="00A11155"/>
    <w:rsid w:val="00A14B89"/>
    <w:rsid w:val="00A201E2"/>
    <w:rsid w:val="00A209C3"/>
    <w:rsid w:val="00A21E6E"/>
    <w:rsid w:val="00A279B7"/>
    <w:rsid w:val="00A316A8"/>
    <w:rsid w:val="00A341DF"/>
    <w:rsid w:val="00A36603"/>
    <w:rsid w:val="00A36DEE"/>
    <w:rsid w:val="00A51345"/>
    <w:rsid w:val="00A54831"/>
    <w:rsid w:val="00A6078F"/>
    <w:rsid w:val="00A62968"/>
    <w:rsid w:val="00A62E53"/>
    <w:rsid w:val="00A63ACE"/>
    <w:rsid w:val="00A8476F"/>
    <w:rsid w:val="00A93BDE"/>
    <w:rsid w:val="00AC0386"/>
    <w:rsid w:val="00AC40EA"/>
    <w:rsid w:val="00AC62F8"/>
    <w:rsid w:val="00AD4FA7"/>
    <w:rsid w:val="00AE0C39"/>
    <w:rsid w:val="00AE4AD2"/>
    <w:rsid w:val="00AE5F43"/>
    <w:rsid w:val="00AF1271"/>
    <w:rsid w:val="00AF4B41"/>
    <w:rsid w:val="00AF6A23"/>
    <w:rsid w:val="00B02892"/>
    <w:rsid w:val="00B108D3"/>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06A4"/>
    <w:rsid w:val="00B8113D"/>
    <w:rsid w:val="00B81607"/>
    <w:rsid w:val="00B8227E"/>
    <w:rsid w:val="00B90F20"/>
    <w:rsid w:val="00B91F1E"/>
    <w:rsid w:val="00B95331"/>
    <w:rsid w:val="00B95D4E"/>
    <w:rsid w:val="00B9789D"/>
    <w:rsid w:val="00BA3246"/>
    <w:rsid w:val="00BA3BED"/>
    <w:rsid w:val="00BA411F"/>
    <w:rsid w:val="00BA4169"/>
    <w:rsid w:val="00BA527A"/>
    <w:rsid w:val="00BB272C"/>
    <w:rsid w:val="00BB28CF"/>
    <w:rsid w:val="00BB4ABC"/>
    <w:rsid w:val="00BB4C9F"/>
    <w:rsid w:val="00BB5574"/>
    <w:rsid w:val="00BC12BF"/>
    <w:rsid w:val="00BC374A"/>
    <w:rsid w:val="00BC45A9"/>
    <w:rsid w:val="00BC4975"/>
    <w:rsid w:val="00BC5FF1"/>
    <w:rsid w:val="00BC6C11"/>
    <w:rsid w:val="00BD2C4F"/>
    <w:rsid w:val="00BD3EF3"/>
    <w:rsid w:val="00BD6151"/>
    <w:rsid w:val="00BE51FF"/>
    <w:rsid w:val="00BF3561"/>
    <w:rsid w:val="00BF556C"/>
    <w:rsid w:val="00C05015"/>
    <w:rsid w:val="00C05EFD"/>
    <w:rsid w:val="00C22083"/>
    <w:rsid w:val="00C24B8F"/>
    <w:rsid w:val="00C2551A"/>
    <w:rsid w:val="00C32DEA"/>
    <w:rsid w:val="00C40532"/>
    <w:rsid w:val="00C45053"/>
    <w:rsid w:val="00C50A91"/>
    <w:rsid w:val="00C52D74"/>
    <w:rsid w:val="00C5365F"/>
    <w:rsid w:val="00C56C48"/>
    <w:rsid w:val="00C616FD"/>
    <w:rsid w:val="00C632F4"/>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575B"/>
    <w:rsid w:val="00CB09E0"/>
    <w:rsid w:val="00CC0679"/>
    <w:rsid w:val="00CC66AD"/>
    <w:rsid w:val="00CC69E8"/>
    <w:rsid w:val="00CC6AF3"/>
    <w:rsid w:val="00CD2613"/>
    <w:rsid w:val="00CD2A1C"/>
    <w:rsid w:val="00CD526F"/>
    <w:rsid w:val="00CE02FA"/>
    <w:rsid w:val="00CE06A2"/>
    <w:rsid w:val="00CE118B"/>
    <w:rsid w:val="00CF0112"/>
    <w:rsid w:val="00CF34BC"/>
    <w:rsid w:val="00CF7A69"/>
    <w:rsid w:val="00D07030"/>
    <w:rsid w:val="00D14D2A"/>
    <w:rsid w:val="00D23E74"/>
    <w:rsid w:val="00D27F86"/>
    <w:rsid w:val="00D31DDA"/>
    <w:rsid w:val="00D44D7D"/>
    <w:rsid w:val="00D525D6"/>
    <w:rsid w:val="00D52828"/>
    <w:rsid w:val="00D52978"/>
    <w:rsid w:val="00D57E53"/>
    <w:rsid w:val="00D60F74"/>
    <w:rsid w:val="00D632DC"/>
    <w:rsid w:val="00D708C3"/>
    <w:rsid w:val="00D72CCC"/>
    <w:rsid w:val="00D73E22"/>
    <w:rsid w:val="00D9642E"/>
    <w:rsid w:val="00D976E2"/>
    <w:rsid w:val="00DA5E37"/>
    <w:rsid w:val="00DA60ED"/>
    <w:rsid w:val="00DA7FA2"/>
    <w:rsid w:val="00DB041B"/>
    <w:rsid w:val="00DB05F2"/>
    <w:rsid w:val="00DB17B2"/>
    <w:rsid w:val="00DC0672"/>
    <w:rsid w:val="00DC4DB9"/>
    <w:rsid w:val="00DC5CEE"/>
    <w:rsid w:val="00DC76F8"/>
    <w:rsid w:val="00DD42DB"/>
    <w:rsid w:val="00DE67C2"/>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0BE7"/>
    <w:rsid w:val="00E31C96"/>
    <w:rsid w:val="00E4061E"/>
    <w:rsid w:val="00E47A53"/>
    <w:rsid w:val="00E501C6"/>
    <w:rsid w:val="00E55AD1"/>
    <w:rsid w:val="00E61F5A"/>
    <w:rsid w:val="00E642B3"/>
    <w:rsid w:val="00E66EBA"/>
    <w:rsid w:val="00E67211"/>
    <w:rsid w:val="00E7049B"/>
    <w:rsid w:val="00E727F2"/>
    <w:rsid w:val="00E73A43"/>
    <w:rsid w:val="00E749F1"/>
    <w:rsid w:val="00E86A5C"/>
    <w:rsid w:val="00E87116"/>
    <w:rsid w:val="00E90F22"/>
    <w:rsid w:val="00E912CE"/>
    <w:rsid w:val="00E93DF0"/>
    <w:rsid w:val="00E96021"/>
    <w:rsid w:val="00E97968"/>
    <w:rsid w:val="00EA7AFE"/>
    <w:rsid w:val="00EB3C20"/>
    <w:rsid w:val="00EC0B9E"/>
    <w:rsid w:val="00EC1EB5"/>
    <w:rsid w:val="00EC6B80"/>
    <w:rsid w:val="00ED0C45"/>
    <w:rsid w:val="00ED0CEE"/>
    <w:rsid w:val="00ED4142"/>
    <w:rsid w:val="00EE061F"/>
    <w:rsid w:val="00EE46CD"/>
    <w:rsid w:val="00EF15CD"/>
    <w:rsid w:val="00EF5D1F"/>
    <w:rsid w:val="00EF6E21"/>
    <w:rsid w:val="00F0239E"/>
    <w:rsid w:val="00F07EFD"/>
    <w:rsid w:val="00F1164D"/>
    <w:rsid w:val="00F1200D"/>
    <w:rsid w:val="00F148FD"/>
    <w:rsid w:val="00F154DF"/>
    <w:rsid w:val="00F1676C"/>
    <w:rsid w:val="00F17C08"/>
    <w:rsid w:val="00F22A8E"/>
    <w:rsid w:val="00F2478C"/>
    <w:rsid w:val="00F253BB"/>
    <w:rsid w:val="00F275B3"/>
    <w:rsid w:val="00F27B24"/>
    <w:rsid w:val="00F27D5C"/>
    <w:rsid w:val="00F3039F"/>
    <w:rsid w:val="00F33094"/>
    <w:rsid w:val="00F340B8"/>
    <w:rsid w:val="00F37373"/>
    <w:rsid w:val="00F40533"/>
    <w:rsid w:val="00F4284C"/>
    <w:rsid w:val="00F43F29"/>
    <w:rsid w:val="00F509AE"/>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19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BodyTextIndent3">
    <w:name w:val="Body Text Indent 3"/>
    <w:basedOn w:val="Normal"/>
    <w:link w:val="BodyTextIndent3Char"/>
    <w:rsid w:val="006F0C74"/>
    <w:pPr>
      <w:ind w:left="720"/>
    </w:pPr>
    <w:rPr>
      <w:rFonts w:ascii="Arial" w:hAnsi="Arial" w:cs="Arial"/>
    </w:rPr>
  </w:style>
  <w:style w:type="character" w:customStyle="1" w:styleId="BodyTextIndent3Char">
    <w:name w:val="Body Text Indent 3 Char"/>
    <w:basedOn w:val="DefaultParagraphFont"/>
    <w:link w:val="BodyTextIndent3"/>
    <w:rsid w:val="006F0C74"/>
    <w:rPr>
      <w:rFonts w:ascii="Arial" w:eastAsia="Times New Roman" w:hAnsi="Arial" w:cs="Arial"/>
      <w:sz w:val="24"/>
      <w:szCs w:val="24"/>
    </w:rPr>
  </w:style>
  <w:style w:type="paragraph" w:styleId="NoSpacing">
    <w:name w:val="No Spacing"/>
    <w:rsid w:val="006F0C7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6F0C7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3824538">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7025134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893F6C"/>
    <w:rsid w:val="00AE2F37"/>
    <w:rsid w:val="00C532A1"/>
    <w:rsid w:val="00C956B8"/>
    <w:rsid w:val="00E7604E"/>
    <w:rsid w:val="00F9357D"/>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5F15-7CE5-4EB3-A744-27A4FF4E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Arnold, Angie</cp:lastModifiedBy>
  <cp:revision>3</cp:revision>
  <cp:lastPrinted>2015-03-14T17:30:00Z</cp:lastPrinted>
  <dcterms:created xsi:type="dcterms:W3CDTF">2017-04-14T17:36:00Z</dcterms:created>
  <dcterms:modified xsi:type="dcterms:W3CDTF">2017-04-14T18:06:00Z</dcterms:modified>
</cp:coreProperties>
</file>