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4.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5.xml" ContentType="application/vnd.openxmlformats-officedocument.drawingml.chart+xml"/>
  <Override PartName="/word/charts/style3.xml" ContentType="application/vnd.ms-office.chartstyle+xml"/>
  <Override PartName="/word/charts/colors3.xml" ContentType="application/vnd.ms-office.chartcolorstyle+xml"/>
  <Override PartName="/word/footer1.xml" ContentType="application/vnd.openxmlformats-officedocument.wordprocessingml.footer+xml"/>
  <Override PartName="/word/charts/chart6.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7.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19.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22.xml" ContentType="application/vnd.openxmlformats-officedocument.drawingml.chart+xml"/>
  <Override PartName="/word/charts/chart23.xml" ContentType="application/vnd.openxmlformats-officedocument.drawingml.chart+xml"/>
  <Override PartName="/word/charts/chart24.xml" ContentType="application/vnd.openxmlformats-officedocument.drawingml.chart+xml"/>
  <Override PartName="/word/charts/chart25.xml" ContentType="application/vnd.openxmlformats-officedocument.drawingml.chart+xml"/>
  <Override PartName="/word/charts/chart26.xml" ContentType="application/vnd.openxmlformats-officedocument.drawingml.chart+xml"/>
  <Override PartName="/word/charts/chart27.xml" ContentType="application/vnd.openxmlformats-officedocument.drawingml.chart+xml"/>
  <Override PartName="/word/charts/chart28.xml" ContentType="application/vnd.openxmlformats-officedocument.drawingml.chart+xml"/>
  <Override PartName="/word/charts/chart29.xml" ContentType="application/vnd.openxmlformats-officedocument.drawingml.chart+xml"/>
  <Override PartName="/word/charts/chart30.xml" ContentType="application/vnd.openxmlformats-officedocument.drawingml.chart+xml"/>
  <Override PartName="/word/charts/chart31.xml" ContentType="application/vnd.openxmlformats-officedocument.drawingml.chart+xml"/>
  <Override PartName="/word/charts/chart32.xml" ContentType="application/vnd.openxmlformats-officedocument.drawingml.chart+xml"/>
  <Override PartName="/word/charts/chart33.xml" ContentType="application/vnd.openxmlformats-officedocument.drawingml.chart+xml"/>
  <Override PartName="/word/charts/chart34.xml" ContentType="application/vnd.openxmlformats-officedocument.drawingml.chart+xml"/>
  <Override PartName="/word/charts/chart35.xml" ContentType="application/vnd.openxmlformats-officedocument.drawingml.chart+xml"/>
  <Override PartName="/word/charts/chart3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37.xml" ContentType="application/vnd.openxmlformats-officedocument.drawingml.chart+xml"/>
  <Override PartName="/word/charts/style7.xml" ContentType="application/vnd.ms-office.chartstyle+xml"/>
  <Override PartName="/word/charts/colors7.xml" ContentType="application/vnd.ms-office.chartcolorstyle+xml"/>
  <Override PartName="/word/header1.xml" ContentType="application/vnd.openxmlformats-officedocument.wordprocessingml.header+xml"/>
  <Override PartName="/word/charts/chart3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3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4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41.xml" ContentType="application/vnd.openxmlformats-officedocument.drawingml.chart+xml"/>
  <Override PartName="/word/charts/style11.xml" ContentType="application/vnd.ms-office.chartstyle+xml"/>
  <Override PartName="/word/charts/colors11.xml" ContentType="application/vnd.ms-office.chartcolorstyl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2037" w:rsidRDefault="00912037" w:rsidP="00912037">
      <w:pPr>
        <w:jc w:val="center"/>
        <w:rPr>
          <w:rFonts w:ascii="Arial" w:hAnsi="Arial" w:cs="Arial"/>
          <w:b/>
          <w:color w:val="000000" w:themeColor="text1"/>
          <w:sz w:val="28"/>
        </w:rPr>
      </w:pPr>
      <w:r>
        <w:rPr>
          <w:rFonts w:ascii="Arial" w:hAnsi="Arial" w:cs="Arial"/>
          <w:b/>
          <w:color w:val="000000" w:themeColor="text1"/>
          <w:sz w:val="28"/>
        </w:rPr>
        <w:t>Sinclair Community College</w:t>
      </w:r>
    </w:p>
    <w:p w:rsidR="00912037" w:rsidRDefault="00912037" w:rsidP="00912037">
      <w:pPr>
        <w:jc w:val="center"/>
        <w:rPr>
          <w:rFonts w:ascii="Arial" w:hAnsi="Arial" w:cs="Arial"/>
          <w:b/>
          <w:color w:val="000000" w:themeColor="text1"/>
        </w:rPr>
      </w:pPr>
      <w:r>
        <w:rPr>
          <w:rFonts w:ascii="Arial" w:hAnsi="Arial" w:cs="Arial"/>
          <w:b/>
          <w:color w:val="000000" w:themeColor="text1"/>
        </w:rPr>
        <w:t>Continuous Improvement Annual Update 2014-15</w:t>
      </w:r>
    </w:p>
    <w:p w:rsidR="00912037" w:rsidRDefault="00912037" w:rsidP="00912037">
      <w:pPr>
        <w:jc w:val="center"/>
        <w:rPr>
          <w:rFonts w:ascii="Arial" w:hAnsi="Arial" w:cs="Arial"/>
          <w:b/>
          <w:color w:val="000000" w:themeColor="text1"/>
        </w:rPr>
      </w:pPr>
    </w:p>
    <w:p w:rsidR="00912037" w:rsidRDefault="00912037" w:rsidP="00912037">
      <w:pPr>
        <w:jc w:val="center"/>
        <w:rPr>
          <w:rFonts w:ascii="Arial" w:hAnsi="Arial" w:cs="Arial"/>
          <w:b/>
          <w:color w:val="000000" w:themeColor="text1"/>
        </w:rPr>
      </w:pPr>
      <w:r>
        <w:rPr>
          <w:rFonts w:ascii="Arial" w:hAnsi="Arial" w:cs="Arial"/>
          <w:b/>
          <w:color w:val="000000" w:themeColor="text1"/>
        </w:rPr>
        <w:t>Please submit to your Division Assessment Coordinator / Learning Liaison for feedback no later than March 1, 2015</w:t>
      </w:r>
    </w:p>
    <w:p w:rsidR="00912037" w:rsidRDefault="00912037" w:rsidP="00912037">
      <w:pPr>
        <w:jc w:val="center"/>
        <w:rPr>
          <w:rFonts w:ascii="Arial" w:hAnsi="Arial" w:cs="Arial"/>
          <w:b/>
          <w:color w:val="000000" w:themeColor="text1"/>
        </w:rPr>
      </w:pPr>
    </w:p>
    <w:p w:rsidR="00912037" w:rsidRDefault="00912037" w:rsidP="00912037">
      <w:pPr>
        <w:jc w:val="center"/>
        <w:rPr>
          <w:rFonts w:ascii="Arial" w:hAnsi="Arial" w:cs="Arial"/>
          <w:b/>
          <w:color w:val="000000" w:themeColor="text1"/>
        </w:rPr>
      </w:pPr>
      <w:r>
        <w:rPr>
          <w:rFonts w:ascii="Arial" w:hAnsi="Arial" w:cs="Arial"/>
          <w:b/>
          <w:color w:val="000000" w:themeColor="text1"/>
        </w:rPr>
        <w:t>After receiving feedback from your Division Assessment Coordinator, please revise accordingly and make the final submission to your dean and the Provost’s Office no later than May 1, 2015</w:t>
      </w:r>
    </w:p>
    <w:p w:rsidR="001026AA" w:rsidRPr="00CD2613" w:rsidRDefault="001026AA" w:rsidP="001026AA">
      <w:pPr>
        <w:jc w:val="center"/>
        <w:rPr>
          <w:rFonts w:ascii="Arial" w:hAnsi="Arial" w:cs="Arial"/>
          <w:b/>
          <w:color w:val="000000" w:themeColor="text1"/>
        </w:rPr>
      </w:pPr>
    </w:p>
    <w:p w:rsidR="001026AA" w:rsidRDefault="00D9642E" w:rsidP="001026AA">
      <w:pPr>
        <w:tabs>
          <w:tab w:val="left" w:pos="7920"/>
        </w:tabs>
        <w:spacing w:after="240"/>
        <w:rPr>
          <w:rFonts w:ascii="Arial" w:hAnsi="Arial" w:cs="Arial"/>
          <w:color w:val="000000" w:themeColor="text1"/>
          <w:u w:val="single"/>
        </w:rPr>
      </w:pPr>
      <w:r>
        <w:rPr>
          <w:rFonts w:ascii="Arial" w:hAnsi="Arial" w:cs="Arial"/>
          <w:b/>
          <w:color w:val="000000" w:themeColor="text1"/>
        </w:rPr>
        <w:t>Department</w:t>
      </w:r>
      <w:r w:rsidR="001026AA" w:rsidRPr="00CD2613">
        <w:rPr>
          <w:rFonts w:ascii="Arial" w:hAnsi="Arial" w:cs="Arial"/>
          <w:b/>
          <w:color w:val="000000" w:themeColor="text1"/>
        </w:rPr>
        <w:t>:</w:t>
      </w:r>
      <w:r w:rsidR="001026AA" w:rsidRPr="00CD2613">
        <w:rPr>
          <w:rFonts w:ascii="Arial" w:hAnsi="Arial" w:cs="Arial"/>
          <w:color w:val="000000" w:themeColor="text1"/>
        </w:rPr>
        <w:t xml:space="preserve">  </w:t>
      </w:r>
      <w:r w:rsidR="001026AA" w:rsidRPr="00CD2613">
        <w:rPr>
          <w:rFonts w:ascii="Arial" w:hAnsi="Arial" w:cs="Arial"/>
          <w:color w:val="000000" w:themeColor="text1"/>
          <w:u w:val="single"/>
        </w:rPr>
        <w:t xml:space="preserve"> </w:t>
      </w:r>
      <w:r w:rsidR="00673CDD">
        <w:rPr>
          <w:rFonts w:ascii="Arial" w:hAnsi="Arial" w:cs="Arial"/>
          <w:color w:val="000000" w:themeColor="text1"/>
          <w:u w:val="single"/>
        </w:rPr>
        <w:t>0</w:t>
      </w:r>
      <w:r w:rsidR="002D2452">
        <w:rPr>
          <w:rFonts w:ascii="Arial" w:hAnsi="Arial" w:cs="Arial"/>
          <w:color w:val="000000" w:themeColor="text1"/>
          <w:u w:val="single"/>
        </w:rPr>
        <w:t>681</w:t>
      </w:r>
      <w:r w:rsidR="00673CDD">
        <w:rPr>
          <w:rFonts w:ascii="Arial" w:hAnsi="Arial" w:cs="Arial"/>
          <w:color w:val="000000" w:themeColor="text1"/>
          <w:u w:val="single"/>
        </w:rPr>
        <w:t xml:space="preserve"> –</w:t>
      </w:r>
      <w:r w:rsidR="002D2452">
        <w:rPr>
          <w:rFonts w:ascii="Arial" w:hAnsi="Arial" w:cs="Arial"/>
          <w:color w:val="000000" w:themeColor="text1"/>
          <w:u w:val="single"/>
        </w:rPr>
        <w:t xml:space="preserve"> Physical Therapist Assistant</w:t>
      </w:r>
      <w:r w:rsidR="00CA3469">
        <w:rPr>
          <w:rFonts w:ascii="Arial" w:hAnsi="Arial" w:cs="Arial"/>
          <w:color w:val="000000" w:themeColor="text1"/>
          <w:u w:val="single"/>
        </w:rPr>
        <w:t xml:space="preserve"> (PTA)</w:t>
      </w:r>
      <w:r w:rsidR="001026AA" w:rsidRPr="00CD2613">
        <w:rPr>
          <w:rFonts w:ascii="Arial" w:hAnsi="Arial" w:cs="Arial"/>
          <w:color w:val="000000" w:themeColor="text1"/>
          <w:u w:val="single"/>
        </w:rPr>
        <w:tab/>
      </w:r>
    </w:p>
    <w:p w:rsidR="009E0C0C" w:rsidRDefault="009E0C0C" w:rsidP="009E0C0C">
      <w:pPr>
        <w:tabs>
          <w:tab w:val="left" w:pos="7920"/>
        </w:tabs>
        <w:spacing w:after="240"/>
        <w:rPr>
          <w:rFonts w:ascii="Arial" w:hAnsi="Arial" w:cs="Arial"/>
          <w:color w:val="000000" w:themeColor="text1"/>
        </w:rPr>
      </w:pPr>
      <w:r>
        <w:rPr>
          <w:rFonts w:ascii="Arial" w:hAnsi="Arial" w:cs="Arial"/>
          <w:color w:val="000000" w:themeColor="text1"/>
          <w:u w:val="single"/>
        </w:rPr>
        <w:t xml:space="preserve">Year of Last Program Review: </w:t>
      </w:r>
      <w:r>
        <w:rPr>
          <w:rFonts w:ascii="Arial" w:hAnsi="Arial" w:cs="Arial"/>
          <w:color w:val="000000" w:themeColor="text1"/>
        </w:rPr>
        <w:t xml:space="preserve">  FY 201</w:t>
      </w:r>
      <w:r w:rsidR="00F75A9F">
        <w:rPr>
          <w:rFonts w:ascii="Arial" w:hAnsi="Arial" w:cs="Arial"/>
          <w:color w:val="000000" w:themeColor="text1"/>
        </w:rPr>
        <w:t>2</w:t>
      </w:r>
      <w:r>
        <w:rPr>
          <w:rFonts w:ascii="Arial" w:hAnsi="Arial" w:cs="Arial"/>
          <w:color w:val="000000" w:themeColor="text1"/>
        </w:rPr>
        <w:t>-201</w:t>
      </w:r>
      <w:r w:rsidR="00F75A9F">
        <w:rPr>
          <w:rFonts w:ascii="Arial" w:hAnsi="Arial" w:cs="Arial"/>
          <w:color w:val="000000" w:themeColor="text1"/>
        </w:rPr>
        <w:t>3</w:t>
      </w:r>
    </w:p>
    <w:p w:rsidR="009E0C0C" w:rsidRDefault="009E0C0C" w:rsidP="009E0C0C">
      <w:pPr>
        <w:tabs>
          <w:tab w:val="left" w:pos="7920"/>
        </w:tabs>
        <w:spacing w:after="240"/>
        <w:rPr>
          <w:rFonts w:ascii="Arial" w:hAnsi="Arial" w:cs="Arial"/>
          <w:color w:val="000000" w:themeColor="text1"/>
        </w:rPr>
      </w:pPr>
      <w:r>
        <w:rPr>
          <w:rFonts w:ascii="Arial" w:hAnsi="Arial" w:cs="Arial"/>
          <w:color w:val="000000" w:themeColor="text1"/>
          <w:u w:val="single"/>
        </w:rPr>
        <w:t>Year of Next Program Review:</w:t>
      </w:r>
      <w:r>
        <w:rPr>
          <w:rFonts w:ascii="Arial" w:hAnsi="Arial" w:cs="Arial"/>
          <w:color w:val="000000" w:themeColor="text1"/>
        </w:rPr>
        <w:t xml:space="preserve">  FY 201</w:t>
      </w:r>
      <w:r w:rsidR="00F75A9F">
        <w:rPr>
          <w:rFonts w:ascii="Arial" w:hAnsi="Arial" w:cs="Arial"/>
          <w:color w:val="000000" w:themeColor="text1"/>
        </w:rPr>
        <w:t>7</w:t>
      </w:r>
      <w:r>
        <w:rPr>
          <w:rFonts w:ascii="Arial" w:hAnsi="Arial" w:cs="Arial"/>
          <w:color w:val="000000" w:themeColor="text1"/>
        </w:rPr>
        <w:t>-201</w:t>
      </w:r>
      <w:r w:rsidR="00F75A9F">
        <w:rPr>
          <w:rFonts w:ascii="Arial" w:hAnsi="Arial" w:cs="Arial"/>
          <w:color w:val="000000" w:themeColor="text1"/>
        </w:rPr>
        <w:t>8</w:t>
      </w:r>
    </w:p>
    <w:p w:rsidR="00827AE5" w:rsidRPr="00CD2613" w:rsidRDefault="00827AE5" w:rsidP="00F0239E">
      <w:pPr>
        <w:jc w:val="center"/>
        <w:rPr>
          <w:rFonts w:ascii="Arial" w:hAnsi="Arial" w:cs="Arial"/>
          <w:b/>
          <w:color w:val="000000" w:themeColor="text1"/>
        </w:rPr>
      </w:pPr>
    </w:p>
    <w:p w:rsidR="001240D0" w:rsidRDefault="001240D0" w:rsidP="003254BC">
      <w:pPr>
        <w:rPr>
          <w:rFonts w:ascii="Arial" w:hAnsi="Arial" w:cs="Arial"/>
          <w:b/>
          <w:color w:val="000000" w:themeColor="text1"/>
          <w:u w:val="single"/>
        </w:rPr>
      </w:pPr>
      <w:r w:rsidRPr="00CD2613">
        <w:rPr>
          <w:rFonts w:ascii="Arial" w:hAnsi="Arial" w:cs="Arial"/>
          <w:b/>
          <w:color w:val="000000" w:themeColor="text1"/>
          <w:u w:val="single"/>
        </w:rPr>
        <w:t xml:space="preserve">Section I:  </w:t>
      </w:r>
      <w:r w:rsidR="001C42D0">
        <w:rPr>
          <w:rFonts w:ascii="Arial" w:hAnsi="Arial" w:cs="Arial"/>
          <w:b/>
          <w:color w:val="000000" w:themeColor="text1"/>
          <w:u w:val="single"/>
        </w:rPr>
        <w:t xml:space="preserve">Department </w:t>
      </w:r>
      <w:r w:rsidR="000279EB" w:rsidRPr="00CD2613">
        <w:rPr>
          <w:rFonts w:ascii="Arial" w:hAnsi="Arial" w:cs="Arial"/>
          <w:b/>
          <w:color w:val="000000" w:themeColor="text1"/>
          <w:u w:val="single"/>
        </w:rPr>
        <w:t>Trend Data</w:t>
      </w:r>
      <w:r w:rsidR="00585766">
        <w:rPr>
          <w:rFonts w:ascii="Arial" w:hAnsi="Arial" w:cs="Arial"/>
          <w:b/>
          <w:color w:val="000000" w:themeColor="text1"/>
          <w:u w:val="single"/>
        </w:rPr>
        <w:t>, Interpretation, and Analysis</w:t>
      </w:r>
    </w:p>
    <w:p w:rsidR="001D736E" w:rsidRDefault="001D736E" w:rsidP="003254BC">
      <w:pPr>
        <w:rPr>
          <w:rFonts w:ascii="Arial" w:hAnsi="Arial" w:cs="Arial"/>
          <w:b/>
          <w:color w:val="000000" w:themeColor="text1"/>
          <w:u w:val="single"/>
        </w:rPr>
      </w:pPr>
    </w:p>
    <w:p w:rsidR="00585766" w:rsidRPr="00585766" w:rsidRDefault="00585766" w:rsidP="00585766">
      <w:pPr>
        <w:rPr>
          <w:rFonts w:ascii="Arial" w:hAnsi="Arial" w:cs="Arial"/>
          <w:b/>
          <w:color w:val="000000" w:themeColor="text1"/>
        </w:rPr>
      </w:pPr>
      <w:r w:rsidRPr="00585766">
        <w:rPr>
          <w:rFonts w:ascii="Arial" w:hAnsi="Arial" w:cs="Arial"/>
          <w:b/>
          <w:color w:val="000000" w:themeColor="text1"/>
        </w:rPr>
        <w:t>Degree and Certificate Completion Trend Data</w:t>
      </w:r>
      <w:r w:rsidR="00377D40">
        <w:rPr>
          <w:rFonts w:ascii="Arial" w:hAnsi="Arial" w:cs="Arial"/>
          <w:b/>
          <w:color w:val="000000" w:themeColor="text1"/>
        </w:rPr>
        <w:t xml:space="preserve"> – OVERALL SUMMARY</w:t>
      </w:r>
    </w:p>
    <w:p w:rsidR="00585766" w:rsidRDefault="00585766" w:rsidP="00585766">
      <w:pPr>
        <w:rPr>
          <w:rFonts w:ascii="Arial" w:hAnsi="Arial" w:cs="Arial"/>
          <w:noProof/>
          <w:color w:val="000000" w:themeColor="text1"/>
        </w:rPr>
      </w:pPr>
    </w:p>
    <w:p w:rsidR="00637591" w:rsidRDefault="00BE10E2" w:rsidP="00585766">
      <w:pPr>
        <w:rPr>
          <w:rFonts w:ascii="Arial" w:hAnsi="Arial" w:cs="Arial"/>
          <w:noProof/>
          <w:color w:val="000000" w:themeColor="text1"/>
        </w:rPr>
      </w:pPr>
      <w:r>
        <w:rPr>
          <w:noProof/>
        </w:rPr>
        <w:drawing>
          <wp:inline distT="0" distB="0" distL="0" distR="0" wp14:anchorId="7E64E375" wp14:editId="1405CB73">
            <wp:extent cx="5857875" cy="2743200"/>
            <wp:effectExtent l="19050" t="19050" r="9525" b="1905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637591" w:rsidRDefault="00637591" w:rsidP="00585766">
      <w:pPr>
        <w:rPr>
          <w:rFonts w:ascii="Arial" w:hAnsi="Arial" w:cs="Arial"/>
          <w:color w:val="000000" w:themeColor="text1"/>
        </w:rPr>
      </w:pPr>
    </w:p>
    <w:p w:rsidR="00585766" w:rsidRDefault="00585766" w:rsidP="00585766">
      <w:pPr>
        <w:ind w:left="720"/>
        <w:rPr>
          <w:rFonts w:ascii="Arial" w:hAnsi="Arial" w:cs="Arial"/>
          <w:color w:val="000000" w:themeColor="text1"/>
        </w:rPr>
      </w:pPr>
    </w:p>
    <w:p w:rsidR="00585766" w:rsidRPr="008258DA" w:rsidRDefault="00585766" w:rsidP="008258DA">
      <w:pPr>
        <w:rPr>
          <w:rFonts w:ascii="Arial" w:hAnsi="Arial" w:cs="Arial"/>
          <w:color w:val="000000" w:themeColor="text1"/>
        </w:rPr>
      </w:pPr>
      <w:r w:rsidRPr="008258DA">
        <w:rPr>
          <w:rFonts w:ascii="Arial" w:hAnsi="Arial" w:cs="Arial"/>
          <w:color w:val="000000" w:themeColor="text1"/>
        </w:rPr>
        <w:t>Please provide an interpretation and analysis of the Degree and Certificate Completion Trend Data</w:t>
      </w:r>
      <w:r w:rsidR="001D3E1D" w:rsidRPr="008258DA">
        <w:rPr>
          <w:rFonts w:ascii="Arial" w:hAnsi="Arial" w:cs="Arial"/>
          <w:color w:val="000000" w:themeColor="text1"/>
        </w:rPr>
        <w:t xml:space="preserve"> (</w:t>
      </w:r>
      <w:r w:rsidRPr="008258DA">
        <w:rPr>
          <w:rFonts w:ascii="Arial" w:hAnsi="Arial" w:cs="Arial"/>
          <w:color w:val="000000" w:themeColor="text1"/>
        </w:rPr>
        <w:t>Raw Data is located in Appendix A</w:t>
      </w:r>
      <w:r w:rsidR="001D3E1D" w:rsidRPr="008258DA">
        <w:rPr>
          <w:rFonts w:ascii="Arial" w:hAnsi="Arial" w:cs="Arial"/>
          <w:i/>
          <w:color w:val="000000" w:themeColor="text1"/>
        </w:rPr>
        <w:t xml:space="preserve">): </w:t>
      </w:r>
      <w:r w:rsidRPr="008258DA">
        <w:rPr>
          <w:rFonts w:ascii="Arial" w:hAnsi="Arial" w:cs="Arial"/>
          <w:i/>
          <w:color w:val="000000" w:themeColor="text1"/>
        </w:rPr>
        <w:t xml:space="preserve">i.e. What trends do you see in the above data?  Are there internal or external factors that account for these trends?  What are the implications for the department?  What actions have the department taken that have influenced these trends?  What strategies will the department implement as a result of this data? </w:t>
      </w:r>
    </w:p>
    <w:p w:rsidR="001A2E6B" w:rsidRDefault="001A2E6B" w:rsidP="009D4417">
      <w:pPr>
        <w:pStyle w:val="ListParagraph"/>
        <w:tabs>
          <w:tab w:val="left" w:pos="5040"/>
        </w:tabs>
        <w:ind w:left="0"/>
        <w:rPr>
          <w:rFonts w:ascii="Arial" w:hAnsi="Arial" w:cs="Arial"/>
          <w:color w:val="000000" w:themeColor="text1"/>
        </w:rPr>
      </w:pPr>
    </w:p>
    <w:p w:rsidR="00585D3D" w:rsidRDefault="00585D3D" w:rsidP="009D4417">
      <w:pPr>
        <w:pStyle w:val="ListParagraph"/>
        <w:tabs>
          <w:tab w:val="left" w:pos="5040"/>
        </w:tabs>
        <w:ind w:left="0"/>
        <w:rPr>
          <w:rFonts w:ascii="Arial" w:hAnsi="Arial" w:cs="Arial"/>
          <w:b/>
          <w:i/>
          <w:color w:val="000000" w:themeColor="text1"/>
        </w:rPr>
      </w:pPr>
    </w:p>
    <w:p w:rsidR="00585D3D" w:rsidRDefault="00585D3D" w:rsidP="009D4417">
      <w:pPr>
        <w:pStyle w:val="ListParagraph"/>
        <w:tabs>
          <w:tab w:val="left" w:pos="5040"/>
        </w:tabs>
        <w:ind w:left="0"/>
        <w:rPr>
          <w:rFonts w:ascii="Arial" w:hAnsi="Arial" w:cs="Arial"/>
          <w:b/>
          <w:i/>
          <w:color w:val="000000" w:themeColor="text1"/>
        </w:rPr>
      </w:pPr>
    </w:p>
    <w:p w:rsidR="00585D3D" w:rsidRDefault="00585D3D" w:rsidP="009D4417">
      <w:pPr>
        <w:pStyle w:val="ListParagraph"/>
        <w:tabs>
          <w:tab w:val="left" w:pos="5040"/>
        </w:tabs>
        <w:ind w:left="0"/>
        <w:rPr>
          <w:rFonts w:ascii="Arial" w:hAnsi="Arial" w:cs="Arial"/>
          <w:b/>
          <w:i/>
          <w:color w:val="000000" w:themeColor="text1"/>
        </w:rPr>
      </w:pPr>
    </w:p>
    <w:p w:rsidR="00CA3469" w:rsidRDefault="00CA3469" w:rsidP="009D4417">
      <w:pPr>
        <w:pStyle w:val="ListParagraph"/>
        <w:tabs>
          <w:tab w:val="left" w:pos="5040"/>
        </w:tabs>
        <w:ind w:left="0"/>
        <w:rPr>
          <w:rFonts w:ascii="Arial" w:hAnsi="Arial" w:cs="Arial"/>
          <w:b/>
          <w:i/>
          <w:color w:val="000000" w:themeColor="text1"/>
        </w:rPr>
      </w:pPr>
      <w:r w:rsidRPr="00CA3469">
        <w:rPr>
          <w:rFonts w:ascii="Arial" w:hAnsi="Arial" w:cs="Arial"/>
          <w:b/>
          <w:i/>
          <w:color w:val="000000" w:themeColor="text1"/>
        </w:rPr>
        <w:lastRenderedPageBreak/>
        <w:t>What trends do you see in the above data?</w:t>
      </w:r>
    </w:p>
    <w:p w:rsidR="00CA3469" w:rsidRPr="00CA3469" w:rsidRDefault="00CA3469" w:rsidP="009D4417">
      <w:pPr>
        <w:pStyle w:val="ListParagraph"/>
        <w:tabs>
          <w:tab w:val="left" w:pos="5040"/>
        </w:tabs>
        <w:ind w:left="0"/>
        <w:rPr>
          <w:rFonts w:ascii="Arial" w:hAnsi="Arial" w:cs="Arial"/>
          <w:color w:val="000000" w:themeColor="text1"/>
        </w:rPr>
      </w:pPr>
    </w:p>
    <w:p w:rsidR="00CA3469" w:rsidRDefault="00CA3469" w:rsidP="002A3EE4">
      <w:pPr>
        <w:pStyle w:val="ListParagraph"/>
        <w:numPr>
          <w:ilvl w:val="0"/>
          <w:numId w:val="22"/>
        </w:numPr>
        <w:tabs>
          <w:tab w:val="left" w:pos="5040"/>
        </w:tabs>
        <w:rPr>
          <w:rFonts w:ascii="Arial" w:hAnsi="Arial" w:cs="Arial"/>
          <w:color w:val="000000" w:themeColor="text1"/>
        </w:rPr>
      </w:pPr>
      <w:r>
        <w:rPr>
          <w:rFonts w:ascii="Arial" w:hAnsi="Arial" w:cs="Arial"/>
          <w:color w:val="000000" w:themeColor="text1"/>
        </w:rPr>
        <w:t>Retention continues to be</w:t>
      </w:r>
      <w:r w:rsidR="00DF6676">
        <w:rPr>
          <w:rFonts w:ascii="Arial" w:hAnsi="Arial" w:cs="Arial"/>
          <w:color w:val="000000" w:themeColor="text1"/>
        </w:rPr>
        <w:t xml:space="preserve"> an issue for the PTA program.  Until recently, the program utilized a wait list to enroll students.  Due to retention issues, a competitive selection process has been piloted.  The students enrolled in Fall 2014 were the first class to be determined entirely by competitive selection.  </w:t>
      </w:r>
    </w:p>
    <w:p w:rsidR="00DF6676" w:rsidRDefault="00DF6676" w:rsidP="002A3EE4">
      <w:pPr>
        <w:pStyle w:val="ListParagraph"/>
        <w:numPr>
          <w:ilvl w:val="0"/>
          <w:numId w:val="22"/>
        </w:numPr>
        <w:tabs>
          <w:tab w:val="left" w:pos="5040"/>
        </w:tabs>
        <w:rPr>
          <w:rFonts w:ascii="Arial" w:hAnsi="Arial" w:cs="Arial"/>
          <w:color w:val="000000" w:themeColor="text1"/>
        </w:rPr>
      </w:pPr>
      <w:r>
        <w:rPr>
          <w:rFonts w:ascii="Arial" w:hAnsi="Arial" w:cs="Arial"/>
          <w:color w:val="000000" w:themeColor="text1"/>
        </w:rPr>
        <w:t xml:space="preserve">The PTA program started its first cohort at the Courseview Campus Center (CVCC) in Fall 2011.  Therefore, the increased number of graduates in FY 12-13 are including both Dayton and Courseview.  </w:t>
      </w:r>
    </w:p>
    <w:p w:rsidR="00CA3469" w:rsidRDefault="00CA3469" w:rsidP="009D4417">
      <w:pPr>
        <w:pStyle w:val="ListParagraph"/>
        <w:tabs>
          <w:tab w:val="left" w:pos="5040"/>
        </w:tabs>
        <w:ind w:left="0"/>
        <w:rPr>
          <w:rFonts w:ascii="Arial" w:hAnsi="Arial" w:cs="Arial"/>
          <w:color w:val="000000" w:themeColor="text1"/>
        </w:rPr>
      </w:pPr>
    </w:p>
    <w:p w:rsidR="00CA3469" w:rsidRDefault="00CA3469" w:rsidP="009D4417">
      <w:pPr>
        <w:pStyle w:val="ListParagraph"/>
        <w:tabs>
          <w:tab w:val="left" w:pos="5040"/>
        </w:tabs>
        <w:ind w:left="0"/>
        <w:rPr>
          <w:rFonts w:ascii="Arial" w:hAnsi="Arial" w:cs="Arial"/>
          <w:b/>
          <w:i/>
          <w:color w:val="000000" w:themeColor="text1"/>
        </w:rPr>
      </w:pPr>
      <w:r>
        <w:rPr>
          <w:rFonts w:ascii="Arial" w:hAnsi="Arial" w:cs="Arial"/>
          <w:b/>
          <w:i/>
          <w:color w:val="000000" w:themeColor="text1"/>
        </w:rPr>
        <w:t>Are there internal or external factors that account for these trends?</w:t>
      </w:r>
    </w:p>
    <w:p w:rsidR="00CA3469" w:rsidRDefault="00CA3469" w:rsidP="009D4417">
      <w:pPr>
        <w:pStyle w:val="ListParagraph"/>
        <w:tabs>
          <w:tab w:val="left" w:pos="5040"/>
        </w:tabs>
        <w:ind w:left="0"/>
        <w:rPr>
          <w:rFonts w:ascii="Arial" w:hAnsi="Arial" w:cs="Arial"/>
          <w:b/>
          <w:i/>
          <w:color w:val="000000" w:themeColor="text1"/>
        </w:rPr>
      </w:pPr>
    </w:p>
    <w:p w:rsidR="00CA3469" w:rsidRDefault="00CA3469" w:rsidP="002A3EE4">
      <w:pPr>
        <w:pStyle w:val="ListParagraph"/>
        <w:numPr>
          <w:ilvl w:val="0"/>
          <w:numId w:val="22"/>
        </w:numPr>
        <w:tabs>
          <w:tab w:val="left" w:pos="5040"/>
        </w:tabs>
        <w:rPr>
          <w:rFonts w:ascii="Arial" w:hAnsi="Arial" w:cs="Arial"/>
          <w:color w:val="000000" w:themeColor="text1"/>
        </w:rPr>
      </w:pPr>
      <w:r>
        <w:rPr>
          <w:rFonts w:ascii="Arial" w:hAnsi="Arial" w:cs="Arial"/>
          <w:color w:val="000000" w:themeColor="text1"/>
        </w:rPr>
        <w:t>The graduating classes depicted in the graph are either fully comprised of open enrollment students or a mix of open enrollment and the competitive selection process.  The graduating class of 2016 will be the first full class to be selected entirely by the competitive process.</w:t>
      </w:r>
    </w:p>
    <w:p w:rsidR="00CA3469" w:rsidRDefault="00CA3469" w:rsidP="009D4417">
      <w:pPr>
        <w:pStyle w:val="ListParagraph"/>
        <w:tabs>
          <w:tab w:val="left" w:pos="5040"/>
        </w:tabs>
        <w:ind w:left="0"/>
        <w:rPr>
          <w:rFonts w:ascii="Arial" w:hAnsi="Arial" w:cs="Arial"/>
          <w:color w:val="000000" w:themeColor="text1"/>
        </w:rPr>
      </w:pPr>
    </w:p>
    <w:p w:rsidR="00CA3469" w:rsidRDefault="00CA3469" w:rsidP="009D4417">
      <w:pPr>
        <w:pStyle w:val="ListParagraph"/>
        <w:tabs>
          <w:tab w:val="left" w:pos="5040"/>
        </w:tabs>
        <w:ind w:left="0"/>
        <w:rPr>
          <w:rFonts w:ascii="Arial" w:hAnsi="Arial" w:cs="Arial"/>
          <w:b/>
          <w:i/>
          <w:color w:val="000000" w:themeColor="text1"/>
        </w:rPr>
      </w:pPr>
      <w:r>
        <w:rPr>
          <w:rFonts w:ascii="Arial" w:hAnsi="Arial" w:cs="Arial"/>
          <w:b/>
          <w:i/>
          <w:color w:val="000000" w:themeColor="text1"/>
        </w:rPr>
        <w:t>What are the implications for the department?</w:t>
      </w:r>
    </w:p>
    <w:p w:rsidR="00CA3469" w:rsidRDefault="00CA3469" w:rsidP="009D4417">
      <w:pPr>
        <w:pStyle w:val="ListParagraph"/>
        <w:tabs>
          <w:tab w:val="left" w:pos="5040"/>
        </w:tabs>
        <w:ind w:left="0"/>
        <w:rPr>
          <w:rFonts w:ascii="Arial" w:hAnsi="Arial" w:cs="Arial"/>
          <w:b/>
          <w:i/>
          <w:color w:val="000000" w:themeColor="text1"/>
        </w:rPr>
      </w:pPr>
    </w:p>
    <w:p w:rsidR="00CA3469" w:rsidRDefault="00A833C8" w:rsidP="002A3EE4">
      <w:pPr>
        <w:pStyle w:val="ListParagraph"/>
        <w:numPr>
          <w:ilvl w:val="0"/>
          <w:numId w:val="22"/>
        </w:numPr>
        <w:tabs>
          <w:tab w:val="left" w:pos="5040"/>
        </w:tabs>
        <w:rPr>
          <w:rFonts w:ascii="Arial" w:hAnsi="Arial" w:cs="Arial"/>
          <w:color w:val="000000" w:themeColor="text1"/>
        </w:rPr>
      </w:pPr>
      <w:r>
        <w:rPr>
          <w:rFonts w:ascii="Arial" w:hAnsi="Arial" w:cs="Arial"/>
          <w:color w:val="000000" w:themeColor="text1"/>
        </w:rPr>
        <w:t>Accreditation (both current standards and new standards that will be effective January 2016).</w:t>
      </w:r>
    </w:p>
    <w:p w:rsidR="00A833C8" w:rsidRDefault="00A833C8" w:rsidP="00A833C8">
      <w:pPr>
        <w:pStyle w:val="ListParagraph"/>
        <w:numPr>
          <w:ilvl w:val="0"/>
          <w:numId w:val="20"/>
        </w:numPr>
        <w:tabs>
          <w:tab w:val="left" w:pos="5040"/>
        </w:tabs>
        <w:rPr>
          <w:rFonts w:ascii="Arial" w:hAnsi="Arial" w:cs="Arial"/>
          <w:color w:val="000000" w:themeColor="text1"/>
        </w:rPr>
      </w:pPr>
      <w:r>
        <w:rPr>
          <w:rFonts w:ascii="Arial" w:hAnsi="Arial" w:cs="Arial"/>
          <w:color w:val="000000" w:themeColor="text1"/>
        </w:rPr>
        <w:t>Graduation rates</w:t>
      </w:r>
    </w:p>
    <w:p w:rsidR="00A833C8" w:rsidRDefault="00A833C8" w:rsidP="00A833C8">
      <w:pPr>
        <w:pStyle w:val="ListParagraph"/>
        <w:numPr>
          <w:ilvl w:val="1"/>
          <w:numId w:val="20"/>
        </w:numPr>
        <w:tabs>
          <w:tab w:val="left" w:pos="5040"/>
        </w:tabs>
        <w:rPr>
          <w:rFonts w:ascii="Arial" w:hAnsi="Arial" w:cs="Arial"/>
          <w:color w:val="000000" w:themeColor="text1"/>
        </w:rPr>
      </w:pPr>
      <w:r>
        <w:rPr>
          <w:rFonts w:ascii="Arial" w:hAnsi="Arial" w:cs="Arial"/>
          <w:color w:val="000000" w:themeColor="text1"/>
        </w:rPr>
        <w:t>Current</w:t>
      </w:r>
      <w:r w:rsidR="000228C0">
        <w:rPr>
          <w:rFonts w:ascii="Arial" w:hAnsi="Arial" w:cs="Arial"/>
          <w:color w:val="000000" w:themeColor="text1"/>
        </w:rPr>
        <w:t xml:space="preserve"> standard</w:t>
      </w:r>
      <w:r>
        <w:rPr>
          <w:rFonts w:ascii="Arial" w:hAnsi="Arial" w:cs="Arial"/>
          <w:color w:val="000000" w:themeColor="text1"/>
        </w:rPr>
        <w:t xml:space="preserve">:  </w:t>
      </w:r>
      <w:r w:rsidR="000228C0">
        <w:rPr>
          <w:rFonts w:ascii="Arial" w:hAnsi="Arial" w:cs="Arial"/>
          <w:color w:val="000000" w:themeColor="text1"/>
        </w:rPr>
        <w:t>At least 60% a</w:t>
      </w:r>
      <w:r>
        <w:rPr>
          <w:rFonts w:ascii="Arial" w:hAnsi="Arial" w:cs="Arial"/>
          <w:color w:val="000000" w:themeColor="text1"/>
        </w:rPr>
        <w:t xml:space="preserve">veraged over </w:t>
      </w:r>
      <w:r w:rsidRPr="000228C0">
        <w:rPr>
          <w:rFonts w:ascii="Arial" w:hAnsi="Arial" w:cs="Arial"/>
          <w:b/>
          <w:color w:val="000000" w:themeColor="text1"/>
          <w:u w:val="single"/>
        </w:rPr>
        <w:t>three</w:t>
      </w:r>
      <w:r>
        <w:rPr>
          <w:rFonts w:ascii="Arial" w:hAnsi="Arial" w:cs="Arial"/>
          <w:color w:val="000000" w:themeColor="text1"/>
        </w:rPr>
        <w:t xml:space="preserve"> years</w:t>
      </w:r>
    </w:p>
    <w:p w:rsidR="00DF6676" w:rsidRDefault="00DF6676" w:rsidP="00DF6676">
      <w:pPr>
        <w:pStyle w:val="ListParagraph"/>
        <w:numPr>
          <w:ilvl w:val="2"/>
          <w:numId w:val="20"/>
        </w:numPr>
        <w:tabs>
          <w:tab w:val="left" w:pos="5040"/>
        </w:tabs>
        <w:rPr>
          <w:rFonts w:ascii="Arial" w:hAnsi="Arial" w:cs="Arial"/>
          <w:color w:val="000000" w:themeColor="text1"/>
        </w:rPr>
      </w:pPr>
      <w:r>
        <w:rPr>
          <w:rFonts w:ascii="Arial" w:hAnsi="Arial" w:cs="Arial"/>
          <w:color w:val="000000" w:themeColor="text1"/>
        </w:rPr>
        <w:t>Dayton campus 3-year average:  59%</w:t>
      </w:r>
    </w:p>
    <w:p w:rsidR="00DF6676" w:rsidRDefault="00DF6676" w:rsidP="00DF6676">
      <w:pPr>
        <w:pStyle w:val="ListParagraph"/>
        <w:numPr>
          <w:ilvl w:val="2"/>
          <w:numId w:val="20"/>
        </w:numPr>
        <w:tabs>
          <w:tab w:val="left" w:pos="5040"/>
        </w:tabs>
        <w:rPr>
          <w:rFonts w:ascii="Arial" w:hAnsi="Arial" w:cs="Arial"/>
          <w:color w:val="000000" w:themeColor="text1"/>
        </w:rPr>
      </w:pPr>
      <w:r>
        <w:rPr>
          <w:rFonts w:ascii="Arial" w:hAnsi="Arial" w:cs="Arial"/>
          <w:color w:val="000000" w:themeColor="text1"/>
        </w:rPr>
        <w:t>CVCC does not yet have a 3-year average.</w:t>
      </w:r>
    </w:p>
    <w:p w:rsidR="00A833C8" w:rsidRDefault="000228C0" w:rsidP="00A833C8">
      <w:pPr>
        <w:pStyle w:val="ListParagraph"/>
        <w:numPr>
          <w:ilvl w:val="1"/>
          <w:numId w:val="20"/>
        </w:numPr>
        <w:tabs>
          <w:tab w:val="left" w:pos="5040"/>
        </w:tabs>
        <w:rPr>
          <w:rFonts w:ascii="Arial" w:hAnsi="Arial" w:cs="Arial"/>
          <w:color w:val="000000" w:themeColor="text1"/>
        </w:rPr>
      </w:pPr>
      <w:r>
        <w:rPr>
          <w:rFonts w:ascii="Arial" w:hAnsi="Arial" w:cs="Arial"/>
          <w:color w:val="000000" w:themeColor="text1"/>
        </w:rPr>
        <w:t xml:space="preserve">New standard:  At least 60% </w:t>
      </w:r>
      <w:r w:rsidR="00A833C8">
        <w:rPr>
          <w:rFonts w:ascii="Arial" w:hAnsi="Arial" w:cs="Arial"/>
          <w:color w:val="000000" w:themeColor="text1"/>
        </w:rPr>
        <w:t xml:space="preserve">averaged over </w:t>
      </w:r>
      <w:r w:rsidR="00A833C8" w:rsidRPr="000228C0">
        <w:rPr>
          <w:rFonts w:ascii="Arial" w:hAnsi="Arial" w:cs="Arial"/>
          <w:b/>
          <w:color w:val="000000" w:themeColor="text1"/>
          <w:u w:val="single"/>
        </w:rPr>
        <w:t>two</w:t>
      </w:r>
      <w:r w:rsidR="00A833C8">
        <w:rPr>
          <w:rFonts w:ascii="Arial" w:hAnsi="Arial" w:cs="Arial"/>
          <w:color w:val="000000" w:themeColor="text1"/>
        </w:rPr>
        <w:t xml:space="preserve"> years</w:t>
      </w:r>
    </w:p>
    <w:p w:rsidR="00DF6676" w:rsidRDefault="00DF6676" w:rsidP="00DF6676">
      <w:pPr>
        <w:pStyle w:val="ListParagraph"/>
        <w:numPr>
          <w:ilvl w:val="2"/>
          <w:numId w:val="20"/>
        </w:numPr>
        <w:tabs>
          <w:tab w:val="left" w:pos="5040"/>
        </w:tabs>
        <w:rPr>
          <w:rFonts w:ascii="Arial" w:hAnsi="Arial" w:cs="Arial"/>
          <w:color w:val="000000" w:themeColor="text1"/>
        </w:rPr>
      </w:pPr>
      <w:r>
        <w:rPr>
          <w:rFonts w:ascii="Arial" w:hAnsi="Arial" w:cs="Arial"/>
          <w:color w:val="000000" w:themeColor="text1"/>
        </w:rPr>
        <w:t>Dayton campus 3-year average:  62.5%</w:t>
      </w:r>
    </w:p>
    <w:p w:rsidR="00DF6676" w:rsidRDefault="00DF6676" w:rsidP="00DF6676">
      <w:pPr>
        <w:pStyle w:val="ListParagraph"/>
        <w:numPr>
          <w:ilvl w:val="2"/>
          <w:numId w:val="20"/>
        </w:numPr>
        <w:tabs>
          <w:tab w:val="left" w:pos="5040"/>
        </w:tabs>
        <w:rPr>
          <w:rFonts w:ascii="Arial" w:hAnsi="Arial" w:cs="Arial"/>
          <w:color w:val="000000" w:themeColor="text1"/>
        </w:rPr>
      </w:pPr>
      <w:r>
        <w:rPr>
          <w:rFonts w:ascii="Arial" w:hAnsi="Arial" w:cs="Arial"/>
          <w:color w:val="000000" w:themeColor="text1"/>
        </w:rPr>
        <w:t>CVCC 3-year average:  59.5%</w:t>
      </w:r>
    </w:p>
    <w:p w:rsidR="000228C0" w:rsidRPr="002A3EE4" w:rsidRDefault="000228C0" w:rsidP="002A3EE4">
      <w:pPr>
        <w:pStyle w:val="ListParagraph"/>
        <w:numPr>
          <w:ilvl w:val="0"/>
          <w:numId w:val="22"/>
        </w:numPr>
        <w:tabs>
          <w:tab w:val="left" w:pos="5040"/>
        </w:tabs>
        <w:rPr>
          <w:rFonts w:ascii="Arial" w:hAnsi="Arial" w:cs="Arial"/>
          <w:color w:val="000000" w:themeColor="text1"/>
        </w:rPr>
      </w:pPr>
      <w:r w:rsidRPr="002A3EE4">
        <w:rPr>
          <w:rFonts w:ascii="Arial" w:hAnsi="Arial" w:cs="Arial"/>
          <w:color w:val="000000" w:themeColor="text1"/>
        </w:rPr>
        <w:t>Performance-based funding:  Decreased completion rates reduce state funding</w:t>
      </w:r>
      <w:r w:rsidR="003C1A7C" w:rsidRPr="002A3EE4">
        <w:rPr>
          <w:rFonts w:ascii="Arial" w:hAnsi="Arial" w:cs="Arial"/>
          <w:color w:val="000000" w:themeColor="text1"/>
        </w:rPr>
        <w:t>.</w:t>
      </w:r>
    </w:p>
    <w:p w:rsidR="000228C0" w:rsidRPr="002A3EE4" w:rsidRDefault="000228C0" w:rsidP="002A3EE4">
      <w:pPr>
        <w:pStyle w:val="ListParagraph"/>
        <w:numPr>
          <w:ilvl w:val="0"/>
          <w:numId w:val="22"/>
        </w:numPr>
        <w:tabs>
          <w:tab w:val="left" w:pos="5040"/>
        </w:tabs>
        <w:rPr>
          <w:rFonts w:ascii="Arial" w:hAnsi="Arial" w:cs="Arial"/>
          <w:color w:val="000000" w:themeColor="text1"/>
        </w:rPr>
      </w:pPr>
      <w:r w:rsidRPr="002A3EE4">
        <w:rPr>
          <w:rFonts w:ascii="Arial" w:hAnsi="Arial" w:cs="Arial"/>
          <w:color w:val="000000" w:themeColor="text1"/>
        </w:rPr>
        <w:t xml:space="preserve">Student satisfaction </w:t>
      </w:r>
      <w:r w:rsidR="003C1A7C" w:rsidRPr="002A3EE4">
        <w:rPr>
          <w:rFonts w:ascii="Arial" w:hAnsi="Arial" w:cs="Arial"/>
          <w:color w:val="000000" w:themeColor="text1"/>
        </w:rPr>
        <w:t>and overall program reputation could be negatively affected by poor completion rates.</w:t>
      </w:r>
    </w:p>
    <w:p w:rsidR="000228C0" w:rsidRDefault="000228C0">
      <w:pPr>
        <w:spacing w:after="200" w:line="276" w:lineRule="auto"/>
        <w:rPr>
          <w:rFonts w:ascii="Arial" w:hAnsi="Arial" w:cs="Arial"/>
          <w:b/>
          <w:color w:val="000000" w:themeColor="text1"/>
        </w:rPr>
      </w:pPr>
    </w:p>
    <w:p w:rsidR="002A3EE4" w:rsidRDefault="000228C0">
      <w:pPr>
        <w:spacing w:after="200" w:line="276" w:lineRule="auto"/>
        <w:rPr>
          <w:rFonts w:ascii="Arial" w:hAnsi="Arial" w:cs="Arial"/>
          <w:color w:val="000000" w:themeColor="text1"/>
        </w:rPr>
      </w:pPr>
      <w:r>
        <w:rPr>
          <w:rFonts w:ascii="Arial" w:hAnsi="Arial" w:cs="Arial"/>
          <w:b/>
          <w:i/>
          <w:color w:val="000000" w:themeColor="text1"/>
        </w:rPr>
        <w:t>What actions have the department taken that have influenced these trends?</w:t>
      </w:r>
      <w:r w:rsidR="00761B84">
        <w:rPr>
          <w:rFonts w:ascii="Arial" w:hAnsi="Arial" w:cs="Arial"/>
          <w:color w:val="000000" w:themeColor="text1"/>
        </w:rPr>
        <w:t xml:space="preserve"> </w:t>
      </w:r>
    </w:p>
    <w:p w:rsidR="00761B84" w:rsidRPr="002A3EE4" w:rsidRDefault="00761B84" w:rsidP="002A3EE4">
      <w:pPr>
        <w:pStyle w:val="ListParagraph"/>
        <w:numPr>
          <w:ilvl w:val="0"/>
          <w:numId w:val="24"/>
        </w:numPr>
        <w:spacing w:after="200" w:line="276" w:lineRule="auto"/>
        <w:rPr>
          <w:rFonts w:ascii="Arial" w:hAnsi="Arial" w:cs="Arial"/>
          <w:b/>
          <w:i/>
          <w:color w:val="000000" w:themeColor="text1"/>
        </w:rPr>
      </w:pPr>
      <w:r w:rsidRPr="002A3EE4">
        <w:rPr>
          <w:rFonts w:ascii="Arial" w:hAnsi="Arial" w:cs="Arial"/>
          <w:color w:val="000000" w:themeColor="text1"/>
        </w:rPr>
        <w:t>Continued mand</w:t>
      </w:r>
      <w:r w:rsidR="002A3EE4">
        <w:rPr>
          <w:rFonts w:ascii="Arial" w:hAnsi="Arial" w:cs="Arial"/>
          <w:color w:val="000000" w:themeColor="text1"/>
        </w:rPr>
        <w:t>atory program orientation:  O</w:t>
      </w:r>
      <w:r w:rsidRPr="002A3EE4">
        <w:rPr>
          <w:rFonts w:ascii="Arial" w:hAnsi="Arial" w:cs="Arial"/>
          <w:color w:val="000000" w:themeColor="text1"/>
        </w:rPr>
        <w:t>rientation has been moved from just prior to the start of the Fall term to occurring during the Spring semester after the transcript review process has been comp</w:t>
      </w:r>
      <w:r w:rsidR="002A3EE4">
        <w:rPr>
          <w:rFonts w:ascii="Arial" w:hAnsi="Arial" w:cs="Arial"/>
          <w:color w:val="000000" w:themeColor="text1"/>
        </w:rPr>
        <w:t>leted.  The earlier orientation</w:t>
      </w:r>
      <w:r w:rsidRPr="002A3EE4">
        <w:rPr>
          <w:rFonts w:ascii="Arial" w:hAnsi="Arial" w:cs="Arial"/>
          <w:color w:val="000000" w:themeColor="text1"/>
        </w:rPr>
        <w:t xml:space="preserve"> allows students extra time to familiarize themselves with the PTA Program Student Handbook, prepare financially, take remaining general education courses, acquire child care</w:t>
      </w:r>
      <w:r w:rsidR="002A3EE4">
        <w:rPr>
          <w:rFonts w:ascii="Arial" w:hAnsi="Arial" w:cs="Arial"/>
          <w:color w:val="000000" w:themeColor="text1"/>
        </w:rPr>
        <w:t>,</w:t>
      </w:r>
      <w:r w:rsidRPr="002A3EE4">
        <w:rPr>
          <w:rFonts w:ascii="Arial" w:hAnsi="Arial" w:cs="Arial"/>
          <w:color w:val="000000" w:themeColor="text1"/>
        </w:rPr>
        <w:t xml:space="preserve"> and </w:t>
      </w:r>
      <w:r w:rsidR="002A3EE4">
        <w:rPr>
          <w:rFonts w:ascii="Arial" w:hAnsi="Arial" w:cs="Arial"/>
          <w:color w:val="000000" w:themeColor="text1"/>
        </w:rPr>
        <w:t xml:space="preserve">secure reliable </w:t>
      </w:r>
      <w:r w:rsidRPr="002A3EE4">
        <w:rPr>
          <w:rFonts w:ascii="Arial" w:hAnsi="Arial" w:cs="Arial"/>
          <w:color w:val="000000" w:themeColor="text1"/>
        </w:rPr>
        <w:t>transportation.</w:t>
      </w:r>
    </w:p>
    <w:p w:rsidR="00761B84" w:rsidRPr="002A3EE4" w:rsidRDefault="00761B84" w:rsidP="002A3EE4">
      <w:pPr>
        <w:pStyle w:val="ListParagraph"/>
        <w:numPr>
          <w:ilvl w:val="0"/>
          <w:numId w:val="24"/>
        </w:numPr>
        <w:spacing w:after="200" w:line="276" w:lineRule="auto"/>
        <w:rPr>
          <w:rFonts w:ascii="Arial" w:hAnsi="Arial" w:cs="Arial"/>
          <w:color w:val="000000" w:themeColor="text1"/>
        </w:rPr>
      </w:pPr>
      <w:r w:rsidRPr="002A3EE4">
        <w:rPr>
          <w:rFonts w:ascii="Arial" w:hAnsi="Arial" w:cs="Arial"/>
          <w:color w:val="000000" w:themeColor="text1"/>
        </w:rPr>
        <w:t>Continued mandatory one-on-one meetings with the PTA program director:  These meetings allow students to ask questions regarding the PTA Program Student Handbook</w:t>
      </w:r>
      <w:r w:rsidR="004757C7" w:rsidRPr="002A3EE4">
        <w:rPr>
          <w:rFonts w:ascii="Arial" w:hAnsi="Arial" w:cs="Arial"/>
          <w:color w:val="000000" w:themeColor="text1"/>
        </w:rPr>
        <w:t xml:space="preserve"> or the program in general.</w:t>
      </w:r>
    </w:p>
    <w:p w:rsidR="004757C7" w:rsidRPr="002A3EE4" w:rsidRDefault="004757C7" w:rsidP="002A3EE4">
      <w:pPr>
        <w:pStyle w:val="ListParagraph"/>
        <w:numPr>
          <w:ilvl w:val="0"/>
          <w:numId w:val="24"/>
        </w:numPr>
        <w:spacing w:after="200" w:line="276" w:lineRule="auto"/>
        <w:rPr>
          <w:rFonts w:ascii="Arial" w:hAnsi="Arial" w:cs="Arial"/>
          <w:color w:val="000000" w:themeColor="text1"/>
        </w:rPr>
      </w:pPr>
      <w:r w:rsidRPr="002A3EE4">
        <w:rPr>
          <w:rFonts w:ascii="Arial" w:hAnsi="Arial" w:cs="Arial"/>
          <w:color w:val="000000" w:themeColor="text1"/>
        </w:rPr>
        <w:t>Continued use of a PTA Program Student Handbook and PTA Clinical Education Handbook to inform student</w:t>
      </w:r>
      <w:r w:rsidR="00CA5208">
        <w:rPr>
          <w:rFonts w:ascii="Arial" w:hAnsi="Arial" w:cs="Arial"/>
          <w:color w:val="000000" w:themeColor="text1"/>
        </w:rPr>
        <w:t>s</w:t>
      </w:r>
      <w:r w:rsidRPr="002A3EE4">
        <w:rPr>
          <w:rFonts w:ascii="Arial" w:hAnsi="Arial" w:cs="Arial"/>
          <w:color w:val="000000" w:themeColor="text1"/>
        </w:rPr>
        <w:t xml:space="preserve"> of program policies and procedures.</w:t>
      </w:r>
    </w:p>
    <w:p w:rsidR="004757C7" w:rsidRPr="00CA5208" w:rsidRDefault="004757C7" w:rsidP="00CA5208">
      <w:pPr>
        <w:pStyle w:val="ListParagraph"/>
        <w:numPr>
          <w:ilvl w:val="0"/>
          <w:numId w:val="24"/>
        </w:numPr>
        <w:spacing w:after="200" w:line="276" w:lineRule="auto"/>
        <w:rPr>
          <w:rFonts w:ascii="Arial" w:hAnsi="Arial" w:cs="Arial"/>
          <w:color w:val="000000" w:themeColor="text1"/>
        </w:rPr>
      </w:pPr>
      <w:r w:rsidRPr="00CA5208">
        <w:rPr>
          <w:rFonts w:ascii="Arial" w:hAnsi="Arial" w:cs="Arial"/>
          <w:color w:val="000000" w:themeColor="text1"/>
        </w:rPr>
        <w:lastRenderedPageBreak/>
        <w:t>Continued mandatory faculty advising with an emphasis on professional behaviors to provided individualized attention to each student in the program and utilize resources as appropriate.</w:t>
      </w:r>
    </w:p>
    <w:p w:rsidR="004757C7" w:rsidRPr="00CA5208" w:rsidRDefault="004757C7" w:rsidP="00CA5208">
      <w:pPr>
        <w:pStyle w:val="ListParagraph"/>
        <w:numPr>
          <w:ilvl w:val="0"/>
          <w:numId w:val="24"/>
        </w:numPr>
        <w:spacing w:after="200" w:line="276" w:lineRule="auto"/>
        <w:rPr>
          <w:rFonts w:ascii="Arial" w:hAnsi="Arial" w:cs="Arial"/>
          <w:color w:val="000000" w:themeColor="text1"/>
        </w:rPr>
      </w:pPr>
      <w:r w:rsidRPr="00CA5208">
        <w:rPr>
          <w:rFonts w:ascii="Arial" w:hAnsi="Arial" w:cs="Arial"/>
          <w:color w:val="000000" w:themeColor="text1"/>
        </w:rPr>
        <w:t>Continued presentations by Counseling Services at the onset of the program to address time management, prioritization, stress management, and test anxiety.</w:t>
      </w:r>
    </w:p>
    <w:p w:rsidR="004757C7" w:rsidRPr="00CA5208" w:rsidRDefault="004757C7" w:rsidP="00CA5208">
      <w:pPr>
        <w:pStyle w:val="ListParagraph"/>
        <w:numPr>
          <w:ilvl w:val="0"/>
          <w:numId w:val="24"/>
        </w:numPr>
        <w:spacing w:after="200" w:line="276" w:lineRule="auto"/>
        <w:rPr>
          <w:rFonts w:ascii="Arial" w:hAnsi="Arial" w:cs="Arial"/>
          <w:color w:val="000000" w:themeColor="text1"/>
        </w:rPr>
      </w:pPr>
      <w:r w:rsidRPr="00CA5208">
        <w:rPr>
          <w:rFonts w:ascii="Arial" w:hAnsi="Arial" w:cs="Arial"/>
          <w:color w:val="000000" w:themeColor="text1"/>
        </w:rPr>
        <w:t>Continued face-to-face clinical site visits for every student at least once on each clinical.</w:t>
      </w:r>
    </w:p>
    <w:p w:rsidR="004757C7" w:rsidRPr="00CA5208" w:rsidRDefault="004757C7" w:rsidP="00CA5208">
      <w:pPr>
        <w:pStyle w:val="ListParagraph"/>
        <w:numPr>
          <w:ilvl w:val="0"/>
          <w:numId w:val="24"/>
        </w:numPr>
        <w:spacing w:after="200" w:line="276" w:lineRule="auto"/>
        <w:rPr>
          <w:rFonts w:ascii="Arial" w:hAnsi="Arial" w:cs="Arial"/>
          <w:color w:val="000000" w:themeColor="text1"/>
        </w:rPr>
      </w:pPr>
      <w:r w:rsidRPr="00CA5208">
        <w:rPr>
          <w:rFonts w:ascii="Arial" w:hAnsi="Arial" w:cs="Arial"/>
          <w:color w:val="000000" w:themeColor="text1"/>
        </w:rPr>
        <w:t>Continued mentoring of first-year students by second-year students to provide guidance and encouragement.</w:t>
      </w:r>
    </w:p>
    <w:p w:rsidR="004757C7" w:rsidRPr="00CA5208" w:rsidRDefault="004757C7" w:rsidP="00CA5208">
      <w:pPr>
        <w:pStyle w:val="ListParagraph"/>
        <w:numPr>
          <w:ilvl w:val="0"/>
          <w:numId w:val="24"/>
        </w:numPr>
        <w:spacing w:after="200" w:line="276" w:lineRule="auto"/>
        <w:rPr>
          <w:rFonts w:ascii="Arial" w:hAnsi="Arial" w:cs="Arial"/>
          <w:color w:val="000000" w:themeColor="text1"/>
        </w:rPr>
      </w:pPr>
      <w:r w:rsidRPr="00CA5208">
        <w:rPr>
          <w:rFonts w:ascii="Arial" w:hAnsi="Arial" w:cs="Arial"/>
          <w:color w:val="000000" w:themeColor="text1"/>
        </w:rPr>
        <w:t xml:space="preserve">Competitive selection:  The PTA program has been piloting a competitive selection process to enroll students.  The class of students </w:t>
      </w:r>
      <w:r w:rsidR="003C1A7C" w:rsidRPr="00CA5208">
        <w:rPr>
          <w:rFonts w:ascii="Arial" w:hAnsi="Arial" w:cs="Arial"/>
          <w:color w:val="000000" w:themeColor="text1"/>
        </w:rPr>
        <w:t xml:space="preserve">who initiated the program in Fall 2014 </w:t>
      </w:r>
      <w:r w:rsidRPr="00CA5208">
        <w:rPr>
          <w:rFonts w:ascii="Arial" w:hAnsi="Arial" w:cs="Arial"/>
          <w:color w:val="000000" w:themeColor="text1"/>
        </w:rPr>
        <w:t xml:space="preserve">(graduating class of 2016) is the first full class to be </w:t>
      </w:r>
      <w:r w:rsidR="00CA5208">
        <w:rPr>
          <w:rFonts w:ascii="Arial" w:hAnsi="Arial" w:cs="Arial"/>
          <w:color w:val="000000" w:themeColor="text1"/>
        </w:rPr>
        <w:t>enrolled using</w:t>
      </w:r>
      <w:r w:rsidRPr="00CA5208">
        <w:rPr>
          <w:rFonts w:ascii="Arial" w:hAnsi="Arial" w:cs="Arial"/>
          <w:color w:val="000000" w:themeColor="text1"/>
        </w:rPr>
        <w:t xml:space="preserve"> this strategy.</w:t>
      </w:r>
    </w:p>
    <w:p w:rsidR="004757C7" w:rsidRDefault="004757C7" w:rsidP="004757C7">
      <w:pPr>
        <w:rPr>
          <w:rFonts w:ascii="Arial" w:hAnsi="Arial" w:cs="Arial"/>
          <w:b/>
          <w:i/>
          <w:color w:val="000000" w:themeColor="text1"/>
        </w:rPr>
      </w:pPr>
      <w:r w:rsidRPr="004757C7">
        <w:rPr>
          <w:rFonts w:ascii="Arial" w:hAnsi="Arial" w:cs="Arial"/>
          <w:b/>
          <w:i/>
          <w:color w:val="000000" w:themeColor="text1"/>
        </w:rPr>
        <w:t xml:space="preserve">What strategies will the department implement as a result of this data? </w:t>
      </w:r>
    </w:p>
    <w:p w:rsidR="004757C7" w:rsidRDefault="004757C7" w:rsidP="004757C7">
      <w:pPr>
        <w:rPr>
          <w:rFonts w:ascii="Arial" w:hAnsi="Arial" w:cs="Arial"/>
          <w:color w:val="000000" w:themeColor="text1"/>
        </w:rPr>
      </w:pPr>
    </w:p>
    <w:p w:rsidR="004757C7" w:rsidRDefault="004757C7" w:rsidP="00CA5208">
      <w:pPr>
        <w:pStyle w:val="ListParagraph"/>
        <w:numPr>
          <w:ilvl w:val="0"/>
          <w:numId w:val="26"/>
        </w:numPr>
        <w:rPr>
          <w:rFonts w:ascii="Arial" w:hAnsi="Arial" w:cs="Arial"/>
          <w:color w:val="000000" w:themeColor="text1"/>
        </w:rPr>
      </w:pPr>
      <w:r w:rsidRPr="00CA5208">
        <w:rPr>
          <w:rFonts w:ascii="Arial" w:hAnsi="Arial" w:cs="Arial"/>
          <w:color w:val="000000" w:themeColor="text1"/>
        </w:rPr>
        <w:t xml:space="preserve">The Test of Essential Academic Skills (TEAS) has been a requirement for the program, but a cutoff score has not yet been determined due to insufficient data.  The program has been tracking scores </w:t>
      </w:r>
      <w:r w:rsidR="008E01D4" w:rsidRPr="00CA5208">
        <w:rPr>
          <w:rFonts w:ascii="Arial" w:hAnsi="Arial" w:cs="Arial"/>
          <w:color w:val="000000" w:themeColor="text1"/>
        </w:rPr>
        <w:t>and other</w:t>
      </w:r>
      <w:r w:rsidRPr="00CA5208">
        <w:rPr>
          <w:rFonts w:ascii="Arial" w:hAnsi="Arial" w:cs="Arial"/>
          <w:color w:val="000000" w:themeColor="text1"/>
        </w:rPr>
        <w:t xml:space="preserve"> </w:t>
      </w:r>
      <w:r w:rsidR="003C1A7C" w:rsidRPr="00CA5208">
        <w:rPr>
          <w:rFonts w:ascii="Arial" w:hAnsi="Arial" w:cs="Arial"/>
          <w:color w:val="000000" w:themeColor="text1"/>
        </w:rPr>
        <w:t>outcomes</w:t>
      </w:r>
      <w:r w:rsidRPr="00CA5208">
        <w:rPr>
          <w:rFonts w:ascii="Arial" w:hAnsi="Arial" w:cs="Arial"/>
          <w:color w:val="000000" w:themeColor="text1"/>
        </w:rPr>
        <w:t xml:space="preserve"> to determine if</w:t>
      </w:r>
      <w:r w:rsidR="008E01D4" w:rsidRPr="00CA5208">
        <w:rPr>
          <w:rFonts w:ascii="Arial" w:hAnsi="Arial" w:cs="Arial"/>
          <w:color w:val="000000" w:themeColor="text1"/>
        </w:rPr>
        <w:t xml:space="preserve"> a cutoff score is appropriate to include in the competitive selection criteria.</w:t>
      </w:r>
      <w:r w:rsidR="00524079">
        <w:rPr>
          <w:rFonts w:ascii="Arial" w:hAnsi="Arial" w:cs="Arial"/>
          <w:color w:val="000000" w:themeColor="text1"/>
        </w:rPr>
        <w:t xml:space="preserve">  With the current TEAS data the program has gathered, significant relationships </w:t>
      </w:r>
      <w:r w:rsidR="00D341BD">
        <w:rPr>
          <w:rFonts w:ascii="Arial" w:hAnsi="Arial" w:cs="Arial"/>
          <w:color w:val="000000" w:themeColor="text1"/>
        </w:rPr>
        <w:t>were</w:t>
      </w:r>
      <w:r w:rsidR="00524079">
        <w:rPr>
          <w:rFonts w:ascii="Arial" w:hAnsi="Arial" w:cs="Arial"/>
          <w:color w:val="000000" w:themeColor="text1"/>
        </w:rPr>
        <w:t xml:space="preserve"> found between the following:</w:t>
      </w:r>
    </w:p>
    <w:p w:rsidR="00524079" w:rsidRDefault="00524079" w:rsidP="00524079">
      <w:pPr>
        <w:pStyle w:val="ListParagraph"/>
        <w:numPr>
          <w:ilvl w:val="1"/>
          <w:numId w:val="26"/>
        </w:numPr>
        <w:rPr>
          <w:rFonts w:ascii="Arial" w:hAnsi="Arial" w:cs="Arial"/>
          <w:color w:val="000000" w:themeColor="text1"/>
        </w:rPr>
      </w:pPr>
      <w:r>
        <w:rPr>
          <w:rFonts w:ascii="Arial" w:hAnsi="Arial" w:cs="Arial"/>
          <w:color w:val="000000" w:themeColor="text1"/>
        </w:rPr>
        <w:t>TEAS Reading Score and Total Review Points (r</w:t>
      </w:r>
      <w:r>
        <w:rPr>
          <w:rFonts w:ascii="Arial" w:hAnsi="Arial" w:cs="Arial"/>
          <w:color w:val="000000" w:themeColor="text1"/>
          <w:vertAlign w:val="subscript"/>
        </w:rPr>
        <w:t>s</w:t>
      </w:r>
      <w:r w:rsidR="00C21D3E">
        <w:rPr>
          <w:rFonts w:ascii="Arial" w:hAnsi="Arial" w:cs="Arial"/>
          <w:color w:val="000000" w:themeColor="text1"/>
        </w:rPr>
        <w:t xml:space="preserve"> = .20</w:t>
      </w:r>
      <w:r>
        <w:rPr>
          <w:rFonts w:ascii="Arial" w:hAnsi="Arial" w:cs="Arial"/>
          <w:color w:val="000000" w:themeColor="text1"/>
        </w:rPr>
        <w:t>, p = .013)</w:t>
      </w:r>
    </w:p>
    <w:p w:rsidR="00524079" w:rsidRDefault="00524079" w:rsidP="00524079">
      <w:pPr>
        <w:pStyle w:val="ListParagraph"/>
        <w:numPr>
          <w:ilvl w:val="1"/>
          <w:numId w:val="26"/>
        </w:numPr>
        <w:rPr>
          <w:rFonts w:ascii="Arial" w:hAnsi="Arial" w:cs="Arial"/>
          <w:color w:val="000000" w:themeColor="text1"/>
        </w:rPr>
      </w:pPr>
      <w:r>
        <w:rPr>
          <w:rFonts w:ascii="Arial" w:hAnsi="Arial" w:cs="Arial"/>
          <w:color w:val="000000" w:themeColor="text1"/>
        </w:rPr>
        <w:t>TEAS English Score and Total Review Points (r</w:t>
      </w:r>
      <w:r>
        <w:rPr>
          <w:rFonts w:ascii="Arial" w:hAnsi="Arial" w:cs="Arial"/>
          <w:color w:val="000000" w:themeColor="text1"/>
          <w:vertAlign w:val="subscript"/>
        </w:rPr>
        <w:t>s</w:t>
      </w:r>
      <w:r>
        <w:rPr>
          <w:rFonts w:ascii="Arial" w:hAnsi="Arial" w:cs="Arial"/>
          <w:color w:val="000000" w:themeColor="text1"/>
        </w:rPr>
        <w:t xml:space="preserve"> = .30, p &lt; .001)</w:t>
      </w:r>
    </w:p>
    <w:p w:rsidR="00524079" w:rsidRPr="00CA5208" w:rsidRDefault="00524079" w:rsidP="00524079">
      <w:pPr>
        <w:pStyle w:val="ListParagraph"/>
        <w:numPr>
          <w:ilvl w:val="1"/>
          <w:numId w:val="26"/>
        </w:numPr>
        <w:rPr>
          <w:rFonts w:ascii="Arial" w:hAnsi="Arial" w:cs="Arial"/>
          <w:color w:val="000000" w:themeColor="text1"/>
        </w:rPr>
      </w:pPr>
      <w:r>
        <w:rPr>
          <w:rFonts w:ascii="Arial" w:hAnsi="Arial" w:cs="Arial"/>
          <w:color w:val="000000" w:themeColor="text1"/>
        </w:rPr>
        <w:t>TEAS Science Score and Total Review Points (r</w:t>
      </w:r>
      <w:r>
        <w:rPr>
          <w:rFonts w:ascii="Arial" w:hAnsi="Arial" w:cs="Arial"/>
          <w:color w:val="000000" w:themeColor="text1"/>
          <w:vertAlign w:val="subscript"/>
        </w:rPr>
        <w:t>s</w:t>
      </w:r>
      <w:r>
        <w:rPr>
          <w:rFonts w:ascii="Arial" w:hAnsi="Arial" w:cs="Arial"/>
          <w:color w:val="000000" w:themeColor="text1"/>
        </w:rPr>
        <w:t xml:space="preserve"> = </w:t>
      </w:r>
      <w:r w:rsidR="00C21D3E">
        <w:rPr>
          <w:rFonts w:ascii="Arial" w:hAnsi="Arial" w:cs="Arial"/>
          <w:color w:val="000000" w:themeColor="text1"/>
        </w:rPr>
        <w:t>.39, p &lt; .001)</w:t>
      </w:r>
      <w:r w:rsidR="00D341BD">
        <w:rPr>
          <w:rFonts w:ascii="Arial" w:hAnsi="Arial" w:cs="Arial"/>
          <w:color w:val="000000" w:themeColor="text1"/>
        </w:rPr>
        <w:t xml:space="preserve"> </w:t>
      </w:r>
    </w:p>
    <w:p w:rsidR="008E01D4" w:rsidRDefault="008E01D4" w:rsidP="004757C7">
      <w:pPr>
        <w:rPr>
          <w:rFonts w:ascii="Arial" w:hAnsi="Arial" w:cs="Arial"/>
          <w:color w:val="000000" w:themeColor="text1"/>
        </w:rPr>
      </w:pPr>
      <w:r>
        <w:rPr>
          <w:rFonts w:ascii="Arial" w:hAnsi="Arial" w:cs="Arial"/>
          <w:color w:val="000000" w:themeColor="text1"/>
        </w:rPr>
        <w:t xml:space="preserve"> </w:t>
      </w:r>
    </w:p>
    <w:p w:rsidR="008E01D4" w:rsidRPr="00CA5208" w:rsidRDefault="008E01D4" w:rsidP="00CA5208">
      <w:pPr>
        <w:pStyle w:val="ListParagraph"/>
        <w:numPr>
          <w:ilvl w:val="0"/>
          <w:numId w:val="26"/>
        </w:numPr>
        <w:rPr>
          <w:rFonts w:ascii="Arial" w:hAnsi="Arial" w:cs="Arial"/>
          <w:color w:val="000000" w:themeColor="text1"/>
        </w:rPr>
      </w:pPr>
      <w:r w:rsidRPr="00CA5208">
        <w:rPr>
          <w:rFonts w:ascii="Arial" w:hAnsi="Arial" w:cs="Arial"/>
          <w:color w:val="000000" w:themeColor="text1"/>
        </w:rPr>
        <w:t>Curriculum reduction:  The program will comply with the state-mandated curriculum reduction to 65 credit hours.</w:t>
      </w:r>
    </w:p>
    <w:p w:rsidR="008E01D4" w:rsidRDefault="008E01D4" w:rsidP="004757C7">
      <w:pPr>
        <w:rPr>
          <w:rFonts w:ascii="Arial" w:hAnsi="Arial" w:cs="Arial"/>
          <w:color w:val="000000" w:themeColor="text1"/>
        </w:rPr>
      </w:pPr>
    </w:p>
    <w:p w:rsidR="008E01D4" w:rsidRPr="00CA5208" w:rsidRDefault="008E01D4" w:rsidP="00CA5208">
      <w:pPr>
        <w:pStyle w:val="ListParagraph"/>
        <w:numPr>
          <w:ilvl w:val="0"/>
          <w:numId w:val="26"/>
        </w:numPr>
        <w:rPr>
          <w:rFonts w:ascii="Arial" w:hAnsi="Arial" w:cs="Arial"/>
          <w:color w:val="000000" w:themeColor="text1"/>
        </w:rPr>
      </w:pPr>
      <w:r w:rsidRPr="00CA5208">
        <w:rPr>
          <w:rFonts w:ascii="Arial" w:hAnsi="Arial" w:cs="Arial"/>
          <w:color w:val="000000" w:themeColor="text1"/>
        </w:rPr>
        <w:t xml:space="preserve">Curriculum revision:  As part of the mandatory curriculum reduction, the program is reviewing the current curriculum and revising content for a more streamlined and logical progression of material.  </w:t>
      </w:r>
    </w:p>
    <w:p w:rsidR="008E01D4" w:rsidRDefault="008E01D4" w:rsidP="008E01D4">
      <w:pPr>
        <w:pStyle w:val="ListParagraph"/>
        <w:numPr>
          <w:ilvl w:val="0"/>
          <w:numId w:val="20"/>
        </w:numPr>
        <w:rPr>
          <w:rFonts w:ascii="Arial" w:hAnsi="Arial" w:cs="Arial"/>
          <w:color w:val="000000" w:themeColor="text1"/>
        </w:rPr>
      </w:pPr>
      <w:r>
        <w:rPr>
          <w:rFonts w:ascii="Arial" w:hAnsi="Arial" w:cs="Arial"/>
          <w:color w:val="000000" w:themeColor="text1"/>
        </w:rPr>
        <w:t>Proposed changes include:</w:t>
      </w:r>
    </w:p>
    <w:p w:rsidR="008E01D4" w:rsidRDefault="008E01D4" w:rsidP="008E01D4">
      <w:pPr>
        <w:pStyle w:val="ListParagraph"/>
        <w:numPr>
          <w:ilvl w:val="1"/>
          <w:numId w:val="20"/>
        </w:numPr>
        <w:rPr>
          <w:rFonts w:ascii="Arial" w:hAnsi="Arial" w:cs="Arial"/>
          <w:color w:val="000000" w:themeColor="text1"/>
        </w:rPr>
      </w:pPr>
      <w:r>
        <w:rPr>
          <w:rFonts w:ascii="Arial" w:hAnsi="Arial" w:cs="Arial"/>
          <w:color w:val="000000" w:themeColor="text1"/>
        </w:rPr>
        <w:t>Requiring BIO 1141 (prerequisite) and BIO 1242 (general education) instead of the current BIO 1121/1222 requirements.</w:t>
      </w:r>
    </w:p>
    <w:p w:rsidR="008E01D4" w:rsidRPr="008E01D4" w:rsidRDefault="008E01D4" w:rsidP="008E01D4">
      <w:pPr>
        <w:pStyle w:val="ListParagraph"/>
        <w:numPr>
          <w:ilvl w:val="1"/>
          <w:numId w:val="20"/>
        </w:numPr>
        <w:rPr>
          <w:rFonts w:ascii="Arial" w:hAnsi="Arial" w:cs="Arial"/>
          <w:color w:val="000000" w:themeColor="text1"/>
        </w:rPr>
      </w:pPr>
      <w:r>
        <w:rPr>
          <w:rFonts w:ascii="Arial" w:hAnsi="Arial" w:cs="Arial"/>
          <w:color w:val="000000" w:themeColor="text1"/>
        </w:rPr>
        <w:t>Revision of PTA 1106 – Intro to PT (prerequisite) to include more information pertaining to program expectations.</w:t>
      </w:r>
    </w:p>
    <w:p w:rsidR="004757C7" w:rsidRPr="00761B84" w:rsidRDefault="004757C7">
      <w:pPr>
        <w:spacing w:after="200" w:line="276" w:lineRule="auto"/>
        <w:rPr>
          <w:rFonts w:ascii="Arial" w:hAnsi="Arial" w:cs="Arial"/>
          <w:color w:val="000000" w:themeColor="text1"/>
        </w:rPr>
      </w:pPr>
    </w:p>
    <w:p w:rsidR="004C52FC" w:rsidRDefault="004C52FC">
      <w:pPr>
        <w:spacing w:after="200" w:line="276" w:lineRule="auto"/>
        <w:rPr>
          <w:rFonts w:ascii="Arial" w:hAnsi="Arial" w:cs="Arial"/>
          <w:b/>
          <w:color w:val="000000" w:themeColor="text1"/>
        </w:rPr>
      </w:pPr>
      <w:r>
        <w:rPr>
          <w:rFonts w:ascii="Arial" w:hAnsi="Arial" w:cs="Arial"/>
          <w:b/>
          <w:color w:val="000000" w:themeColor="text1"/>
        </w:rPr>
        <w:br w:type="page"/>
      </w:r>
    </w:p>
    <w:p w:rsidR="00585766" w:rsidRPr="001D3E1D" w:rsidRDefault="00585766" w:rsidP="001D3E1D">
      <w:pPr>
        <w:rPr>
          <w:rFonts w:ascii="Arial" w:hAnsi="Arial" w:cs="Arial"/>
          <w:b/>
          <w:color w:val="000000" w:themeColor="text1"/>
        </w:rPr>
      </w:pPr>
      <w:r w:rsidRPr="001D3E1D">
        <w:rPr>
          <w:rFonts w:ascii="Arial" w:hAnsi="Arial" w:cs="Arial"/>
          <w:b/>
          <w:color w:val="000000" w:themeColor="text1"/>
        </w:rPr>
        <w:lastRenderedPageBreak/>
        <w:t>Course Success Trend Data</w:t>
      </w:r>
      <w:r w:rsidR="00377D40">
        <w:rPr>
          <w:rFonts w:ascii="Arial" w:hAnsi="Arial" w:cs="Arial"/>
          <w:b/>
          <w:color w:val="000000" w:themeColor="text1"/>
        </w:rPr>
        <w:t xml:space="preserve"> – OVERALL SUMMARY</w:t>
      </w:r>
    </w:p>
    <w:p w:rsidR="00585766" w:rsidRDefault="00585766" w:rsidP="00585766">
      <w:pPr>
        <w:rPr>
          <w:rFonts w:ascii="Arial" w:hAnsi="Arial" w:cs="Arial"/>
          <w:color w:val="000000" w:themeColor="text1"/>
        </w:rPr>
      </w:pPr>
    </w:p>
    <w:p w:rsidR="00637591" w:rsidRDefault="00277D8F" w:rsidP="00585766">
      <w:pPr>
        <w:rPr>
          <w:rFonts w:ascii="Arial" w:hAnsi="Arial" w:cs="Arial"/>
          <w:color w:val="000000" w:themeColor="text1"/>
        </w:rPr>
      </w:pPr>
      <w:r>
        <w:rPr>
          <w:noProof/>
        </w:rPr>
        <w:drawing>
          <wp:inline distT="0" distB="0" distL="0" distR="0" wp14:anchorId="4F1630B7" wp14:editId="3C98B635">
            <wp:extent cx="5943600" cy="2438400"/>
            <wp:effectExtent l="0" t="0" r="0"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C50A91" w:rsidRDefault="00C50A91" w:rsidP="00585766">
      <w:pPr>
        <w:rPr>
          <w:rFonts w:ascii="Arial" w:hAnsi="Arial" w:cs="Arial"/>
          <w:color w:val="000000" w:themeColor="text1"/>
        </w:rPr>
      </w:pPr>
    </w:p>
    <w:p w:rsidR="00C50A91" w:rsidRPr="00585766" w:rsidRDefault="00C50A91" w:rsidP="00585766">
      <w:pPr>
        <w:rPr>
          <w:rFonts w:ascii="Arial" w:hAnsi="Arial" w:cs="Arial"/>
          <w:color w:val="000000" w:themeColor="text1"/>
        </w:rPr>
      </w:pPr>
    </w:p>
    <w:p w:rsidR="00585766" w:rsidRPr="00585766" w:rsidRDefault="00585766" w:rsidP="00585766">
      <w:pPr>
        <w:ind w:left="720"/>
        <w:rPr>
          <w:rFonts w:ascii="Arial" w:hAnsi="Arial" w:cs="Arial"/>
          <w:color w:val="000000" w:themeColor="text1"/>
        </w:rPr>
      </w:pPr>
    </w:p>
    <w:p w:rsidR="001D736E" w:rsidRDefault="001D3E1D" w:rsidP="008258DA">
      <w:pPr>
        <w:rPr>
          <w:rFonts w:ascii="Arial" w:hAnsi="Arial" w:cs="Arial"/>
          <w:color w:val="000000" w:themeColor="text1"/>
        </w:rPr>
      </w:pPr>
      <w:r w:rsidRPr="008258DA">
        <w:rPr>
          <w:rFonts w:ascii="Arial" w:hAnsi="Arial" w:cs="Arial"/>
          <w:color w:val="000000" w:themeColor="text1"/>
        </w:rPr>
        <w:t>Please provide an interpretation and analysis of the Course Success Trend Data (Raw Data is located in Appendix A)</w:t>
      </w:r>
      <w:r w:rsidR="00A201E2">
        <w:rPr>
          <w:rFonts w:ascii="Arial" w:hAnsi="Arial" w:cs="Arial"/>
          <w:color w:val="000000" w:themeColor="text1"/>
        </w:rPr>
        <w:t>.  Looking at the success rate data provided in the Appendix for each course, please discuss trends for high enrollment courses, courses used extensively by other departments, and courses where there have been substantial changes in success.</w:t>
      </w:r>
    </w:p>
    <w:p w:rsidR="00CC582B" w:rsidRDefault="00CC582B" w:rsidP="008258DA">
      <w:pPr>
        <w:rPr>
          <w:rFonts w:ascii="Arial" w:hAnsi="Arial" w:cs="Arial"/>
          <w:color w:val="000000" w:themeColor="text1"/>
        </w:rPr>
      </w:pPr>
    </w:p>
    <w:p w:rsidR="00CA5208" w:rsidRDefault="00CA5208" w:rsidP="00CA5208">
      <w:pPr>
        <w:pStyle w:val="ListParagraph"/>
        <w:numPr>
          <w:ilvl w:val="0"/>
          <w:numId w:val="27"/>
        </w:numPr>
        <w:rPr>
          <w:rFonts w:ascii="Arial" w:hAnsi="Arial" w:cs="Arial"/>
          <w:color w:val="000000" w:themeColor="text1"/>
        </w:rPr>
      </w:pPr>
      <w:r>
        <w:rPr>
          <w:rFonts w:ascii="Arial" w:hAnsi="Arial" w:cs="Arial"/>
          <w:color w:val="000000" w:themeColor="text1"/>
        </w:rPr>
        <w:t xml:space="preserve">High enrollment course:  PTA 1106 – Introduction to Physical Therapy is a prerequisite course and the only PTA course that helps to increase enrollment.  Success rates in this course have improved overall from AY 07-08 to AY 13-14.  This course has been revised several times to ensure students are being exposed to current material relevant to clinical practice.  We believe further revisions can be made to provide students even more information pertaining to program expectations.  </w:t>
      </w:r>
    </w:p>
    <w:p w:rsidR="002C5C9C" w:rsidRPr="002C5C9C" w:rsidRDefault="00CA5208" w:rsidP="002C5C9C">
      <w:pPr>
        <w:pStyle w:val="ListParagraph"/>
        <w:numPr>
          <w:ilvl w:val="0"/>
          <w:numId w:val="27"/>
        </w:numPr>
        <w:rPr>
          <w:rFonts w:ascii="Arial" w:hAnsi="Arial" w:cs="Arial"/>
          <w:color w:val="000000" w:themeColor="text1"/>
        </w:rPr>
      </w:pPr>
      <w:r>
        <w:rPr>
          <w:rFonts w:ascii="Arial" w:hAnsi="Arial" w:cs="Arial"/>
          <w:color w:val="000000" w:themeColor="text1"/>
        </w:rPr>
        <w:t>Substantial changes in success:  PTA 1116 – Anatomy and Kinesiology is a course occurring in the first term of the program and historically has had high attrition rates due to the rigor and difficulty of the material.  Success rates jumped from 74% in AY 12-13 to 96% in AY 13-14.</w:t>
      </w:r>
      <w:r w:rsidR="00DF6676">
        <w:rPr>
          <w:rFonts w:ascii="Arial" w:hAnsi="Arial" w:cs="Arial"/>
          <w:color w:val="000000" w:themeColor="text1"/>
        </w:rPr>
        <w:t xml:space="preserve">  One reason for the change in success rate in AY 13-14 could be that ~50% of the class was determined using competitive selection, while the remaining students were the last of the protected students from the wait list.</w:t>
      </w:r>
    </w:p>
    <w:p w:rsidR="00203021" w:rsidRDefault="00203021" w:rsidP="00203021">
      <w:pPr>
        <w:pStyle w:val="ListParagraph"/>
        <w:numPr>
          <w:ilvl w:val="0"/>
          <w:numId w:val="27"/>
        </w:numPr>
        <w:rPr>
          <w:rFonts w:ascii="Arial" w:hAnsi="Arial" w:cs="Arial"/>
          <w:color w:val="000000" w:themeColor="text1"/>
        </w:rPr>
      </w:pPr>
      <w:r>
        <w:rPr>
          <w:rFonts w:ascii="Arial" w:hAnsi="Arial" w:cs="Arial"/>
          <w:color w:val="000000" w:themeColor="text1"/>
        </w:rPr>
        <w:t>Attrition in the first term is trending toward more personal reasons, rather than academic.  See graph below.</w:t>
      </w:r>
    </w:p>
    <w:p w:rsidR="00203021" w:rsidRDefault="00203021" w:rsidP="00203021">
      <w:pPr>
        <w:rPr>
          <w:rFonts w:ascii="Arial" w:hAnsi="Arial" w:cs="Arial"/>
          <w:color w:val="000000" w:themeColor="text1"/>
        </w:rPr>
      </w:pPr>
    </w:p>
    <w:p w:rsidR="00203021" w:rsidRDefault="00794893" w:rsidP="00203021">
      <w:pPr>
        <w:rPr>
          <w:noProof/>
        </w:rPr>
      </w:pPr>
      <w:r>
        <w:rPr>
          <w:noProof/>
        </w:rPr>
        <w:lastRenderedPageBreak/>
        <w:drawing>
          <wp:inline distT="0" distB="0" distL="0" distR="0" wp14:anchorId="35381C38" wp14:editId="320726C4">
            <wp:extent cx="4572000" cy="2743200"/>
            <wp:effectExtent l="0" t="0" r="0" b="0"/>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633C41" w:rsidRPr="00203021" w:rsidRDefault="00633C41" w:rsidP="00203021">
      <w:pPr>
        <w:rPr>
          <w:rFonts w:ascii="Arial" w:hAnsi="Arial" w:cs="Arial"/>
          <w:color w:val="000000" w:themeColor="text1"/>
        </w:rPr>
      </w:pPr>
    </w:p>
    <w:p w:rsidR="008258DA" w:rsidRDefault="008258DA" w:rsidP="008258DA">
      <w:pPr>
        <w:rPr>
          <w:rFonts w:ascii="Arial" w:hAnsi="Arial" w:cs="Arial"/>
          <w:color w:val="000000" w:themeColor="text1"/>
        </w:rPr>
      </w:pPr>
    </w:p>
    <w:p w:rsidR="0037786D" w:rsidRDefault="001D3E1D" w:rsidP="008258DA">
      <w:pPr>
        <w:rPr>
          <w:rFonts w:ascii="Arial" w:hAnsi="Arial" w:cs="Arial"/>
          <w:color w:val="000000" w:themeColor="text1"/>
        </w:rPr>
      </w:pPr>
      <w:r w:rsidRPr="008258DA">
        <w:rPr>
          <w:rFonts w:ascii="Arial" w:hAnsi="Arial" w:cs="Arial"/>
          <w:color w:val="000000" w:themeColor="text1"/>
        </w:rPr>
        <w:t>Please provide a</w:t>
      </w:r>
      <w:r w:rsidR="00CD2613" w:rsidRPr="008258DA">
        <w:rPr>
          <w:rFonts w:ascii="Arial" w:hAnsi="Arial" w:cs="Arial"/>
          <w:color w:val="000000" w:themeColor="text1"/>
        </w:rPr>
        <w:t>ny additional data</w:t>
      </w:r>
      <w:r w:rsidRPr="008258DA">
        <w:rPr>
          <w:rFonts w:ascii="Arial" w:hAnsi="Arial" w:cs="Arial"/>
          <w:color w:val="000000" w:themeColor="text1"/>
        </w:rPr>
        <w:t xml:space="preserve"> and analysis</w:t>
      </w:r>
      <w:r w:rsidR="00CD2613" w:rsidRPr="008258DA">
        <w:rPr>
          <w:rFonts w:ascii="Arial" w:hAnsi="Arial" w:cs="Arial"/>
          <w:color w:val="000000" w:themeColor="text1"/>
        </w:rPr>
        <w:t xml:space="preserve"> that illustrates what is going on in the </w:t>
      </w:r>
      <w:r w:rsidR="001C42D0" w:rsidRPr="008258DA">
        <w:rPr>
          <w:rFonts w:ascii="Arial" w:hAnsi="Arial" w:cs="Arial"/>
          <w:color w:val="000000" w:themeColor="text1"/>
        </w:rPr>
        <w:t xml:space="preserve">department </w:t>
      </w:r>
      <w:r w:rsidR="00CD2613" w:rsidRPr="008258DA">
        <w:rPr>
          <w:rFonts w:ascii="Arial" w:hAnsi="Arial" w:cs="Arial"/>
          <w:color w:val="000000" w:themeColor="text1"/>
        </w:rPr>
        <w:t>(examples might include</w:t>
      </w:r>
      <w:r w:rsidR="00F37373" w:rsidRPr="008258DA">
        <w:rPr>
          <w:rFonts w:ascii="Arial" w:hAnsi="Arial" w:cs="Arial"/>
          <w:color w:val="000000" w:themeColor="text1"/>
        </w:rPr>
        <w:t xml:space="preserve"> accreditation data</w:t>
      </w:r>
      <w:r w:rsidR="001D736E" w:rsidRPr="008258DA">
        <w:rPr>
          <w:rFonts w:ascii="Arial" w:hAnsi="Arial" w:cs="Arial"/>
          <w:color w:val="000000" w:themeColor="text1"/>
        </w:rPr>
        <w:t xml:space="preserve">, </w:t>
      </w:r>
      <w:r w:rsidR="001C42D0" w:rsidRPr="008258DA">
        <w:rPr>
          <w:rFonts w:ascii="Arial" w:hAnsi="Arial" w:cs="Arial"/>
          <w:color w:val="000000" w:themeColor="text1"/>
        </w:rPr>
        <w:t xml:space="preserve">program data, </w:t>
      </w:r>
      <w:r w:rsidR="008B52A0" w:rsidRPr="008258DA">
        <w:rPr>
          <w:rFonts w:ascii="Arial" w:hAnsi="Arial" w:cs="Arial"/>
          <w:color w:val="000000" w:themeColor="text1"/>
        </w:rPr>
        <w:t xml:space="preserve">benchmark data from national exams, </w:t>
      </w:r>
      <w:r w:rsidR="00CD2613" w:rsidRPr="008258DA">
        <w:rPr>
          <w:rFonts w:ascii="Arial" w:hAnsi="Arial" w:cs="Arial"/>
          <w:color w:val="000000" w:themeColor="text1"/>
        </w:rPr>
        <w:t>course sequence completion, retention, demographic data, data on placement of graduates, graduate survey data, etc.)</w:t>
      </w:r>
    </w:p>
    <w:p w:rsidR="00CC582B" w:rsidRPr="008258DA" w:rsidRDefault="00CC582B" w:rsidP="008258DA">
      <w:pPr>
        <w:rPr>
          <w:rFonts w:ascii="Arial" w:hAnsi="Arial" w:cs="Arial"/>
          <w:color w:val="000000" w:themeColor="text1"/>
        </w:rPr>
      </w:pPr>
    </w:p>
    <w:p w:rsidR="002C5C9C" w:rsidRDefault="002C5C9C" w:rsidP="002C5C9C">
      <w:pPr>
        <w:pStyle w:val="ListParagraph"/>
        <w:numPr>
          <w:ilvl w:val="0"/>
          <w:numId w:val="28"/>
        </w:numPr>
        <w:rPr>
          <w:rFonts w:ascii="Arial" w:hAnsi="Arial" w:cs="Arial"/>
          <w:color w:val="000000" w:themeColor="text1"/>
        </w:rPr>
      </w:pPr>
      <w:r>
        <w:rPr>
          <w:rFonts w:ascii="Arial" w:hAnsi="Arial" w:cs="Arial"/>
          <w:color w:val="000000" w:themeColor="text1"/>
        </w:rPr>
        <w:t>Graduate/Licensure/Employment Rates:</w:t>
      </w:r>
    </w:p>
    <w:p w:rsidR="00DF6676" w:rsidRDefault="00DF6676" w:rsidP="00DF6676">
      <w:pPr>
        <w:rPr>
          <w:rFonts w:ascii="Arial" w:hAnsi="Arial" w:cs="Arial"/>
          <w:color w:val="000000" w:themeColor="text1"/>
        </w:rPr>
      </w:pPr>
    </w:p>
    <w:p w:rsidR="00DF6676" w:rsidRDefault="00DF6676" w:rsidP="00DF6676">
      <w:pPr>
        <w:rPr>
          <w:rFonts w:ascii="Arial" w:hAnsi="Arial" w:cs="Arial"/>
          <w:color w:val="000000" w:themeColor="text1"/>
        </w:rPr>
      </w:pPr>
      <w:r>
        <w:rPr>
          <w:rFonts w:ascii="Arial" w:hAnsi="Arial" w:cs="Arial"/>
          <w:color w:val="000000" w:themeColor="text1"/>
        </w:rPr>
        <w:t xml:space="preserve">The Grad Rate includes both individuals who graduated on time and those requiring more time.  The Licensure Exam Pass Rate is the ultimate pass rate.  The Employment Rate (of Licensed Grads) includes those individuals we have been able to get in contact with.  </w:t>
      </w:r>
    </w:p>
    <w:p w:rsidR="00DF6676" w:rsidRPr="00DF6676" w:rsidRDefault="00DF6676" w:rsidP="00DF6676">
      <w:pPr>
        <w:rPr>
          <w:rFonts w:ascii="Arial" w:hAnsi="Arial" w:cs="Arial"/>
          <w:color w:val="000000" w:themeColor="text1"/>
        </w:rPr>
      </w:pPr>
    </w:p>
    <w:p w:rsidR="002C5C9C" w:rsidRDefault="002C5C9C" w:rsidP="002C5C9C">
      <w:pPr>
        <w:rPr>
          <w:rFonts w:ascii="Arial" w:hAnsi="Arial" w:cs="Arial"/>
          <w:color w:val="000000" w:themeColor="text1"/>
        </w:rPr>
      </w:pPr>
    </w:p>
    <w:p w:rsidR="002C5C9C" w:rsidRDefault="002C5C9C" w:rsidP="002C5C9C">
      <w:pPr>
        <w:rPr>
          <w:rFonts w:ascii="Arial" w:hAnsi="Arial" w:cs="Arial"/>
          <w:color w:val="000000" w:themeColor="text1"/>
        </w:rPr>
      </w:pPr>
      <w:r>
        <w:rPr>
          <w:noProof/>
        </w:rPr>
        <w:drawing>
          <wp:inline distT="0" distB="0" distL="0" distR="0" wp14:anchorId="35B7F72F" wp14:editId="6D929798">
            <wp:extent cx="4298400" cy="2196000"/>
            <wp:effectExtent l="0" t="0" r="6985" b="1397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2C5C9C" w:rsidRDefault="002C5C9C" w:rsidP="002C5C9C">
      <w:pPr>
        <w:rPr>
          <w:noProof/>
        </w:rPr>
      </w:pPr>
    </w:p>
    <w:p w:rsidR="002C5C9C" w:rsidRDefault="004205E1" w:rsidP="002C5C9C">
      <w:pPr>
        <w:rPr>
          <w:rFonts w:ascii="Arial" w:hAnsi="Arial" w:cs="Arial"/>
          <w:color w:val="000000" w:themeColor="text1"/>
        </w:rPr>
      </w:pPr>
      <w:r>
        <w:rPr>
          <w:noProof/>
        </w:rPr>
        <w:lastRenderedPageBreak/>
        <w:drawing>
          <wp:inline distT="0" distB="0" distL="0" distR="0" wp14:anchorId="78ADA1E1" wp14:editId="788EDF4F">
            <wp:extent cx="4200525" cy="2276475"/>
            <wp:effectExtent l="0" t="0" r="9525" b="9525"/>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2C5C9C" w:rsidRPr="002C5C9C" w:rsidRDefault="002C5C9C" w:rsidP="002C5C9C">
      <w:pPr>
        <w:rPr>
          <w:rFonts w:ascii="Arial" w:hAnsi="Arial" w:cs="Arial"/>
          <w:color w:val="000000" w:themeColor="text1"/>
        </w:rPr>
      </w:pPr>
    </w:p>
    <w:p w:rsidR="002C5C9C" w:rsidRDefault="002C5C9C" w:rsidP="006E68B6">
      <w:pPr>
        <w:rPr>
          <w:rFonts w:ascii="Arial" w:hAnsi="Arial" w:cs="Arial"/>
          <w:color w:val="000000" w:themeColor="text1"/>
        </w:rPr>
      </w:pPr>
    </w:p>
    <w:p w:rsidR="002C5C9C" w:rsidRDefault="002C5C9C" w:rsidP="006E68B6">
      <w:pPr>
        <w:rPr>
          <w:rFonts w:ascii="Arial" w:hAnsi="Arial" w:cs="Arial"/>
          <w:color w:val="000000" w:themeColor="text1"/>
        </w:rPr>
      </w:pPr>
    </w:p>
    <w:p w:rsidR="0038079E" w:rsidRDefault="0038079E" w:rsidP="002C5C9C">
      <w:pPr>
        <w:pStyle w:val="ListParagraph"/>
        <w:numPr>
          <w:ilvl w:val="0"/>
          <w:numId w:val="28"/>
        </w:numPr>
        <w:rPr>
          <w:rFonts w:ascii="Arial" w:hAnsi="Arial" w:cs="Arial"/>
          <w:color w:val="000000" w:themeColor="text1"/>
        </w:rPr>
      </w:pPr>
      <w:r>
        <w:rPr>
          <w:rFonts w:ascii="Arial" w:hAnsi="Arial" w:cs="Arial"/>
          <w:color w:val="000000" w:themeColor="text1"/>
        </w:rPr>
        <w:t xml:space="preserve">See </w:t>
      </w:r>
      <w:r w:rsidR="00167DC4">
        <w:rPr>
          <w:rFonts w:ascii="Arial" w:hAnsi="Arial" w:cs="Arial"/>
          <w:color w:val="000000" w:themeColor="text1"/>
        </w:rPr>
        <w:t>hyperlinks</w:t>
      </w:r>
      <w:r>
        <w:rPr>
          <w:rFonts w:ascii="Arial" w:hAnsi="Arial" w:cs="Arial"/>
          <w:color w:val="000000" w:themeColor="text1"/>
        </w:rPr>
        <w:t>:</w:t>
      </w:r>
    </w:p>
    <w:p w:rsidR="004C52FC" w:rsidRDefault="00524079" w:rsidP="0038079E">
      <w:pPr>
        <w:pStyle w:val="ListParagraph"/>
        <w:numPr>
          <w:ilvl w:val="1"/>
          <w:numId w:val="28"/>
        </w:numPr>
        <w:rPr>
          <w:rFonts w:ascii="Arial" w:hAnsi="Arial" w:cs="Arial"/>
          <w:color w:val="000000" w:themeColor="text1"/>
        </w:rPr>
      </w:pPr>
      <w:hyperlink w:anchor="ProgramsOutcomeData" w:history="1">
        <w:r w:rsidR="005E6F4A" w:rsidRPr="00167DC4">
          <w:rPr>
            <w:rStyle w:val="Hyperlink"/>
            <w:rFonts w:ascii="Arial" w:hAnsi="Arial" w:cs="Arial"/>
          </w:rPr>
          <w:t>PTA Program Out</w:t>
        </w:r>
        <w:r w:rsidR="005E6F4A" w:rsidRPr="00167DC4">
          <w:rPr>
            <w:rStyle w:val="Hyperlink"/>
            <w:rFonts w:ascii="Arial" w:hAnsi="Arial" w:cs="Arial"/>
          </w:rPr>
          <w:t>c</w:t>
        </w:r>
        <w:r w:rsidR="005E6F4A" w:rsidRPr="00167DC4">
          <w:rPr>
            <w:rStyle w:val="Hyperlink"/>
            <w:rFonts w:ascii="Arial" w:hAnsi="Arial" w:cs="Arial"/>
          </w:rPr>
          <w:t xml:space="preserve">omes </w:t>
        </w:r>
        <w:r w:rsidR="00A503D8" w:rsidRPr="00167DC4">
          <w:rPr>
            <w:rStyle w:val="Hyperlink"/>
            <w:rFonts w:ascii="Arial" w:hAnsi="Arial" w:cs="Arial"/>
          </w:rPr>
          <w:t>Data</w:t>
        </w:r>
      </w:hyperlink>
      <w:r w:rsidR="005E6F4A" w:rsidRPr="002C5C9C">
        <w:rPr>
          <w:rFonts w:ascii="Arial" w:hAnsi="Arial" w:cs="Arial"/>
          <w:color w:val="000000" w:themeColor="text1"/>
        </w:rPr>
        <w:t xml:space="preserve"> (Graduate Survey data, Clinical Performance Instrument data)</w:t>
      </w:r>
    </w:p>
    <w:p w:rsidR="0038079E" w:rsidRDefault="00524079" w:rsidP="0038079E">
      <w:pPr>
        <w:pStyle w:val="ListParagraph"/>
        <w:numPr>
          <w:ilvl w:val="1"/>
          <w:numId w:val="28"/>
        </w:numPr>
        <w:rPr>
          <w:rFonts w:ascii="Arial" w:hAnsi="Arial" w:cs="Arial"/>
          <w:color w:val="000000" w:themeColor="text1"/>
        </w:rPr>
      </w:pPr>
      <w:hyperlink w:anchor="AttritionData" w:history="1">
        <w:r w:rsidR="0038079E" w:rsidRPr="00167DC4">
          <w:rPr>
            <w:rStyle w:val="Hyperlink"/>
            <w:rFonts w:ascii="Arial" w:hAnsi="Arial" w:cs="Arial"/>
          </w:rPr>
          <w:t>PTA Program Attrition Data 2012-2015</w:t>
        </w:r>
      </w:hyperlink>
    </w:p>
    <w:p w:rsidR="00167DC4" w:rsidRDefault="00524079" w:rsidP="0038079E">
      <w:pPr>
        <w:pStyle w:val="ListParagraph"/>
        <w:numPr>
          <w:ilvl w:val="1"/>
          <w:numId w:val="28"/>
        </w:numPr>
        <w:rPr>
          <w:rFonts w:ascii="Arial" w:hAnsi="Arial" w:cs="Arial"/>
          <w:color w:val="000000" w:themeColor="text1"/>
        </w:rPr>
      </w:pPr>
      <w:hyperlink w:anchor="ANOVA" w:history="1">
        <w:r w:rsidR="00167DC4" w:rsidRPr="00167DC4">
          <w:rPr>
            <w:rStyle w:val="Hyperlink"/>
            <w:rFonts w:ascii="Arial" w:hAnsi="Arial" w:cs="Arial"/>
          </w:rPr>
          <w:t>1116 ANOVA and T-Test</w:t>
        </w:r>
      </w:hyperlink>
    </w:p>
    <w:p w:rsidR="00167DC4" w:rsidRDefault="00167DC4" w:rsidP="00167DC4">
      <w:pPr>
        <w:pStyle w:val="ListParagraph"/>
        <w:numPr>
          <w:ilvl w:val="0"/>
          <w:numId w:val="28"/>
        </w:numPr>
        <w:rPr>
          <w:rFonts w:ascii="Arial" w:hAnsi="Arial" w:cs="Arial"/>
          <w:color w:val="000000" w:themeColor="text1"/>
        </w:rPr>
      </w:pPr>
      <w:r>
        <w:rPr>
          <w:rFonts w:ascii="Arial" w:hAnsi="Arial" w:cs="Arial"/>
          <w:color w:val="000000" w:themeColor="text1"/>
        </w:rPr>
        <w:t>See attached:</w:t>
      </w:r>
    </w:p>
    <w:p w:rsidR="00FA0275" w:rsidRDefault="004E7E99" w:rsidP="0038079E">
      <w:pPr>
        <w:pStyle w:val="ListParagraph"/>
        <w:numPr>
          <w:ilvl w:val="1"/>
          <w:numId w:val="28"/>
        </w:numPr>
        <w:rPr>
          <w:rFonts w:ascii="Arial" w:hAnsi="Arial" w:cs="Arial"/>
          <w:color w:val="000000" w:themeColor="text1"/>
        </w:rPr>
      </w:pPr>
      <w:r>
        <w:rPr>
          <w:rFonts w:ascii="Arial" w:hAnsi="Arial" w:cs="Arial"/>
          <w:color w:val="000000" w:themeColor="text1"/>
        </w:rPr>
        <w:t>Transcript Review Report – Class of 2015</w:t>
      </w:r>
    </w:p>
    <w:p w:rsidR="004E7E99" w:rsidRDefault="004E7E99" w:rsidP="0038079E">
      <w:pPr>
        <w:pStyle w:val="ListParagraph"/>
        <w:numPr>
          <w:ilvl w:val="1"/>
          <w:numId w:val="28"/>
        </w:numPr>
        <w:rPr>
          <w:rFonts w:ascii="Arial" w:hAnsi="Arial" w:cs="Arial"/>
          <w:color w:val="000000" w:themeColor="text1"/>
        </w:rPr>
      </w:pPr>
      <w:r>
        <w:rPr>
          <w:rFonts w:ascii="Arial" w:hAnsi="Arial" w:cs="Arial"/>
          <w:color w:val="000000" w:themeColor="text1"/>
        </w:rPr>
        <w:t>Transcript Review Report – Class of 2016</w:t>
      </w:r>
    </w:p>
    <w:p w:rsidR="007A14C4" w:rsidRDefault="007A14C4" w:rsidP="0038079E">
      <w:pPr>
        <w:pStyle w:val="ListParagraph"/>
        <w:numPr>
          <w:ilvl w:val="1"/>
          <w:numId w:val="28"/>
        </w:numPr>
        <w:rPr>
          <w:rFonts w:ascii="Arial" w:hAnsi="Arial" w:cs="Arial"/>
          <w:color w:val="000000" w:themeColor="text1"/>
        </w:rPr>
      </w:pPr>
      <w:r>
        <w:rPr>
          <w:rFonts w:ascii="Arial" w:hAnsi="Arial" w:cs="Arial"/>
          <w:color w:val="000000" w:themeColor="text1"/>
        </w:rPr>
        <w:t>Transcript Review Report – Class of 2017</w:t>
      </w:r>
    </w:p>
    <w:p w:rsidR="004E7E99" w:rsidRDefault="00674F12" w:rsidP="0038079E">
      <w:pPr>
        <w:pStyle w:val="ListParagraph"/>
        <w:numPr>
          <w:ilvl w:val="1"/>
          <w:numId w:val="28"/>
        </w:numPr>
        <w:rPr>
          <w:rFonts w:ascii="Arial" w:hAnsi="Arial" w:cs="Arial"/>
          <w:color w:val="000000" w:themeColor="text1"/>
        </w:rPr>
      </w:pPr>
      <w:r>
        <w:rPr>
          <w:rFonts w:ascii="Arial" w:hAnsi="Arial" w:cs="Arial"/>
          <w:color w:val="000000" w:themeColor="text1"/>
        </w:rPr>
        <w:t>Test of Essential Academic Skills (TEAS) Data</w:t>
      </w:r>
    </w:p>
    <w:p w:rsidR="00FA0275" w:rsidRDefault="00FA0275" w:rsidP="00FA0275">
      <w:pPr>
        <w:pStyle w:val="ListParagraph"/>
        <w:ind w:left="1440"/>
        <w:rPr>
          <w:rFonts w:ascii="Arial" w:hAnsi="Arial" w:cs="Arial"/>
          <w:color w:val="000000" w:themeColor="text1"/>
        </w:rPr>
      </w:pPr>
    </w:p>
    <w:p w:rsidR="0038079E" w:rsidRDefault="0038079E" w:rsidP="0038079E">
      <w:pPr>
        <w:pStyle w:val="ListParagraph"/>
        <w:ind w:left="1440"/>
        <w:rPr>
          <w:rFonts w:ascii="Arial" w:hAnsi="Arial" w:cs="Arial"/>
          <w:color w:val="000000" w:themeColor="text1"/>
        </w:rPr>
      </w:pPr>
    </w:p>
    <w:p w:rsidR="0038079E" w:rsidRPr="002C5C9C" w:rsidRDefault="0038079E" w:rsidP="0038079E">
      <w:pPr>
        <w:pStyle w:val="ListParagraph"/>
        <w:rPr>
          <w:rFonts w:ascii="Arial" w:hAnsi="Arial" w:cs="Arial"/>
          <w:color w:val="000000" w:themeColor="text1"/>
        </w:rPr>
      </w:pPr>
    </w:p>
    <w:p w:rsidR="004C52FC" w:rsidRDefault="004C52FC" w:rsidP="00377D40">
      <w:pPr>
        <w:spacing w:after="200" w:line="276" w:lineRule="auto"/>
        <w:rPr>
          <w:rFonts w:ascii="Arial" w:hAnsi="Arial" w:cs="Arial"/>
          <w:color w:val="000000" w:themeColor="text1"/>
        </w:rPr>
      </w:pPr>
      <w:bookmarkStart w:id="0" w:name="_GoBack"/>
      <w:bookmarkEnd w:id="0"/>
    </w:p>
    <w:p w:rsidR="001A2E6B" w:rsidRDefault="001A2E6B" w:rsidP="001A2E6B">
      <w:pPr>
        <w:pStyle w:val="ListParagraph"/>
        <w:tabs>
          <w:tab w:val="left" w:pos="5040"/>
        </w:tabs>
        <w:ind w:left="0"/>
        <w:rPr>
          <w:rFonts w:ascii="Arial" w:hAnsi="Arial" w:cs="Arial"/>
          <w:color w:val="000000" w:themeColor="text1"/>
        </w:rPr>
      </w:pPr>
    </w:p>
    <w:p w:rsidR="001A2E6B" w:rsidRDefault="001A2E6B" w:rsidP="00377D40">
      <w:pPr>
        <w:spacing w:after="200" w:line="276" w:lineRule="auto"/>
        <w:rPr>
          <w:rFonts w:ascii="Arial" w:hAnsi="Arial" w:cs="Arial"/>
          <w:color w:val="000000" w:themeColor="text1"/>
        </w:rPr>
        <w:sectPr w:rsidR="001A2E6B" w:rsidSect="00D708C3">
          <w:footerReference w:type="default" r:id="rId13"/>
          <w:pgSz w:w="12240" w:h="15840"/>
          <w:pgMar w:top="1152" w:right="1440" w:bottom="1152" w:left="1440" w:header="720" w:footer="288" w:gutter="0"/>
          <w:cols w:space="720"/>
          <w:docGrid w:linePitch="360"/>
        </w:sectPr>
      </w:pPr>
    </w:p>
    <w:p w:rsidR="00F0239E" w:rsidRDefault="00BC6C11" w:rsidP="00377D40">
      <w:pPr>
        <w:spacing w:after="200" w:line="276" w:lineRule="auto"/>
        <w:rPr>
          <w:rFonts w:ascii="Arial" w:hAnsi="Arial" w:cs="Arial"/>
          <w:b/>
          <w:color w:val="000000" w:themeColor="text1"/>
          <w:u w:val="single"/>
        </w:rPr>
      </w:pPr>
      <w:r w:rsidRPr="00CD2613">
        <w:rPr>
          <w:rFonts w:ascii="Arial" w:hAnsi="Arial" w:cs="Arial"/>
          <w:b/>
          <w:color w:val="000000" w:themeColor="text1"/>
          <w:u w:val="single"/>
        </w:rPr>
        <w:lastRenderedPageBreak/>
        <w:t>S</w:t>
      </w:r>
      <w:r w:rsidR="00F0239E" w:rsidRPr="00CD2613">
        <w:rPr>
          <w:rFonts w:ascii="Arial" w:hAnsi="Arial" w:cs="Arial"/>
          <w:b/>
          <w:color w:val="000000" w:themeColor="text1"/>
          <w:u w:val="single"/>
        </w:rPr>
        <w:t xml:space="preserve">ection II:  </w:t>
      </w:r>
      <w:r w:rsidR="00B81607" w:rsidRPr="00CD2613">
        <w:rPr>
          <w:rFonts w:ascii="Arial" w:hAnsi="Arial" w:cs="Arial"/>
          <w:b/>
          <w:color w:val="000000" w:themeColor="text1"/>
          <w:u w:val="single"/>
        </w:rPr>
        <w:t xml:space="preserve">Progress Since the Most Recent </w:t>
      </w:r>
      <w:r w:rsidR="00F0239E" w:rsidRPr="00CD2613">
        <w:rPr>
          <w:rFonts w:ascii="Arial" w:hAnsi="Arial" w:cs="Arial"/>
          <w:b/>
          <w:color w:val="000000" w:themeColor="text1"/>
          <w:u w:val="single"/>
        </w:rPr>
        <w:t>Review</w:t>
      </w:r>
    </w:p>
    <w:p w:rsidR="001D736E" w:rsidRPr="00CD2613" w:rsidRDefault="001D736E" w:rsidP="00CD2613">
      <w:pPr>
        <w:pStyle w:val="ListParagraph"/>
        <w:ind w:left="0"/>
        <w:rPr>
          <w:rFonts w:ascii="Arial" w:hAnsi="Arial" w:cs="Arial"/>
          <w:b/>
          <w:color w:val="000000" w:themeColor="text1"/>
          <w:u w:val="single"/>
        </w:rPr>
      </w:pPr>
    </w:p>
    <w:p w:rsidR="0094204C" w:rsidRPr="008258DA" w:rsidRDefault="00190F5C" w:rsidP="008258DA">
      <w:pPr>
        <w:tabs>
          <w:tab w:val="left" w:pos="504"/>
        </w:tabs>
        <w:spacing w:after="120"/>
        <w:rPr>
          <w:rFonts w:ascii="Arial" w:hAnsi="Arial" w:cs="Arial"/>
          <w:color w:val="000000" w:themeColor="text1"/>
        </w:rPr>
      </w:pPr>
      <w:r w:rsidRPr="008258DA">
        <w:rPr>
          <w:rFonts w:ascii="Arial" w:hAnsi="Arial" w:cs="Arial"/>
          <w:color w:val="000000" w:themeColor="text1"/>
        </w:rPr>
        <w:t>Below are the goal</w:t>
      </w:r>
      <w:r w:rsidR="000337E6" w:rsidRPr="008258DA">
        <w:rPr>
          <w:rFonts w:ascii="Arial" w:hAnsi="Arial" w:cs="Arial"/>
          <w:color w:val="000000" w:themeColor="text1"/>
        </w:rPr>
        <w:t xml:space="preserve">s </w:t>
      </w:r>
      <w:r w:rsidR="004C7DB2" w:rsidRPr="008258DA">
        <w:rPr>
          <w:rFonts w:ascii="Arial" w:hAnsi="Arial" w:cs="Arial"/>
          <w:color w:val="000000" w:themeColor="text1"/>
        </w:rPr>
        <w:t>from</w:t>
      </w:r>
      <w:r w:rsidR="000337E6" w:rsidRPr="008258DA">
        <w:rPr>
          <w:rFonts w:ascii="Arial" w:hAnsi="Arial" w:cs="Arial"/>
          <w:color w:val="000000" w:themeColor="text1"/>
        </w:rPr>
        <w:t xml:space="preserve"> Section IV part E of </w:t>
      </w:r>
      <w:r w:rsidRPr="008258DA">
        <w:rPr>
          <w:rFonts w:ascii="Arial" w:hAnsi="Arial" w:cs="Arial"/>
          <w:color w:val="000000" w:themeColor="text1"/>
        </w:rPr>
        <w:t xml:space="preserve">your </w:t>
      </w:r>
      <w:r w:rsidR="0037786D" w:rsidRPr="008258DA">
        <w:rPr>
          <w:rFonts w:ascii="Arial" w:hAnsi="Arial" w:cs="Arial"/>
          <w:color w:val="000000" w:themeColor="text1"/>
        </w:rPr>
        <w:t xml:space="preserve">last </w:t>
      </w:r>
      <w:r w:rsidR="000337E6" w:rsidRPr="008258DA">
        <w:rPr>
          <w:rFonts w:ascii="Arial" w:hAnsi="Arial" w:cs="Arial"/>
          <w:color w:val="000000" w:themeColor="text1"/>
        </w:rPr>
        <w:t>Program Review Self-Study</w:t>
      </w:r>
      <w:r w:rsidRPr="008258DA">
        <w:rPr>
          <w:rFonts w:ascii="Arial" w:hAnsi="Arial" w:cs="Arial"/>
          <w:color w:val="000000" w:themeColor="text1"/>
        </w:rPr>
        <w:t>.  D</w:t>
      </w:r>
      <w:r w:rsidR="004C7DB2" w:rsidRPr="008258DA">
        <w:rPr>
          <w:rFonts w:ascii="Arial" w:hAnsi="Arial" w:cs="Arial"/>
          <w:color w:val="000000" w:themeColor="text1"/>
        </w:rPr>
        <w:t>escribe progress or changes made toward meeting each goal</w:t>
      </w:r>
      <w:r w:rsidR="00E642B3" w:rsidRPr="008258DA">
        <w:rPr>
          <w:rFonts w:ascii="Arial" w:hAnsi="Arial" w:cs="Arial"/>
          <w:color w:val="000000" w:themeColor="text1"/>
        </w:rPr>
        <w:t xml:space="preserve"> over the last year</w:t>
      </w:r>
      <w:r w:rsidR="004C7DB2" w:rsidRPr="008258DA">
        <w:rPr>
          <w:rFonts w:ascii="Arial" w:hAnsi="Arial" w:cs="Arial"/>
          <w:color w:val="000000" w:themeColor="text1"/>
        </w:rPr>
        <w:t>.</w:t>
      </w:r>
    </w:p>
    <w:tbl>
      <w:tblPr>
        <w:tblStyle w:val="TableGrid"/>
        <w:tblW w:w="13230" w:type="dxa"/>
        <w:tblInd w:w="18" w:type="dxa"/>
        <w:tblLayout w:type="fixed"/>
        <w:tblCellMar>
          <w:left w:w="115" w:type="dxa"/>
          <w:right w:w="115" w:type="dxa"/>
        </w:tblCellMar>
        <w:tblLook w:val="04A0" w:firstRow="1" w:lastRow="0" w:firstColumn="1" w:lastColumn="0" w:noHBand="0" w:noVBand="1"/>
      </w:tblPr>
      <w:tblGrid>
        <w:gridCol w:w="3951"/>
        <w:gridCol w:w="2647"/>
        <w:gridCol w:w="6632"/>
      </w:tblGrid>
      <w:tr w:rsidR="004C52FC" w:rsidTr="001A2E6B">
        <w:trPr>
          <w:trHeight w:val="466"/>
        </w:trPr>
        <w:tc>
          <w:tcPr>
            <w:tcW w:w="3951" w:type="dxa"/>
          </w:tcPr>
          <w:p w:rsidR="004C52FC" w:rsidRPr="0037786D" w:rsidRDefault="004C52FC" w:rsidP="0037786D">
            <w:pPr>
              <w:spacing w:before="120"/>
              <w:jc w:val="center"/>
              <w:rPr>
                <w:rFonts w:ascii="Arial" w:hAnsi="Arial" w:cs="Arial"/>
                <w:b/>
              </w:rPr>
            </w:pPr>
            <w:r w:rsidRPr="0037786D">
              <w:rPr>
                <w:rFonts w:ascii="Arial" w:hAnsi="Arial" w:cs="Arial"/>
                <w:b/>
              </w:rPr>
              <w:t>GOALS</w:t>
            </w:r>
          </w:p>
        </w:tc>
        <w:tc>
          <w:tcPr>
            <w:tcW w:w="2647" w:type="dxa"/>
          </w:tcPr>
          <w:p w:rsidR="004C52FC" w:rsidRPr="0037786D" w:rsidRDefault="004C52FC" w:rsidP="00637591">
            <w:pPr>
              <w:spacing w:before="120"/>
              <w:jc w:val="center"/>
              <w:rPr>
                <w:rFonts w:ascii="Arial" w:hAnsi="Arial" w:cs="Arial"/>
                <w:b/>
              </w:rPr>
            </w:pPr>
            <w:r>
              <w:rPr>
                <w:rFonts w:ascii="Arial" w:hAnsi="Arial" w:cs="Arial"/>
                <w:b/>
              </w:rPr>
              <w:t>Status</w:t>
            </w:r>
          </w:p>
        </w:tc>
        <w:tc>
          <w:tcPr>
            <w:tcW w:w="6632" w:type="dxa"/>
          </w:tcPr>
          <w:p w:rsidR="004C52FC" w:rsidRPr="0037786D" w:rsidRDefault="004C52FC" w:rsidP="0037786D">
            <w:pPr>
              <w:spacing w:before="120"/>
              <w:jc w:val="center"/>
              <w:rPr>
                <w:rFonts w:ascii="Arial" w:hAnsi="Arial" w:cs="Arial"/>
                <w:b/>
              </w:rPr>
            </w:pPr>
            <w:r>
              <w:rPr>
                <w:rFonts w:ascii="Arial" w:hAnsi="Arial" w:cs="Arial"/>
                <w:b/>
              </w:rPr>
              <w:t>Progress or Rationale for No Longer Applicable</w:t>
            </w:r>
          </w:p>
        </w:tc>
      </w:tr>
      <w:tr w:rsidR="001A2E6B" w:rsidTr="001A2E6B">
        <w:trPr>
          <w:trHeight w:val="1399"/>
        </w:trPr>
        <w:tc>
          <w:tcPr>
            <w:tcW w:w="3951" w:type="dxa"/>
          </w:tcPr>
          <w:p w:rsidR="00F75CE3" w:rsidRPr="00E87C6A" w:rsidRDefault="00F75CE3" w:rsidP="00F75CE3">
            <w:pPr>
              <w:tabs>
                <w:tab w:val="left" w:pos="360"/>
              </w:tabs>
              <w:rPr>
                <w:rFonts w:ascii="Arial" w:hAnsi="Arial" w:cs="Arial"/>
              </w:rPr>
            </w:pPr>
            <w:r w:rsidRPr="00E87C6A">
              <w:rPr>
                <w:rFonts w:ascii="Arial" w:hAnsi="Arial" w:cs="Arial"/>
              </w:rPr>
              <w:t>Improve alignment and allocation of services/supplies/equipment at Courseview to ensure equitable resources and manageable workloads to meet accreditation standards and to facilitate a working and learning environment focused on continuous improvement.</w:t>
            </w:r>
          </w:p>
          <w:p w:rsidR="001A2E6B" w:rsidRPr="0037786D" w:rsidRDefault="001A2E6B" w:rsidP="00225B53">
            <w:pPr>
              <w:spacing w:line="276" w:lineRule="auto"/>
              <w:rPr>
                <w:rFonts w:ascii="Arial" w:hAnsi="Arial" w:cs="Arial"/>
                <w:color w:val="000000" w:themeColor="text1"/>
              </w:rPr>
            </w:pPr>
          </w:p>
        </w:tc>
        <w:tc>
          <w:tcPr>
            <w:tcW w:w="2647" w:type="dxa"/>
          </w:tcPr>
          <w:p w:rsidR="001A2E6B" w:rsidRDefault="001A2E6B" w:rsidP="00637591">
            <w:pPr>
              <w:pStyle w:val="ListParagraph"/>
              <w:ind w:left="0"/>
              <w:rPr>
                <w:rFonts w:ascii="Arial" w:hAnsi="Arial" w:cs="Arial"/>
                <w:color w:val="000000" w:themeColor="text1"/>
              </w:rPr>
            </w:pPr>
          </w:p>
          <w:p w:rsidR="000A455C" w:rsidRDefault="000A455C" w:rsidP="000A455C">
            <w:pPr>
              <w:pStyle w:val="ListParagraph"/>
              <w:ind w:left="0"/>
              <w:rPr>
                <w:rFonts w:ascii="Arial" w:hAnsi="Arial" w:cs="Arial"/>
                <w:color w:val="000000" w:themeColor="text1"/>
              </w:rPr>
            </w:pPr>
            <w:r>
              <w:rPr>
                <w:rFonts w:ascii="Arial" w:hAnsi="Arial" w:cs="Arial"/>
                <w:color w:val="000000" w:themeColor="text1"/>
              </w:rPr>
              <w:t xml:space="preserve">In progress </w:t>
            </w:r>
            <w:r w:rsidR="00D76683">
              <w:fldChar w:fldCharType="begin">
                <w:ffData>
                  <w:name w:val="Check1"/>
                  <w:enabled/>
                  <w:calcOnExit w:val="0"/>
                  <w:checkBox>
                    <w:sizeAuto/>
                    <w:default w:val="1"/>
                  </w:checkBox>
                </w:ffData>
              </w:fldChar>
            </w:r>
            <w:bookmarkStart w:id="1" w:name="Check1"/>
            <w:r w:rsidR="00D76683">
              <w:instrText xml:space="preserve"> FORMCHECKBOX </w:instrText>
            </w:r>
            <w:r w:rsidR="00524079">
              <w:fldChar w:fldCharType="separate"/>
            </w:r>
            <w:r w:rsidR="00D76683">
              <w:fldChar w:fldCharType="end"/>
            </w:r>
            <w:bookmarkEnd w:id="1"/>
          </w:p>
          <w:p w:rsidR="000A455C" w:rsidRDefault="000A455C" w:rsidP="000A455C">
            <w:pPr>
              <w:pStyle w:val="ListParagraph"/>
              <w:ind w:left="0"/>
              <w:rPr>
                <w:rFonts w:ascii="Arial" w:hAnsi="Arial" w:cs="Arial"/>
                <w:color w:val="000000" w:themeColor="text1"/>
              </w:rPr>
            </w:pPr>
          </w:p>
          <w:p w:rsidR="000A455C" w:rsidRDefault="000A455C" w:rsidP="000A455C">
            <w:pPr>
              <w:pStyle w:val="ListParagraph"/>
              <w:ind w:left="0"/>
              <w:rPr>
                <w:rFonts w:ascii="Arial" w:hAnsi="Arial" w:cs="Arial"/>
                <w:color w:val="000000" w:themeColor="text1"/>
              </w:rPr>
            </w:pPr>
            <w:r>
              <w:rPr>
                <w:rFonts w:ascii="Arial" w:hAnsi="Arial" w:cs="Arial"/>
                <w:color w:val="000000" w:themeColor="text1"/>
              </w:rPr>
              <w:t xml:space="preserve">Completed </w:t>
            </w:r>
            <w:r>
              <w:fldChar w:fldCharType="begin">
                <w:ffData>
                  <w:name w:val="Check1"/>
                  <w:enabled/>
                  <w:calcOnExit w:val="0"/>
                  <w:checkBox>
                    <w:sizeAuto/>
                    <w:default w:val="0"/>
                  </w:checkBox>
                </w:ffData>
              </w:fldChar>
            </w:r>
            <w:r>
              <w:instrText xml:space="preserve"> FORMCHECKBOX </w:instrText>
            </w:r>
            <w:r w:rsidR="00524079">
              <w:fldChar w:fldCharType="separate"/>
            </w:r>
            <w:r>
              <w:fldChar w:fldCharType="end"/>
            </w:r>
          </w:p>
          <w:p w:rsidR="000A455C" w:rsidRDefault="000A455C" w:rsidP="000A455C">
            <w:pPr>
              <w:pStyle w:val="ListParagraph"/>
              <w:ind w:left="0"/>
              <w:rPr>
                <w:rFonts w:ascii="Arial" w:hAnsi="Arial" w:cs="Arial"/>
                <w:color w:val="000000" w:themeColor="text1"/>
              </w:rPr>
            </w:pPr>
          </w:p>
          <w:p w:rsidR="000A455C" w:rsidRDefault="000A455C" w:rsidP="000A455C">
            <w:r>
              <w:rPr>
                <w:rFonts w:ascii="Arial" w:hAnsi="Arial" w:cs="Arial"/>
                <w:color w:val="000000" w:themeColor="text1"/>
              </w:rPr>
              <w:t xml:space="preserve">No longer applicable </w:t>
            </w:r>
            <w:r>
              <w:fldChar w:fldCharType="begin">
                <w:ffData>
                  <w:name w:val="Check1"/>
                  <w:enabled/>
                  <w:calcOnExit w:val="0"/>
                  <w:checkBox>
                    <w:sizeAuto/>
                    <w:default w:val="0"/>
                  </w:checkBox>
                </w:ffData>
              </w:fldChar>
            </w:r>
            <w:r>
              <w:instrText xml:space="preserve"> FORMCHECKBOX </w:instrText>
            </w:r>
            <w:r w:rsidR="00524079">
              <w:fldChar w:fldCharType="separate"/>
            </w:r>
            <w:r>
              <w:fldChar w:fldCharType="end"/>
            </w:r>
          </w:p>
          <w:p w:rsidR="001A2E6B" w:rsidRPr="0037786D" w:rsidRDefault="001A2E6B" w:rsidP="00637591">
            <w:pPr>
              <w:pStyle w:val="ListParagraph"/>
              <w:ind w:left="0"/>
              <w:rPr>
                <w:rFonts w:ascii="Arial" w:hAnsi="Arial" w:cs="Arial"/>
                <w:color w:val="000000" w:themeColor="text1"/>
              </w:rPr>
            </w:pPr>
          </w:p>
        </w:tc>
        <w:tc>
          <w:tcPr>
            <w:tcW w:w="6632" w:type="dxa"/>
          </w:tcPr>
          <w:p w:rsidR="00D76683" w:rsidRDefault="00D76683" w:rsidP="00D76683">
            <w:r w:rsidRPr="00A974DC">
              <w:rPr>
                <w:b/>
              </w:rPr>
              <w:t>Alignment</w:t>
            </w:r>
            <w:r>
              <w:t>:  The Courseview PTA program is an expansion program (child program) of the Dayton campus (parent program).</w:t>
            </w:r>
          </w:p>
          <w:p w:rsidR="00A974DC" w:rsidRDefault="00D76683" w:rsidP="00D76683">
            <w:r>
              <w:t xml:space="preserve">     -</w:t>
            </w:r>
            <w:r w:rsidR="00A974DC" w:rsidRPr="00A974DC">
              <w:rPr>
                <w:u w:val="single"/>
              </w:rPr>
              <w:t>Curriculum</w:t>
            </w:r>
            <w:r w:rsidR="00A974DC">
              <w:t xml:space="preserve">:  </w:t>
            </w:r>
            <w:r>
              <w:t>The curriculum</w:t>
            </w:r>
            <w:r w:rsidR="00A974DC">
              <w:t xml:space="preserve"> is the same.</w:t>
            </w:r>
          </w:p>
          <w:p w:rsidR="001A2E6B" w:rsidRDefault="00A974DC" w:rsidP="00D76683">
            <w:r>
              <w:t xml:space="preserve">     -</w:t>
            </w:r>
            <w:r w:rsidRPr="00A974DC">
              <w:rPr>
                <w:u w:val="single"/>
              </w:rPr>
              <w:t>Schedule</w:t>
            </w:r>
            <w:r>
              <w:t>:  C</w:t>
            </w:r>
            <w:r w:rsidR="00D76683">
              <w:t xml:space="preserve">ourses run at the same time. </w:t>
            </w:r>
          </w:p>
          <w:p w:rsidR="00D76683" w:rsidRDefault="00D76683" w:rsidP="00D76683">
            <w:r>
              <w:t xml:space="preserve">     -</w:t>
            </w:r>
            <w:r w:rsidR="00A974DC" w:rsidRPr="00A974DC">
              <w:rPr>
                <w:u w:val="single"/>
              </w:rPr>
              <w:t>Enrollment</w:t>
            </w:r>
            <w:r w:rsidR="00A974DC">
              <w:t xml:space="preserve">:  </w:t>
            </w:r>
            <w:r>
              <w:t xml:space="preserve">The competitive selection process determines the top-scoring 50 students </w:t>
            </w:r>
            <w:r w:rsidR="00A974DC">
              <w:t>overall.  S</w:t>
            </w:r>
            <w:r>
              <w:t xml:space="preserve">tudents are enrolled at the campus of their choosing, </w:t>
            </w:r>
            <w:r w:rsidR="00A974DC">
              <w:t xml:space="preserve">based on score and </w:t>
            </w:r>
            <w:r>
              <w:t>depending on availability (28 at Dayton, 22 at Courseview).</w:t>
            </w:r>
          </w:p>
          <w:p w:rsidR="00A974DC" w:rsidRDefault="00D76683" w:rsidP="00D76683">
            <w:r>
              <w:t xml:space="preserve">     -</w:t>
            </w:r>
            <w:r w:rsidR="00A974DC" w:rsidRPr="00A974DC">
              <w:rPr>
                <w:u w:val="single"/>
              </w:rPr>
              <w:t>Faculty</w:t>
            </w:r>
            <w:r w:rsidR="00A974DC">
              <w:t xml:space="preserve">:  </w:t>
            </w:r>
          </w:p>
          <w:p w:rsidR="00A974DC" w:rsidRDefault="00A974DC" w:rsidP="00D76683">
            <w:r>
              <w:t xml:space="preserve">           -</w:t>
            </w:r>
            <w:r w:rsidR="00D76683">
              <w:t xml:space="preserve">There are </w:t>
            </w:r>
            <w:r>
              <w:t>three full-time faculty</w:t>
            </w:r>
            <w:r w:rsidR="00D76683">
              <w:t xml:space="preserve"> at the Dayton campus</w:t>
            </w:r>
            <w:r>
              <w:t>.</w:t>
            </w:r>
          </w:p>
          <w:p w:rsidR="00A974DC" w:rsidRDefault="00A974DC" w:rsidP="00D76683">
            <w:r>
              <w:t xml:space="preserve">                - Program director (tenure-track) with limited teaching    </w:t>
            </w:r>
            <w:r w:rsidR="003C1A7C">
              <w:t xml:space="preserve">       </w:t>
            </w:r>
            <w:r>
              <w:t>load due to administrative responsibilities.</w:t>
            </w:r>
          </w:p>
          <w:p w:rsidR="00A974DC" w:rsidRDefault="00A974DC" w:rsidP="00D76683">
            <w:r>
              <w:t xml:space="preserve">                - Academic coordinator of c</w:t>
            </w:r>
            <w:r w:rsidR="002D1023">
              <w:t>linical education (tenured)</w:t>
            </w:r>
            <w:r>
              <w:t>.</w:t>
            </w:r>
          </w:p>
          <w:p w:rsidR="00A974DC" w:rsidRDefault="00A974DC" w:rsidP="00D76683">
            <w:r>
              <w:t xml:space="preserve">                - Annually contracted faculty.</w:t>
            </w:r>
          </w:p>
          <w:p w:rsidR="00A974DC" w:rsidRDefault="00A974DC" w:rsidP="00D76683">
            <w:r>
              <w:t xml:space="preserve">           -There are </w:t>
            </w:r>
            <w:r w:rsidR="00D76683">
              <w:t xml:space="preserve">two full-time faculty at the Courseview campus. </w:t>
            </w:r>
          </w:p>
          <w:p w:rsidR="00A974DC" w:rsidRDefault="00A974DC" w:rsidP="00D76683">
            <w:r>
              <w:t xml:space="preserve">                -Coordinator (tenure-track).</w:t>
            </w:r>
          </w:p>
          <w:p w:rsidR="00A974DC" w:rsidRDefault="00A974DC" w:rsidP="00D76683">
            <w:r>
              <w:t xml:space="preserve">                -Tenure-track faculty.</w:t>
            </w:r>
          </w:p>
          <w:p w:rsidR="00A974DC" w:rsidRDefault="00A974DC" w:rsidP="00D76683">
            <w:r>
              <w:t xml:space="preserve">     -</w:t>
            </w:r>
            <w:r w:rsidRPr="00A974DC">
              <w:rPr>
                <w:u w:val="single"/>
              </w:rPr>
              <w:t>Budget</w:t>
            </w:r>
            <w:r>
              <w:t>:  Each campus has a separate operating budget.</w:t>
            </w:r>
          </w:p>
          <w:p w:rsidR="001B2AAD" w:rsidRDefault="001B2AAD" w:rsidP="00D76683">
            <w:r>
              <w:t>-</w:t>
            </w:r>
            <w:r w:rsidRPr="001B2AAD">
              <w:rPr>
                <w:b/>
              </w:rPr>
              <w:t>Allocation of services</w:t>
            </w:r>
            <w:r>
              <w:t>:</w:t>
            </w:r>
          </w:p>
          <w:p w:rsidR="001B2AAD" w:rsidRDefault="001B2AAD" w:rsidP="00D76683">
            <w:r>
              <w:t xml:space="preserve">     -The Courseview campus provides the following services:</w:t>
            </w:r>
          </w:p>
          <w:p w:rsidR="001B2AAD" w:rsidRDefault="001B2AAD" w:rsidP="00D76683">
            <w:r>
              <w:t xml:space="preserve">           -Student Success Advisors     </w:t>
            </w:r>
          </w:p>
          <w:p w:rsidR="001B2AAD" w:rsidRDefault="001B2AAD" w:rsidP="00D76683">
            <w:r>
              <w:t xml:space="preserve">           -Testing Center:  Students are NOT able to take the TEAS at Courseview.</w:t>
            </w:r>
          </w:p>
          <w:p w:rsidR="001B2AAD" w:rsidRDefault="001B2AAD" w:rsidP="00D76683">
            <w:r>
              <w:t xml:space="preserve">           -Tutorial Services</w:t>
            </w:r>
          </w:p>
          <w:p w:rsidR="001B2AAD" w:rsidRDefault="001B2AAD" w:rsidP="00D76683">
            <w:r>
              <w:t xml:space="preserve">           -Disability Services </w:t>
            </w:r>
          </w:p>
          <w:p w:rsidR="001B2AAD" w:rsidRDefault="001B2AAD" w:rsidP="00D76683">
            <w:r>
              <w:lastRenderedPageBreak/>
              <w:t xml:space="preserve">     -Courseview students must go to Dayton for the following services:</w:t>
            </w:r>
          </w:p>
          <w:p w:rsidR="001B2AAD" w:rsidRDefault="001B2AAD" w:rsidP="00D76683">
            <w:r>
              <w:t xml:space="preserve">           -Counseling Services:  This, in particular, has been an issue for stude</w:t>
            </w:r>
            <w:r w:rsidR="003C1A7C">
              <w:t>nts needing these services because they have limited ability</w:t>
            </w:r>
            <w:r>
              <w:t xml:space="preserve"> to schedule an appointment on the Dayton campus due to time, finances, or transportation.</w:t>
            </w:r>
          </w:p>
          <w:p w:rsidR="001B2AAD" w:rsidRDefault="001B2AAD" w:rsidP="00D76683">
            <w:r>
              <w:t xml:space="preserve">           -Career Services</w:t>
            </w:r>
          </w:p>
          <w:p w:rsidR="002D1023" w:rsidRDefault="002D1023" w:rsidP="00D76683">
            <w:r>
              <w:t xml:space="preserve">           -TEAS testing</w:t>
            </w:r>
          </w:p>
          <w:p w:rsidR="001B2AAD" w:rsidRDefault="001B2AAD" w:rsidP="00D76683">
            <w:r>
              <w:t>-</w:t>
            </w:r>
            <w:r w:rsidRPr="001B2AAD">
              <w:rPr>
                <w:b/>
              </w:rPr>
              <w:t>Allocation of supplies</w:t>
            </w:r>
            <w:r>
              <w:rPr>
                <w:b/>
              </w:rPr>
              <w:t>/equipment</w:t>
            </w:r>
            <w:r>
              <w:t>:</w:t>
            </w:r>
          </w:p>
          <w:p w:rsidR="003764C9" w:rsidRDefault="003764C9" w:rsidP="00D76683">
            <w:r>
              <w:t xml:space="preserve">     -Courseview is not able to accommodate more equipment due to limited space.  The program was able to secure a hospital bed for </w:t>
            </w:r>
            <w:r w:rsidR="002D1023">
              <w:t>each of</w:t>
            </w:r>
            <w:r>
              <w:t xml:space="preserve"> the Dayton and Courseview campuses in order for students to practic</w:t>
            </w:r>
            <w:r w:rsidR="003C1A7C">
              <w:t xml:space="preserve">e clinical skills; however, </w:t>
            </w:r>
            <w:r>
              <w:t>Courseview’s bed had to remain at the Dayton campus due to a lack of space.</w:t>
            </w:r>
          </w:p>
          <w:p w:rsidR="003764C9" w:rsidRDefault="003764C9" w:rsidP="00D76683">
            <w:r>
              <w:t xml:space="preserve">     -Courseview’s operating budget allows for acquisition of adequate supplies and the program is making a concerted effort to increase the number of anatomical models to enhance student learning.</w:t>
            </w:r>
          </w:p>
          <w:p w:rsidR="00E568F5" w:rsidRDefault="00E568F5" w:rsidP="00D76683">
            <w:r>
              <w:t xml:space="preserve">     -Courseview students must go on a fieldtrip to the Mason Community Center for use of the pool, track, and weight room; while Dayton students have access to this on campus.</w:t>
            </w:r>
          </w:p>
          <w:p w:rsidR="003764C9" w:rsidRDefault="003764C9" w:rsidP="00D76683">
            <w:r>
              <w:t>-</w:t>
            </w:r>
            <w:r w:rsidRPr="003764C9">
              <w:rPr>
                <w:b/>
              </w:rPr>
              <w:t>Equitable resources</w:t>
            </w:r>
            <w:r>
              <w:t>:</w:t>
            </w:r>
          </w:p>
          <w:p w:rsidR="003764C9" w:rsidRDefault="003764C9" w:rsidP="00D76683">
            <w:r>
              <w:t xml:space="preserve">     -</w:t>
            </w:r>
            <w:r w:rsidRPr="00E568F5">
              <w:rPr>
                <w:u w:val="single"/>
              </w:rPr>
              <w:t>Classroom/lab space</w:t>
            </w:r>
            <w:r>
              <w:t>:</w:t>
            </w:r>
          </w:p>
          <w:p w:rsidR="003764C9" w:rsidRDefault="003764C9" w:rsidP="00D76683">
            <w:r>
              <w:t xml:space="preserve">           -The Dayton program has dedicated lab space and dedicated classroom space.  Each are large enough to accommodate the full class of </w:t>
            </w:r>
            <w:r w:rsidR="00E568F5">
              <w:t xml:space="preserve">28 </w:t>
            </w:r>
            <w:r>
              <w:t xml:space="preserve">students.  </w:t>
            </w:r>
          </w:p>
          <w:p w:rsidR="00E568F5" w:rsidRDefault="003764C9" w:rsidP="00E568F5">
            <w:r>
              <w:t xml:space="preserve">           -The Courseview program has dedicated lab space and a dedicated study room.  </w:t>
            </w:r>
            <w:r w:rsidR="00E568F5">
              <w:t>The dedicat</w:t>
            </w:r>
            <w:r w:rsidR="003C1A7C">
              <w:t xml:space="preserve">ed lab space at Courseview </w:t>
            </w:r>
            <w:r w:rsidR="00E568F5">
              <w:t xml:space="preserve">has room for only 22 students.  </w:t>
            </w:r>
            <w:r>
              <w:t xml:space="preserve">The </w:t>
            </w:r>
            <w:r w:rsidR="00E568F5">
              <w:t xml:space="preserve">study room is not large enough to hold a class and the program’s course schedule requires use of another classroom on the Courseview campus for lecture only classes.  </w:t>
            </w:r>
            <w:r w:rsidR="002D1023">
              <w:t>Courseview has been very accommodating with finding alternative classrooms to hold regular lecture courses.</w:t>
            </w:r>
            <w:r w:rsidR="00E568F5">
              <w:t xml:space="preserve">    </w:t>
            </w:r>
          </w:p>
          <w:p w:rsidR="00E568F5" w:rsidRDefault="003764C9" w:rsidP="00D76683">
            <w:r>
              <w:lastRenderedPageBreak/>
              <w:t xml:space="preserve">     -</w:t>
            </w:r>
            <w:r w:rsidRPr="00E568F5">
              <w:rPr>
                <w:u w:val="single"/>
              </w:rPr>
              <w:t>Large meeting space</w:t>
            </w:r>
            <w:r w:rsidR="00E568F5">
              <w:t xml:space="preserve">:  </w:t>
            </w:r>
            <w:r w:rsidR="00A76147">
              <w:t>This is l</w:t>
            </w:r>
            <w:r>
              <w:t>imited at the Courseview campus</w:t>
            </w:r>
            <w:r w:rsidR="00E568F5">
              <w:t>.  Scheduling of rooms outside of PTA’s dedicated lab space has been inconsistent; whereas the Dayton campus utilizes a system where rooms are booked through Outlook or R25.</w:t>
            </w:r>
          </w:p>
          <w:p w:rsidR="00D11460" w:rsidRDefault="00D11460" w:rsidP="00D76683">
            <w:r>
              <w:t xml:space="preserve">     -</w:t>
            </w:r>
            <w:r w:rsidRPr="00D11460">
              <w:rPr>
                <w:u w:val="single"/>
              </w:rPr>
              <w:t>Faculty office space</w:t>
            </w:r>
            <w:r>
              <w:t>:  Currently, the 2 faculty at Courseview share an office.  This works out fine except when trying to schedule private faculty advising meetings.  There is limited space available on the rest of Courseview’s campus to have a private meeting with a student and be able to electronically document the discussion for the student’s file.</w:t>
            </w:r>
            <w:r w:rsidR="004205E1">
              <w:t xml:space="preserve">  In regard to program resources, the new accreditation standards (effective 2016) state “</w:t>
            </w:r>
            <w:r w:rsidR="004205E1" w:rsidRPr="004205E1">
              <w:rPr>
                <w:i/>
              </w:rPr>
              <w:t>8D2:  Space is sufficient for faculty and staff offices, student advisement, conducting confidential meetings, storing office equipment and documents, and securing confidential materials</w:t>
            </w:r>
            <w:r w:rsidR="004205E1">
              <w:t>”.</w:t>
            </w:r>
          </w:p>
          <w:p w:rsidR="00D11460" w:rsidRDefault="00D11460" w:rsidP="00D76683">
            <w:r>
              <w:t xml:space="preserve">     -</w:t>
            </w:r>
            <w:r w:rsidRPr="00D11460">
              <w:rPr>
                <w:u w:val="single"/>
              </w:rPr>
              <w:t>Other</w:t>
            </w:r>
            <w:r>
              <w:t>:  The Courseview campus does not have a cafeteria or library.  These are two resources that Dayton students use on a daily basis.</w:t>
            </w:r>
          </w:p>
          <w:p w:rsidR="00A76147" w:rsidRDefault="00A76147" w:rsidP="00D76683">
            <w:r>
              <w:t>-</w:t>
            </w:r>
            <w:r w:rsidRPr="00A76147">
              <w:rPr>
                <w:b/>
              </w:rPr>
              <w:t>Manageable workloads</w:t>
            </w:r>
            <w:r>
              <w:t>:</w:t>
            </w:r>
          </w:p>
          <w:p w:rsidR="00A76147" w:rsidRDefault="00A76147" w:rsidP="00D76683">
            <w:r>
              <w:t xml:space="preserve">     -</w:t>
            </w:r>
            <w:r w:rsidRPr="00A76147">
              <w:rPr>
                <w:u w:val="single"/>
              </w:rPr>
              <w:t>Faculty</w:t>
            </w:r>
            <w:r>
              <w:t>:</w:t>
            </w:r>
          </w:p>
          <w:p w:rsidR="00A76147" w:rsidRDefault="00A974DC" w:rsidP="00D76683">
            <w:r>
              <w:t xml:space="preserve">     </w:t>
            </w:r>
            <w:r w:rsidR="00A76147">
              <w:t xml:space="preserve">      </w:t>
            </w:r>
            <w:r>
              <w:t>-All faculty teach at both campuses.</w:t>
            </w:r>
          </w:p>
          <w:p w:rsidR="00A76147" w:rsidRDefault="00A76147" w:rsidP="00D76683">
            <w:r>
              <w:t xml:space="preserve">           -All faculty participate in faculty advising.</w:t>
            </w:r>
          </w:p>
          <w:p w:rsidR="00A76147" w:rsidRDefault="00A76147" w:rsidP="00D76683">
            <w:r>
              <w:t xml:space="preserve">           -Each PTA course has a course coordinator who is responsible for the development and implementation of the course in the learning management system</w:t>
            </w:r>
            <w:r w:rsidR="002D1023">
              <w:t>, as well as communicating course info to other instructors</w:t>
            </w:r>
            <w:r>
              <w:t>.</w:t>
            </w:r>
          </w:p>
          <w:p w:rsidR="00A76147" w:rsidRDefault="00A76147" w:rsidP="00D76683">
            <w:r>
              <w:t xml:space="preserve">           -New adjunct faculty have been hired at both campuses to assist with lab courses.</w:t>
            </w:r>
          </w:p>
          <w:p w:rsidR="00A76147" w:rsidRDefault="00A76147" w:rsidP="00D76683">
            <w:r>
              <w:t xml:space="preserve">           -Release time was given to the academic coordinator of clinical education for the first time this year to assist with administrative responsibilities.</w:t>
            </w:r>
          </w:p>
          <w:p w:rsidR="00A76147" w:rsidRDefault="00A76147" w:rsidP="00D76683">
            <w:r>
              <w:t xml:space="preserve">           -A rehabilitation services department was created and houses both PTA and Occupational Therapy Assistant (OTA) programs.  Emily Garber is now the chair of rehabilitation </w:t>
            </w:r>
            <w:r>
              <w:lastRenderedPageBreak/>
              <w:t>services and the program director of PTA.</w:t>
            </w:r>
            <w:r w:rsidR="003C1A7C">
              <w:t xml:space="preserve">  Release time was given </w:t>
            </w:r>
            <w:r w:rsidR="00D11460">
              <w:t>for extra administrative responsibilities associated with oversight of the OTA program.</w:t>
            </w:r>
          </w:p>
          <w:p w:rsidR="00A76147" w:rsidRDefault="00A76147" w:rsidP="00D76683">
            <w:r>
              <w:t xml:space="preserve">     -</w:t>
            </w:r>
            <w:r w:rsidRPr="00A76147">
              <w:rPr>
                <w:u w:val="single"/>
              </w:rPr>
              <w:t>Administrative assistants</w:t>
            </w:r>
            <w:r>
              <w:t>:</w:t>
            </w:r>
          </w:p>
          <w:p w:rsidR="00171A3B" w:rsidRDefault="00A76147" w:rsidP="00D76683">
            <w:r>
              <w:t xml:space="preserve">           </w:t>
            </w:r>
            <w:r w:rsidR="00D76683">
              <w:t xml:space="preserve">-The Dayton campus has a full-time administrative assistant, Eileen Trentman, who splits her workload between PTA and Nurse Aide Training.  </w:t>
            </w:r>
          </w:p>
          <w:p w:rsidR="00D76683" w:rsidRDefault="00171A3B" w:rsidP="00D76683">
            <w:r>
              <w:t xml:space="preserve">           -</w:t>
            </w:r>
            <w:r w:rsidR="00D76683">
              <w:t>The Courseview campus has a part-time administrative</w:t>
            </w:r>
            <w:r>
              <w:t xml:space="preserve"> assistant who works 10 hours/</w:t>
            </w:r>
            <w:r w:rsidR="00D76683">
              <w:t>week for PTA.</w:t>
            </w:r>
          </w:p>
          <w:p w:rsidR="00D76683" w:rsidRDefault="00D76683" w:rsidP="00D76683">
            <w:pPr>
              <w:pStyle w:val="ListParagraph"/>
            </w:pPr>
          </w:p>
        </w:tc>
      </w:tr>
      <w:tr w:rsidR="001A2E6B" w:rsidTr="001A2E6B">
        <w:trPr>
          <w:trHeight w:val="1399"/>
        </w:trPr>
        <w:tc>
          <w:tcPr>
            <w:tcW w:w="3951" w:type="dxa"/>
          </w:tcPr>
          <w:p w:rsidR="00F75CE3" w:rsidRPr="00E87C6A" w:rsidRDefault="00F75CE3" w:rsidP="00F75CE3">
            <w:pPr>
              <w:tabs>
                <w:tab w:val="left" w:pos="360"/>
              </w:tabs>
              <w:rPr>
                <w:rFonts w:ascii="Arial" w:hAnsi="Arial" w:cs="Arial"/>
              </w:rPr>
            </w:pPr>
            <w:r w:rsidRPr="00E87C6A">
              <w:rPr>
                <w:rFonts w:ascii="Arial" w:hAnsi="Arial" w:cs="Arial"/>
              </w:rPr>
              <w:lastRenderedPageBreak/>
              <w:t xml:space="preserve">Monitor the success of the competitive admission process to ensure the program is admitting qualified candidates for improved retention and achievement of personal and professional goals. </w:t>
            </w:r>
          </w:p>
          <w:p w:rsidR="001A2E6B" w:rsidRPr="0037786D" w:rsidRDefault="001A2E6B" w:rsidP="00225B53">
            <w:pPr>
              <w:spacing w:line="276" w:lineRule="auto"/>
              <w:rPr>
                <w:rFonts w:ascii="Arial" w:hAnsi="Arial" w:cs="Arial"/>
                <w:color w:val="000000" w:themeColor="text1"/>
              </w:rPr>
            </w:pPr>
          </w:p>
        </w:tc>
        <w:tc>
          <w:tcPr>
            <w:tcW w:w="2647" w:type="dxa"/>
          </w:tcPr>
          <w:p w:rsidR="001A2E6B" w:rsidRDefault="001A2E6B" w:rsidP="00637591">
            <w:pPr>
              <w:pStyle w:val="ListParagraph"/>
              <w:ind w:left="0"/>
              <w:rPr>
                <w:rFonts w:ascii="Arial" w:hAnsi="Arial" w:cs="Arial"/>
                <w:color w:val="000000" w:themeColor="text1"/>
              </w:rPr>
            </w:pPr>
          </w:p>
          <w:p w:rsidR="000A455C" w:rsidRDefault="000A455C" w:rsidP="000A455C">
            <w:pPr>
              <w:pStyle w:val="ListParagraph"/>
              <w:ind w:left="0"/>
              <w:rPr>
                <w:rFonts w:ascii="Arial" w:hAnsi="Arial" w:cs="Arial"/>
                <w:color w:val="000000" w:themeColor="text1"/>
              </w:rPr>
            </w:pPr>
            <w:r>
              <w:rPr>
                <w:rFonts w:ascii="Arial" w:hAnsi="Arial" w:cs="Arial"/>
                <w:color w:val="000000" w:themeColor="text1"/>
              </w:rPr>
              <w:t xml:space="preserve">In progress </w:t>
            </w:r>
            <w:r w:rsidR="00171A3B">
              <w:fldChar w:fldCharType="begin">
                <w:ffData>
                  <w:name w:val=""/>
                  <w:enabled/>
                  <w:calcOnExit w:val="0"/>
                  <w:checkBox>
                    <w:sizeAuto/>
                    <w:default w:val="1"/>
                  </w:checkBox>
                </w:ffData>
              </w:fldChar>
            </w:r>
            <w:r w:rsidR="00171A3B">
              <w:instrText xml:space="preserve"> FORMCHECKBOX </w:instrText>
            </w:r>
            <w:r w:rsidR="00524079">
              <w:fldChar w:fldCharType="separate"/>
            </w:r>
            <w:r w:rsidR="00171A3B">
              <w:fldChar w:fldCharType="end"/>
            </w:r>
          </w:p>
          <w:p w:rsidR="000A455C" w:rsidRDefault="000A455C" w:rsidP="000A455C">
            <w:pPr>
              <w:pStyle w:val="ListParagraph"/>
              <w:ind w:left="0"/>
              <w:rPr>
                <w:rFonts w:ascii="Arial" w:hAnsi="Arial" w:cs="Arial"/>
                <w:color w:val="000000" w:themeColor="text1"/>
              </w:rPr>
            </w:pPr>
          </w:p>
          <w:p w:rsidR="000A455C" w:rsidRDefault="000A455C" w:rsidP="000A455C">
            <w:pPr>
              <w:pStyle w:val="ListParagraph"/>
              <w:ind w:left="0"/>
              <w:rPr>
                <w:rFonts w:ascii="Arial" w:hAnsi="Arial" w:cs="Arial"/>
                <w:color w:val="000000" w:themeColor="text1"/>
              </w:rPr>
            </w:pPr>
            <w:r>
              <w:rPr>
                <w:rFonts w:ascii="Arial" w:hAnsi="Arial" w:cs="Arial"/>
                <w:color w:val="000000" w:themeColor="text1"/>
              </w:rPr>
              <w:t xml:space="preserve">Completed </w:t>
            </w:r>
            <w:r>
              <w:fldChar w:fldCharType="begin">
                <w:ffData>
                  <w:name w:val="Check1"/>
                  <w:enabled/>
                  <w:calcOnExit w:val="0"/>
                  <w:checkBox>
                    <w:sizeAuto/>
                    <w:default w:val="0"/>
                  </w:checkBox>
                </w:ffData>
              </w:fldChar>
            </w:r>
            <w:r>
              <w:instrText xml:space="preserve"> FORMCHECKBOX </w:instrText>
            </w:r>
            <w:r w:rsidR="00524079">
              <w:fldChar w:fldCharType="separate"/>
            </w:r>
            <w:r>
              <w:fldChar w:fldCharType="end"/>
            </w:r>
          </w:p>
          <w:p w:rsidR="000A455C" w:rsidRDefault="000A455C" w:rsidP="000A455C">
            <w:pPr>
              <w:pStyle w:val="ListParagraph"/>
              <w:ind w:left="0"/>
              <w:rPr>
                <w:rFonts w:ascii="Arial" w:hAnsi="Arial" w:cs="Arial"/>
                <w:color w:val="000000" w:themeColor="text1"/>
              </w:rPr>
            </w:pPr>
          </w:p>
          <w:p w:rsidR="000A455C" w:rsidRDefault="000A455C" w:rsidP="000A455C">
            <w:r>
              <w:rPr>
                <w:rFonts w:ascii="Arial" w:hAnsi="Arial" w:cs="Arial"/>
                <w:color w:val="000000" w:themeColor="text1"/>
              </w:rPr>
              <w:t xml:space="preserve">No longer applicable </w:t>
            </w:r>
            <w:r>
              <w:fldChar w:fldCharType="begin">
                <w:ffData>
                  <w:name w:val="Check1"/>
                  <w:enabled/>
                  <w:calcOnExit w:val="0"/>
                  <w:checkBox>
                    <w:sizeAuto/>
                    <w:default w:val="0"/>
                  </w:checkBox>
                </w:ffData>
              </w:fldChar>
            </w:r>
            <w:r>
              <w:instrText xml:space="preserve"> FORMCHECKBOX </w:instrText>
            </w:r>
            <w:r w:rsidR="00524079">
              <w:fldChar w:fldCharType="separate"/>
            </w:r>
            <w:r>
              <w:fldChar w:fldCharType="end"/>
            </w:r>
          </w:p>
          <w:p w:rsidR="001A2E6B" w:rsidRPr="0037786D" w:rsidRDefault="001A2E6B" w:rsidP="00637591">
            <w:pPr>
              <w:pStyle w:val="ListParagraph"/>
              <w:ind w:left="0"/>
              <w:rPr>
                <w:rFonts w:ascii="Arial" w:hAnsi="Arial" w:cs="Arial"/>
                <w:color w:val="000000" w:themeColor="text1"/>
              </w:rPr>
            </w:pPr>
          </w:p>
        </w:tc>
        <w:tc>
          <w:tcPr>
            <w:tcW w:w="6632" w:type="dxa"/>
          </w:tcPr>
          <w:p w:rsidR="001A2E6B" w:rsidRDefault="00183F6E" w:rsidP="00980E93">
            <w:r>
              <w:t>See Transcript Review Reports</w:t>
            </w:r>
            <w:r w:rsidR="00167DC4">
              <w:t xml:space="preserve"> (attachments)</w:t>
            </w:r>
            <w:r>
              <w:t>.</w:t>
            </w:r>
          </w:p>
        </w:tc>
      </w:tr>
      <w:tr w:rsidR="001A2E6B" w:rsidTr="001A2E6B">
        <w:trPr>
          <w:trHeight w:val="1101"/>
        </w:trPr>
        <w:tc>
          <w:tcPr>
            <w:tcW w:w="3951" w:type="dxa"/>
          </w:tcPr>
          <w:p w:rsidR="00F75CE3" w:rsidRPr="002F702E" w:rsidRDefault="00F75CE3" w:rsidP="00F75CE3">
            <w:pPr>
              <w:tabs>
                <w:tab w:val="left" w:pos="360"/>
              </w:tabs>
              <w:rPr>
                <w:rFonts w:ascii="Arial" w:hAnsi="Arial" w:cs="Arial"/>
              </w:rPr>
            </w:pPr>
            <w:r w:rsidRPr="00E87C6A">
              <w:rPr>
                <w:rFonts w:ascii="Arial" w:hAnsi="Arial" w:cs="Arial"/>
              </w:rPr>
              <w:t xml:space="preserve">Improve data collection to measure program and general education outcomes in a qualitative and quantitative way to ensure the program is promoting social responsibility, critical thinking, communication, and innovation. </w:t>
            </w:r>
          </w:p>
          <w:p w:rsidR="00F75CE3" w:rsidRDefault="00F75CE3" w:rsidP="00225B53">
            <w:pPr>
              <w:spacing w:line="276" w:lineRule="auto"/>
              <w:rPr>
                <w:rFonts w:ascii="Arial" w:hAnsi="Arial" w:cs="Arial"/>
                <w:color w:val="000000" w:themeColor="text1"/>
              </w:rPr>
            </w:pPr>
          </w:p>
          <w:p w:rsidR="001A2E6B" w:rsidRPr="00F75CE3" w:rsidRDefault="001A2E6B" w:rsidP="00F75CE3">
            <w:pPr>
              <w:jc w:val="center"/>
              <w:rPr>
                <w:rFonts w:ascii="Arial" w:hAnsi="Arial" w:cs="Arial"/>
              </w:rPr>
            </w:pPr>
          </w:p>
        </w:tc>
        <w:tc>
          <w:tcPr>
            <w:tcW w:w="2647" w:type="dxa"/>
          </w:tcPr>
          <w:p w:rsidR="001A2E6B" w:rsidRDefault="001A2E6B" w:rsidP="00637591">
            <w:pPr>
              <w:pStyle w:val="ListParagraph"/>
              <w:ind w:left="0"/>
              <w:rPr>
                <w:rFonts w:ascii="Arial" w:hAnsi="Arial" w:cs="Arial"/>
                <w:color w:val="000000" w:themeColor="text1"/>
              </w:rPr>
            </w:pPr>
          </w:p>
          <w:p w:rsidR="000A455C" w:rsidRDefault="000A455C" w:rsidP="000A455C">
            <w:pPr>
              <w:pStyle w:val="ListParagraph"/>
              <w:ind w:left="0"/>
              <w:rPr>
                <w:rFonts w:ascii="Arial" w:hAnsi="Arial" w:cs="Arial"/>
                <w:color w:val="000000" w:themeColor="text1"/>
              </w:rPr>
            </w:pPr>
            <w:r>
              <w:rPr>
                <w:rFonts w:ascii="Arial" w:hAnsi="Arial" w:cs="Arial"/>
                <w:color w:val="000000" w:themeColor="text1"/>
              </w:rPr>
              <w:t xml:space="preserve">In progress </w:t>
            </w:r>
            <w:r w:rsidR="00171A3B">
              <w:fldChar w:fldCharType="begin">
                <w:ffData>
                  <w:name w:val=""/>
                  <w:enabled/>
                  <w:calcOnExit w:val="0"/>
                  <w:checkBox>
                    <w:sizeAuto/>
                    <w:default w:val="1"/>
                  </w:checkBox>
                </w:ffData>
              </w:fldChar>
            </w:r>
            <w:r w:rsidR="00171A3B">
              <w:instrText xml:space="preserve"> FORMCHECKBOX </w:instrText>
            </w:r>
            <w:r w:rsidR="00524079">
              <w:fldChar w:fldCharType="separate"/>
            </w:r>
            <w:r w:rsidR="00171A3B">
              <w:fldChar w:fldCharType="end"/>
            </w:r>
          </w:p>
          <w:p w:rsidR="000A455C" w:rsidRDefault="000A455C" w:rsidP="000A455C">
            <w:pPr>
              <w:pStyle w:val="ListParagraph"/>
              <w:ind w:left="0"/>
              <w:rPr>
                <w:rFonts w:ascii="Arial" w:hAnsi="Arial" w:cs="Arial"/>
                <w:color w:val="000000" w:themeColor="text1"/>
              </w:rPr>
            </w:pPr>
          </w:p>
          <w:p w:rsidR="000A455C" w:rsidRDefault="000A455C" w:rsidP="000A455C">
            <w:pPr>
              <w:pStyle w:val="ListParagraph"/>
              <w:ind w:left="0"/>
              <w:rPr>
                <w:rFonts w:ascii="Arial" w:hAnsi="Arial" w:cs="Arial"/>
                <w:color w:val="000000" w:themeColor="text1"/>
              </w:rPr>
            </w:pPr>
            <w:r>
              <w:rPr>
                <w:rFonts w:ascii="Arial" w:hAnsi="Arial" w:cs="Arial"/>
                <w:color w:val="000000" w:themeColor="text1"/>
              </w:rPr>
              <w:t xml:space="preserve">Completed </w:t>
            </w:r>
            <w:r>
              <w:fldChar w:fldCharType="begin">
                <w:ffData>
                  <w:name w:val="Check1"/>
                  <w:enabled/>
                  <w:calcOnExit w:val="0"/>
                  <w:checkBox>
                    <w:sizeAuto/>
                    <w:default w:val="0"/>
                  </w:checkBox>
                </w:ffData>
              </w:fldChar>
            </w:r>
            <w:r>
              <w:instrText xml:space="preserve"> FORMCHECKBOX </w:instrText>
            </w:r>
            <w:r w:rsidR="00524079">
              <w:fldChar w:fldCharType="separate"/>
            </w:r>
            <w:r>
              <w:fldChar w:fldCharType="end"/>
            </w:r>
          </w:p>
          <w:p w:rsidR="000A455C" w:rsidRDefault="000A455C" w:rsidP="000A455C">
            <w:pPr>
              <w:pStyle w:val="ListParagraph"/>
              <w:ind w:left="0"/>
              <w:rPr>
                <w:rFonts w:ascii="Arial" w:hAnsi="Arial" w:cs="Arial"/>
                <w:color w:val="000000" w:themeColor="text1"/>
              </w:rPr>
            </w:pPr>
          </w:p>
          <w:p w:rsidR="000A455C" w:rsidRDefault="000A455C" w:rsidP="000A455C">
            <w:r>
              <w:rPr>
                <w:rFonts w:ascii="Arial" w:hAnsi="Arial" w:cs="Arial"/>
                <w:color w:val="000000" w:themeColor="text1"/>
              </w:rPr>
              <w:t xml:space="preserve">No longer applicable </w:t>
            </w:r>
            <w:r>
              <w:fldChar w:fldCharType="begin">
                <w:ffData>
                  <w:name w:val="Check1"/>
                  <w:enabled/>
                  <w:calcOnExit w:val="0"/>
                  <w:checkBox>
                    <w:sizeAuto/>
                    <w:default w:val="0"/>
                  </w:checkBox>
                </w:ffData>
              </w:fldChar>
            </w:r>
            <w:r>
              <w:instrText xml:space="preserve"> FORMCHECKBOX </w:instrText>
            </w:r>
            <w:r w:rsidR="00524079">
              <w:fldChar w:fldCharType="separate"/>
            </w:r>
            <w:r>
              <w:fldChar w:fldCharType="end"/>
            </w:r>
          </w:p>
          <w:p w:rsidR="001A2E6B" w:rsidRPr="0037786D" w:rsidRDefault="001A2E6B" w:rsidP="00637591">
            <w:pPr>
              <w:pStyle w:val="ListParagraph"/>
              <w:ind w:left="0"/>
              <w:rPr>
                <w:rFonts w:ascii="Arial" w:hAnsi="Arial" w:cs="Arial"/>
                <w:color w:val="000000" w:themeColor="text1"/>
              </w:rPr>
            </w:pPr>
          </w:p>
        </w:tc>
        <w:tc>
          <w:tcPr>
            <w:tcW w:w="6632" w:type="dxa"/>
          </w:tcPr>
          <w:p w:rsidR="001A2E6B" w:rsidRDefault="00183F6E" w:rsidP="00923B8C">
            <w:r>
              <w:t xml:space="preserve">See </w:t>
            </w:r>
            <w:hyperlink w:anchor="ProgramsOutcomeData" w:history="1">
              <w:r w:rsidRPr="00167DC4">
                <w:rPr>
                  <w:rStyle w:val="Hyperlink"/>
                </w:rPr>
                <w:t>PTA Program Outcomes Data</w:t>
              </w:r>
            </w:hyperlink>
            <w:r>
              <w:t>.</w:t>
            </w:r>
          </w:p>
        </w:tc>
      </w:tr>
    </w:tbl>
    <w:p w:rsidR="0037786D" w:rsidRDefault="0037786D">
      <w:pPr>
        <w:spacing w:after="200" w:line="276" w:lineRule="auto"/>
        <w:rPr>
          <w:rFonts w:ascii="Arial" w:hAnsi="Arial" w:cs="Arial"/>
          <w:color w:val="000000" w:themeColor="text1"/>
        </w:rPr>
      </w:pPr>
      <w:r>
        <w:rPr>
          <w:rFonts w:ascii="Arial" w:hAnsi="Arial" w:cs="Arial"/>
          <w:color w:val="000000" w:themeColor="text1"/>
        </w:rPr>
        <w:br w:type="page"/>
      </w:r>
    </w:p>
    <w:p w:rsidR="003C1C8E" w:rsidRPr="00CD2613" w:rsidRDefault="00190F5C" w:rsidP="00A201E2">
      <w:pPr>
        <w:tabs>
          <w:tab w:val="left" w:pos="504"/>
        </w:tabs>
        <w:spacing w:after="120"/>
        <w:rPr>
          <w:rFonts w:ascii="Arial" w:hAnsi="Arial" w:cs="Arial"/>
          <w:color w:val="000000" w:themeColor="text1"/>
        </w:rPr>
      </w:pPr>
      <w:r w:rsidRPr="008258DA">
        <w:rPr>
          <w:rFonts w:ascii="Arial" w:hAnsi="Arial" w:cs="Arial"/>
          <w:color w:val="000000" w:themeColor="text1"/>
        </w:rPr>
        <w:lastRenderedPageBreak/>
        <w:t xml:space="preserve">Below are the </w:t>
      </w:r>
      <w:r w:rsidR="003233E7" w:rsidRPr="008258DA">
        <w:rPr>
          <w:rFonts w:ascii="Arial" w:hAnsi="Arial" w:cs="Arial"/>
          <w:color w:val="000000" w:themeColor="text1"/>
        </w:rPr>
        <w:t>Recommendations for Action made by the review team</w:t>
      </w:r>
      <w:r w:rsidRPr="008258DA">
        <w:rPr>
          <w:rFonts w:ascii="Arial" w:hAnsi="Arial" w:cs="Arial"/>
          <w:color w:val="000000" w:themeColor="text1"/>
        </w:rPr>
        <w:t>. D</w:t>
      </w:r>
      <w:r w:rsidR="004C7DB2" w:rsidRPr="008258DA">
        <w:rPr>
          <w:rFonts w:ascii="Arial" w:hAnsi="Arial" w:cs="Arial"/>
          <w:color w:val="000000" w:themeColor="text1"/>
        </w:rPr>
        <w:t>escribe the progress or changes made toward meeting each recommendation</w:t>
      </w:r>
      <w:r w:rsidR="00E642B3" w:rsidRPr="008258DA">
        <w:rPr>
          <w:rFonts w:ascii="Arial" w:hAnsi="Arial" w:cs="Arial"/>
          <w:color w:val="000000" w:themeColor="text1"/>
        </w:rPr>
        <w:t xml:space="preserve"> over the last year</w:t>
      </w:r>
      <w:r w:rsidR="004C7DB2" w:rsidRPr="008258DA">
        <w:rPr>
          <w:rFonts w:ascii="Arial" w:hAnsi="Arial" w:cs="Arial"/>
          <w:color w:val="000000" w:themeColor="text1"/>
        </w:rPr>
        <w:t>.</w:t>
      </w:r>
    </w:p>
    <w:tbl>
      <w:tblPr>
        <w:tblStyle w:val="TableGrid"/>
        <w:tblW w:w="12888" w:type="dxa"/>
        <w:tblLayout w:type="fixed"/>
        <w:tblCellMar>
          <w:left w:w="115" w:type="dxa"/>
          <w:right w:w="115" w:type="dxa"/>
        </w:tblCellMar>
        <w:tblLook w:val="04A0" w:firstRow="1" w:lastRow="0" w:firstColumn="1" w:lastColumn="0" w:noHBand="0" w:noVBand="1"/>
      </w:tblPr>
      <w:tblGrid>
        <w:gridCol w:w="3708"/>
        <w:gridCol w:w="2700"/>
        <w:gridCol w:w="6480"/>
      </w:tblGrid>
      <w:tr w:rsidR="004C52FC" w:rsidRPr="0037786D" w:rsidTr="001A2E6B">
        <w:tc>
          <w:tcPr>
            <w:tcW w:w="3708" w:type="dxa"/>
          </w:tcPr>
          <w:p w:rsidR="004C52FC" w:rsidRPr="0037786D" w:rsidRDefault="004C52FC" w:rsidP="003E791C">
            <w:pPr>
              <w:spacing w:before="120"/>
              <w:jc w:val="center"/>
              <w:rPr>
                <w:rFonts w:ascii="Arial" w:hAnsi="Arial" w:cs="Arial"/>
                <w:b/>
              </w:rPr>
            </w:pPr>
            <w:r>
              <w:rPr>
                <w:rFonts w:ascii="Arial" w:hAnsi="Arial" w:cs="Arial"/>
                <w:b/>
              </w:rPr>
              <w:t>RECOMMENDATIONS</w:t>
            </w:r>
          </w:p>
        </w:tc>
        <w:tc>
          <w:tcPr>
            <w:tcW w:w="2700" w:type="dxa"/>
          </w:tcPr>
          <w:p w:rsidR="004C52FC" w:rsidRPr="0037786D" w:rsidRDefault="004C52FC" w:rsidP="00637591">
            <w:pPr>
              <w:spacing w:before="120"/>
              <w:jc w:val="center"/>
              <w:rPr>
                <w:rFonts w:ascii="Arial" w:hAnsi="Arial" w:cs="Arial"/>
                <w:b/>
              </w:rPr>
            </w:pPr>
            <w:r>
              <w:rPr>
                <w:rFonts w:ascii="Arial" w:hAnsi="Arial" w:cs="Arial"/>
                <w:b/>
              </w:rPr>
              <w:t>Status</w:t>
            </w:r>
          </w:p>
        </w:tc>
        <w:tc>
          <w:tcPr>
            <w:tcW w:w="6480" w:type="dxa"/>
          </w:tcPr>
          <w:p w:rsidR="004C52FC" w:rsidRPr="0037786D" w:rsidRDefault="004C52FC" w:rsidP="003E791C">
            <w:pPr>
              <w:spacing w:before="120"/>
              <w:jc w:val="center"/>
              <w:rPr>
                <w:rFonts w:ascii="Arial" w:hAnsi="Arial" w:cs="Arial"/>
                <w:b/>
              </w:rPr>
            </w:pPr>
            <w:r>
              <w:rPr>
                <w:rFonts w:ascii="Arial" w:hAnsi="Arial" w:cs="Arial"/>
                <w:b/>
              </w:rPr>
              <w:t>Progress or Rationale for No Longer Applicable</w:t>
            </w:r>
          </w:p>
        </w:tc>
      </w:tr>
      <w:tr w:rsidR="001A2E6B" w:rsidRPr="0037786D" w:rsidTr="001A2E6B">
        <w:tc>
          <w:tcPr>
            <w:tcW w:w="3708" w:type="dxa"/>
          </w:tcPr>
          <w:p w:rsidR="00F75CE3" w:rsidRDefault="00F75CE3" w:rsidP="00F75CE3">
            <w:pPr>
              <w:autoSpaceDE w:val="0"/>
              <w:autoSpaceDN w:val="0"/>
              <w:adjustRightInd w:val="0"/>
              <w:rPr>
                <w:rFonts w:ascii="Arial" w:hAnsi="Arial" w:cs="Arial"/>
                <w:bCs/>
                <w:color w:val="000000"/>
              </w:rPr>
            </w:pPr>
            <w:r w:rsidRPr="000D5078">
              <w:rPr>
                <w:rFonts w:ascii="Arial" w:hAnsi="Arial" w:cs="Arial"/>
                <w:bCs/>
                <w:color w:val="000000"/>
              </w:rPr>
              <w:t xml:space="preserve">It is recommended that the department prioritize its excellent suggestion to improve the Program Review process the next time around by developing “a data collection method that addresses these components and maintain the data through the years”.  Often good intentions are lost to competing priorities once the Program Review process is </w:t>
            </w:r>
            <w:r>
              <w:rPr>
                <w:rFonts w:ascii="Arial" w:hAnsi="Arial" w:cs="Arial"/>
                <w:bCs/>
                <w:color w:val="000000"/>
              </w:rPr>
              <w:t>completed</w:t>
            </w:r>
            <w:r w:rsidRPr="000D5078">
              <w:rPr>
                <w:rFonts w:ascii="Arial" w:hAnsi="Arial" w:cs="Arial"/>
                <w:bCs/>
                <w:color w:val="000000"/>
              </w:rPr>
              <w:t xml:space="preserve"> for the next five years – care should be taken to ensure that the department follows through with this plan, which should result in an even more impressive self-study in five years’ time.  T</w:t>
            </w:r>
            <w:r>
              <w:rPr>
                <w:rFonts w:ascii="Arial" w:hAnsi="Arial" w:cs="Arial"/>
                <w:bCs/>
                <w:color w:val="000000"/>
              </w:rPr>
              <w:t>he department has the opportunity to take its already substantial assessment work to the next level with strategic and systematic collection, analysis and use of data, and the review team hopes that the department will act on this opportunity.</w:t>
            </w:r>
          </w:p>
          <w:p w:rsidR="001A2E6B" w:rsidRPr="00654C15" w:rsidRDefault="001A2E6B" w:rsidP="003E791C">
            <w:pPr>
              <w:pStyle w:val="ListParagraph"/>
              <w:ind w:left="0"/>
              <w:rPr>
                <w:rFonts w:ascii="Arial" w:hAnsi="Arial" w:cs="Arial"/>
                <w:color w:val="000000" w:themeColor="text1"/>
              </w:rPr>
            </w:pPr>
          </w:p>
        </w:tc>
        <w:tc>
          <w:tcPr>
            <w:tcW w:w="2700" w:type="dxa"/>
          </w:tcPr>
          <w:p w:rsidR="000A455C" w:rsidRDefault="000A455C" w:rsidP="000A455C">
            <w:pPr>
              <w:pStyle w:val="ListParagraph"/>
              <w:ind w:left="0"/>
              <w:rPr>
                <w:rFonts w:ascii="Arial" w:hAnsi="Arial" w:cs="Arial"/>
                <w:color w:val="000000" w:themeColor="text1"/>
              </w:rPr>
            </w:pPr>
            <w:r>
              <w:rPr>
                <w:rFonts w:ascii="Arial" w:hAnsi="Arial" w:cs="Arial"/>
                <w:color w:val="000000" w:themeColor="text1"/>
              </w:rPr>
              <w:t xml:space="preserve">In progress </w:t>
            </w:r>
            <w:r w:rsidR="00D11460">
              <w:fldChar w:fldCharType="begin">
                <w:ffData>
                  <w:name w:val=""/>
                  <w:enabled/>
                  <w:calcOnExit w:val="0"/>
                  <w:checkBox>
                    <w:sizeAuto/>
                    <w:default w:val="1"/>
                  </w:checkBox>
                </w:ffData>
              </w:fldChar>
            </w:r>
            <w:r w:rsidR="00D11460">
              <w:instrText xml:space="preserve"> FORMCHECKBOX </w:instrText>
            </w:r>
            <w:r w:rsidR="00524079">
              <w:fldChar w:fldCharType="separate"/>
            </w:r>
            <w:r w:rsidR="00D11460">
              <w:fldChar w:fldCharType="end"/>
            </w:r>
          </w:p>
          <w:p w:rsidR="000A455C" w:rsidRDefault="000A455C" w:rsidP="000A455C">
            <w:pPr>
              <w:pStyle w:val="ListParagraph"/>
              <w:ind w:left="0"/>
              <w:rPr>
                <w:rFonts w:ascii="Arial" w:hAnsi="Arial" w:cs="Arial"/>
                <w:color w:val="000000" w:themeColor="text1"/>
              </w:rPr>
            </w:pPr>
          </w:p>
          <w:p w:rsidR="000A455C" w:rsidRDefault="000A455C" w:rsidP="000A455C">
            <w:pPr>
              <w:pStyle w:val="ListParagraph"/>
              <w:ind w:left="0"/>
              <w:rPr>
                <w:rFonts w:ascii="Arial" w:hAnsi="Arial" w:cs="Arial"/>
                <w:color w:val="000000" w:themeColor="text1"/>
              </w:rPr>
            </w:pPr>
            <w:r>
              <w:rPr>
                <w:rFonts w:ascii="Arial" w:hAnsi="Arial" w:cs="Arial"/>
                <w:color w:val="000000" w:themeColor="text1"/>
              </w:rPr>
              <w:t xml:space="preserve">Completed </w:t>
            </w:r>
            <w:r>
              <w:fldChar w:fldCharType="begin">
                <w:ffData>
                  <w:name w:val="Check1"/>
                  <w:enabled/>
                  <w:calcOnExit w:val="0"/>
                  <w:checkBox>
                    <w:sizeAuto/>
                    <w:default w:val="0"/>
                  </w:checkBox>
                </w:ffData>
              </w:fldChar>
            </w:r>
            <w:r>
              <w:instrText xml:space="preserve"> FORMCHECKBOX </w:instrText>
            </w:r>
            <w:r w:rsidR="00524079">
              <w:fldChar w:fldCharType="separate"/>
            </w:r>
            <w:r>
              <w:fldChar w:fldCharType="end"/>
            </w:r>
          </w:p>
          <w:p w:rsidR="000A455C" w:rsidRDefault="000A455C" w:rsidP="000A455C">
            <w:pPr>
              <w:pStyle w:val="ListParagraph"/>
              <w:ind w:left="0"/>
              <w:rPr>
                <w:rFonts w:ascii="Arial" w:hAnsi="Arial" w:cs="Arial"/>
                <w:color w:val="000000" w:themeColor="text1"/>
              </w:rPr>
            </w:pPr>
          </w:p>
          <w:p w:rsidR="000A455C" w:rsidRDefault="000A455C" w:rsidP="000A455C">
            <w:r>
              <w:rPr>
                <w:rFonts w:ascii="Arial" w:hAnsi="Arial" w:cs="Arial"/>
                <w:color w:val="000000" w:themeColor="text1"/>
              </w:rPr>
              <w:t xml:space="preserve">No longer applicable </w:t>
            </w:r>
            <w:r>
              <w:fldChar w:fldCharType="begin">
                <w:ffData>
                  <w:name w:val="Check1"/>
                  <w:enabled/>
                  <w:calcOnExit w:val="0"/>
                  <w:checkBox>
                    <w:sizeAuto/>
                    <w:default w:val="0"/>
                  </w:checkBox>
                </w:ffData>
              </w:fldChar>
            </w:r>
            <w:r>
              <w:instrText xml:space="preserve"> FORMCHECKBOX </w:instrText>
            </w:r>
            <w:r w:rsidR="00524079">
              <w:fldChar w:fldCharType="separate"/>
            </w:r>
            <w:r>
              <w:fldChar w:fldCharType="end"/>
            </w:r>
          </w:p>
          <w:p w:rsidR="001A2E6B" w:rsidRPr="0037786D" w:rsidRDefault="001A2E6B" w:rsidP="00637591">
            <w:pPr>
              <w:pStyle w:val="ListParagraph"/>
              <w:ind w:left="0"/>
              <w:rPr>
                <w:rFonts w:ascii="Arial" w:hAnsi="Arial" w:cs="Arial"/>
                <w:color w:val="000000" w:themeColor="text1"/>
              </w:rPr>
            </w:pPr>
          </w:p>
        </w:tc>
        <w:tc>
          <w:tcPr>
            <w:tcW w:w="6480" w:type="dxa"/>
          </w:tcPr>
          <w:p w:rsidR="00353CF8" w:rsidRDefault="00353CF8" w:rsidP="00353CF8">
            <w:pPr>
              <w:rPr>
                <w:b/>
              </w:rPr>
            </w:pPr>
            <w:r>
              <w:rPr>
                <w:b/>
              </w:rPr>
              <w:t>-Database:</w:t>
            </w:r>
          </w:p>
          <w:p w:rsidR="00353CF8" w:rsidRDefault="00353CF8" w:rsidP="00E7360B">
            <w:pPr>
              <w:tabs>
                <w:tab w:val="left" w:pos="432"/>
              </w:tabs>
              <w:ind w:left="522" w:hanging="522"/>
            </w:pPr>
            <w:r>
              <w:rPr>
                <w:b/>
              </w:rPr>
              <w:tab/>
              <w:t>-</w:t>
            </w:r>
            <w:r>
              <w:t>The department has progressed from a paper and pen admissions process to a spreadsheet, and now to a relational database that not only collects and stores all admissions data, but is now our program data repository for student general information and performance.</w:t>
            </w:r>
          </w:p>
          <w:p w:rsidR="00353CF8" w:rsidRDefault="00353CF8" w:rsidP="00353CF8">
            <w:pPr>
              <w:tabs>
                <w:tab w:val="left" w:pos="432"/>
              </w:tabs>
              <w:ind w:left="522" w:hanging="522"/>
              <w:rPr>
                <w:b/>
              </w:rPr>
            </w:pPr>
            <w:r>
              <w:rPr>
                <w:b/>
              </w:rPr>
              <w:t>-Analysis:</w:t>
            </w:r>
          </w:p>
          <w:p w:rsidR="00353CF8" w:rsidRDefault="00353CF8" w:rsidP="00353CF8">
            <w:pPr>
              <w:tabs>
                <w:tab w:val="left" w:pos="432"/>
              </w:tabs>
              <w:ind w:left="522" w:hanging="522"/>
            </w:pPr>
            <w:r>
              <w:rPr>
                <w:b/>
              </w:rPr>
              <w:tab/>
            </w:r>
            <w:r>
              <w:t xml:space="preserve">-We have the capability to export data to Excel, SPSS, and R for advanced statistical analysis. As an example, we have preliminary data for our anatomy and kinesiology course, showing a significant improvement in the performance of students who were admitted by competitive admission as compared to those admitted from a wait list (see </w:t>
            </w:r>
            <w:hyperlink w:anchor="ANOVA" w:history="1">
              <w:r w:rsidRPr="00167DC4">
                <w:rPr>
                  <w:rStyle w:val="Hyperlink"/>
                </w:rPr>
                <w:t>1116 ANOVA and T-Test</w:t>
              </w:r>
            </w:hyperlink>
            <w:r>
              <w:t xml:space="preserve">). </w:t>
            </w:r>
          </w:p>
          <w:p w:rsidR="00353CF8" w:rsidRDefault="00353CF8" w:rsidP="00353CF8">
            <w:pPr>
              <w:tabs>
                <w:tab w:val="left" w:pos="432"/>
              </w:tabs>
              <w:ind w:left="522" w:hanging="522"/>
            </w:pPr>
            <w:r>
              <w:tab/>
              <w:t>-Moving forward, with course and key exam data entered into the database, we will be able to analyze relationships of performance data to program prerequisites, general education requirements, and specialized testing such as the TEAS.</w:t>
            </w:r>
          </w:p>
          <w:p w:rsidR="00353CF8" w:rsidRDefault="00353CF8" w:rsidP="00353CF8">
            <w:pPr>
              <w:tabs>
                <w:tab w:val="left" w:pos="432"/>
              </w:tabs>
              <w:ind w:left="522" w:hanging="522"/>
            </w:pPr>
            <w:r>
              <w:rPr>
                <w:b/>
              </w:rPr>
              <w:t>-Sustainability:</w:t>
            </w:r>
          </w:p>
          <w:p w:rsidR="001A2E6B" w:rsidRDefault="00353CF8" w:rsidP="00353CF8">
            <w:r>
              <w:tab/>
              <w:t>-As we are sensitive to the need for reliable and ongoing data entry, we have two administrative assistants who are responsible for updating the database during the admissions process and as course scores/grades become available. We recognize that building a database is much easier than maintaining it. We are confident that our administrative assistants will very effectively meet the needs of this most important process.</w:t>
            </w:r>
          </w:p>
        </w:tc>
      </w:tr>
      <w:tr w:rsidR="001A2E6B" w:rsidRPr="0037786D" w:rsidTr="001A2E6B">
        <w:tc>
          <w:tcPr>
            <w:tcW w:w="3708" w:type="dxa"/>
          </w:tcPr>
          <w:p w:rsidR="00F75CE3" w:rsidRDefault="00F75CE3" w:rsidP="00F75CE3">
            <w:pPr>
              <w:autoSpaceDE w:val="0"/>
              <w:autoSpaceDN w:val="0"/>
              <w:adjustRightInd w:val="0"/>
              <w:rPr>
                <w:rFonts w:ascii="Arial" w:hAnsi="Arial" w:cs="Arial"/>
                <w:bCs/>
                <w:color w:val="000000"/>
              </w:rPr>
            </w:pPr>
            <w:r>
              <w:rPr>
                <w:rFonts w:ascii="Arial" w:hAnsi="Arial" w:cs="Arial"/>
                <w:bCs/>
                <w:color w:val="000000"/>
              </w:rPr>
              <w:lastRenderedPageBreak/>
              <w:t>While the department has a solid history of serious efforts to reduce attrition, it continues to be something that the department should seek to address.  The implementation of selective admissions holds great promise for lowering attrition, and it is recommended that the department carefully track the impact that these admissions changes have on subsequent student attrition and completion.  Hopefully selective admissions will lead to substantial decreases in attrition, although even if they do the department should continue to explore other strategies that might increase retention of students in the program.</w:t>
            </w:r>
          </w:p>
          <w:p w:rsidR="001A2E6B" w:rsidRPr="00654C15" w:rsidRDefault="001A2E6B" w:rsidP="003E791C">
            <w:pPr>
              <w:pStyle w:val="ListParagraph"/>
              <w:ind w:left="0"/>
              <w:rPr>
                <w:rFonts w:ascii="Arial" w:hAnsi="Arial" w:cs="Arial"/>
                <w:color w:val="000000" w:themeColor="text1"/>
              </w:rPr>
            </w:pPr>
          </w:p>
        </w:tc>
        <w:tc>
          <w:tcPr>
            <w:tcW w:w="2700" w:type="dxa"/>
          </w:tcPr>
          <w:p w:rsidR="001A2E6B" w:rsidRDefault="001A2E6B" w:rsidP="00637591">
            <w:pPr>
              <w:pStyle w:val="ListParagraph"/>
              <w:ind w:left="0"/>
              <w:rPr>
                <w:rFonts w:ascii="Arial" w:hAnsi="Arial" w:cs="Arial"/>
                <w:color w:val="000000" w:themeColor="text1"/>
              </w:rPr>
            </w:pPr>
          </w:p>
          <w:p w:rsidR="000A455C" w:rsidRDefault="000A455C" w:rsidP="000A455C">
            <w:pPr>
              <w:pStyle w:val="ListParagraph"/>
              <w:ind w:left="0"/>
              <w:rPr>
                <w:rFonts w:ascii="Arial" w:hAnsi="Arial" w:cs="Arial"/>
                <w:color w:val="000000" w:themeColor="text1"/>
              </w:rPr>
            </w:pPr>
            <w:r>
              <w:rPr>
                <w:rFonts w:ascii="Arial" w:hAnsi="Arial" w:cs="Arial"/>
                <w:color w:val="000000" w:themeColor="text1"/>
              </w:rPr>
              <w:t xml:space="preserve">In progress </w:t>
            </w:r>
            <w:r w:rsidR="00D11460">
              <w:fldChar w:fldCharType="begin">
                <w:ffData>
                  <w:name w:val=""/>
                  <w:enabled/>
                  <w:calcOnExit w:val="0"/>
                  <w:checkBox>
                    <w:sizeAuto/>
                    <w:default w:val="1"/>
                  </w:checkBox>
                </w:ffData>
              </w:fldChar>
            </w:r>
            <w:r w:rsidR="00D11460">
              <w:instrText xml:space="preserve"> FORMCHECKBOX </w:instrText>
            </w:r>
            <w:r w:rsidR="00524079">
              <w:fldChar w:fldCharType="separate"/>
            </w:r>
            <w:r w:rsidR="00D11460">
              <w:fldChar w:fldCharType="end"/>
            </w:r>
          </w:p>
          <w:p w:rsidR="000A455C" w:rsidRDefault="000A455C" w:rsidP="000A455C">
            <w:pPr>
              <w:pStyle w:val="ListParagraph"/>
              <w:ind w:left="0"/>
              <w:rPr>
                <w:rFonts w:ascii="Arial" w:hAnsi="Arial" w:cs="Arial"/>
                <w:color w:val="000000" w:themeColor="text1"/>
              </w:rPr>
            </w:pPr>
          </w:p>
          <w:p w:rsidR="000A455C" w:rsidRDefault="000A455C" w:rsidP="000A455C">
            <w:pPr>
              <w:pStyle w:val="ListParagraph"/>
              <w:ind w:left="0"/>
              <w:rPr>
                <w:rFonts w:ascii="Arial" w:hAnsi="Arial" w:cs="Arial"/>
                <w:color w:val="000000" w:themeColor="text1"/>
              </w:rPr>
            </w:pPr>
            <w:r>
              <w:rPr>
                <w:rFonts w:ascii="Arial" w:hAnsi="Arial" w:cs="Arial"/>
                <w:color w:val="000000" w:themeColor="text1"/>
              </w:rPr>
              <w:t xml:space="preserve">Completed </w:t>
            </w:r>
            <w:r>
              <w:fldChar w:fldCharType="begin">
                <w:ffData>
                  <w:name w:val="Check1"/>
                  <w:enabled/>
                  <w:calcOnExit w:val="0"/>
                  <w:checkBox>
                    <w:sizeAuto/>
                    <w:default w:val="0"/>
                  </w:checkBox>
                </w:ffData>
              </w:fldChar>
            </w:r>
            <w:r>
              <w:instrText xml:space="preserve"> FORMCHECKBOX </w:instrText>
            </w:r>
            <w:r w:rsidR="00524079">
              <w:fldChar w:fldCharType="separate"/>
            </w:r>
            <w:r>
              <w:fldChar w:fldCharType="end"/>
            </w:r>
          </w:p>
          <w:p w:rsidR="000A455C" w:rsidRDefault="000A455C" w:rsidP="000A455C">
            <w:pPr>
              <w:pStyle w:val="ListParagraph"/>
              <w:ind w:left="0"/>
              <w:rPr>
                <w:rFonts w:ascii="Arial" w:hAnsi="Arial" w:cs="Arial"/>
                <w:color w:val="000000" w:themeColor="text1"/>
              </w:rPr>
            </w:pPr>
          </w:p>
          <w:p w:rsidR="000A455C" w:rsidRDefault="000A455C" w:rsidP="000A455C">
            <w:r>
              <w:rPr>
                <w:rFonts w:ascii="Arial" w:hAnsi="Arial" w:cs="Arial"/>
                <w:color w:val="000000" w:themeColor="text1"/>
              </w:rPr>
              <w:t xml:space="preserve">No longer applicable </w:t>
            </w:r>
            <w:r>
              <w:fldChar w:fldCharType="begin">
                <w:ffData>
                  <w:name w:val="Check1"/>
                  <w:enabled/>
                  <w:calcOnExit w:val="0"/>
                  <w:checkBox>
                    <w:sizeAuto/>
                    <w:default w:val="0"/>
                  </w:checkBox>
                </w:ffData>
              </w:fldChar>
            </w:r>
            <w:r>
              <w:instrText xml:space="preserve"> FORMCHECKBOX </w:instrText>
            </w:r>
            <w:r w:rsidR="00524079">
              <w:fldChar w:fldCharType="separate"/>
            </w:r>
            <w:r>
              <w:fldChar w:fldCharType="end"/>
            </w:r>
          </w:p>
          <w:p w:rsidR="001A2E6B" w:rsidRPr="0037786D" w:rsidRDefault="001A2E6B" w:rsidP="00637591">
            <w:pPr>
              <w:pStyle w:val="ListParagraph"/>
              <w:ind w:left="0"/>
              <w:rPr>
                <w:rFonts w:ascii="Arial" w:hAnsi="Arial" w:cs="Arial"/>
                <w:color w:val="000000" w:themeColor="text1"/>
              </w:rPr>
            </w:pPr>
          </w:p>
        </w:tc>
        <w:tc>
          <w:tcPr>
            <w:tcW w:w="6480" w:type="dxa"/>
          </w:tcPr>
          <w:p w:rsidR="001A2E6B" w:rsidRDefault="00794893" w:rsidP="00432E58">
            <w:r>
              <w:t xml:space="preserve">See </w:t>
            </w:r>
            <w:hyperlink w:anchor="AttritionData" w:history="1">
              <w:r w:rsidRPr="00167DC4">
                <w:rPr>
                  <w:rStyle w:val="Hyperlink"/>
                </w:rPr>
                <w:t>PTA Program Attrition Data</w:t>
              </w:r>
              <w:r w:rsidR="0038079E" w:rsidRPr="00167DC4">
                <w:rPr>
                  <w:rStyle w:val="Hyperlink"/>
                </w:rPr>
                <w:t xml:space="preserve"> 2012-2015</w:t>
              </w:r>
            </w:hyperlink>
            <w:r>
              <w:t>.</w:t>
            </w:r>
          </w:p>
        </w:tc>
      </w:tr>
      <w:tr w:rsidR="001A2E6B" w:rsidRPr="0037786D" w:rsidTr="001A2E6B">
        <w:tc>
          <w:tcPr>
            <w:tcW w:w="3708" w:type="dxa"/>
          </w:tcPr>
          <w:p w:rsidR="00F75CE3" w:rsidRDefault="00F75CE3" w:rsidP="00F75CE3">
            <w:pPr>
              <w:autoSpaceDE w:val="0"/>
              <w:autoSpaceDN w:val="0"/>
              <w:adjustRightInd w:val="0"/>
              <w:rPr>
                <w:rFonts w:ascii="Arial" w:hAnsi="Arial" w:cs="Arial"/>
                <w:bCs/>
                <w:color w:val="000000"/>
              </w:rPr>
            </w:pPr>
            <w:r>
              <w:rPr>
                <w:rFonts w:ascii="Arial" w:hAnsi="Arial" w:cs="Arial"/>
                <w:bCs/>
                <w:color w:val="000000"/>
              </w:rPr>
              <w:t xml:space="preserve">The challenges of expanding the program to the Courseview Campus were discussed at length during the meeting with the review team, and while the department has truly done an excellent job of managing this expansion, there are still challenges with consistency in processes and procedures between the two locations that </w:t>
            </w:r>
            <w:r>
              <w:rPr>
                <w:rFonts w:ascii="Arial" w:hAnsi="Arial" w:cs="Arial"/>
                <w:bCs/>
                <w:color w:val="000000"/>
              </w:rPr>
              <w:lastRenderedPageBreak/>
              <w:t>need to be addressed.  At some point there will need to be contemplation and long-term planning regarding the eventual relationship between the two locations – will Courseview’s PTA program always be subordinate to the one at the Dayton Campus, or at some point will it eventually achieve a measure of independence?  And what would the implications be institutionally and for accreditation?</w:t>
            </w:r>
          </w:p>
          <w:p w:rsidR="001A2E6B" w:rsidRPr="00654C15" w:rsidRDefault="001A2E6B" w:rsidP="003E791C">
            <w:pPr>
              <w:pStyle w:val="ListParagraph"/>
              <w:ind w:left="0"/>
              <w:rPr>
                <w:rFonts w:ascii="Arial" w:hAnsi="Arial" w:cs="Arial"/>
                <w:color w:val="000000" w:themeColor="text1"/>
              </w:rPr>
            </w:pPr>
          </w:p>
        </w:tc>
        <w:tc>
          <w:tcPr>
            <w:tcW w:w="2700" w:type="dxa"/>
          </w:tcPr>
          <w:p w:rsidR="001A2E6B" w:rsidRDefault="001A2E6B" w:rsidP="00637591">
            <w:pPr>
              <w:pStyle w:val="ListParagraph"/>
              <w:ind w:left="0"/>
              <w:rPr>
                <w:rFonts w:ascii="Arial" w:hAnsi="Arial" w:cs="Arial"/>
                <w:color w:val="000000" w:themeColor="text1"/>
              </w:rPr>
            </w:pPr>
          </w:p>
          <w:p w:rsidR="000A455C" w:rsidRDefault="000A455C" w:rsidP="000A455C">
            <w:pPr>
              <w:pStyle w:val="ListParagraph"/>
              <w:ind w:left="0"/>
              <w:rPr>
                <w:rFonts w:ascii="Arial" w:hAnsi="Arial" w:cs="Arial"/>
                <w:color w:val="000000" w:themeColor="text1"/>
              </w:rPr>
            </w:pPr>
            <w:r>
              <w:rPr>
                <w:rFonts w:ascii="Arial" w:hAnsi="Arial" w:cs="Arial"/>
                <w:color w:val="000000" w:themeColor="text1"/>
              </w:rPr>
              <w:t xml:space="preserve">In progress </w:t>
            </w:r>
            <w:r w:rsidR="00B2426B">
              <w:fldChar w:fldCharType="begin">
                <w:ffData>
                  <w:name w:val=""/>
                  <w:enabled/>
                  <w:calcOnExit w:val="0"/>
                  <w:checkBox>
                    <w:sizeAuto/>
                    <w:default w:val="1"/>
                  </w:checkBox>
                </w:ffData>
              </w:fldChar>
            </w:r>
            <w:r w:rsidR="00B2426B">
              <w:instrText xml:space="preserve"> FORMCHECKBOX </w:instrText>
            </w:r>
            <w:r w:rsidR="00524079">
              <w:fldChar w:fldCharType="separate"/>
            </w:r>
            <w:r w:rsidR="00B2426B">
              <w:fldChar w:fldCharType="end"/>
            </w:r>
          </w:p>
          <w:p w:rsidR="000A455C" w:rsidRDefault="000A455C" w:rsidP="000A455C">
            <w:pPr>
              <w:pStyle w:val="ListParagraph"/>
              <w:ind w:left="0"/>
              <w:rPr>
                <w:rFonts w:ascii="Arial" w:hAnsi="Arial" w:cs="Arial"/>
                <w:color w:val="000000" w:themeColor="text1"/>
              </w:rPr>
            </w:pPr>
          </w:p>
          <w:p w:rsidR="000A455C" w:rsidRDefault="000A455C" w:rsidP="000A455C">
            <w:pPr>
              <w:pStyle w:val="ListParagraph"/>
              <w:ind w:left="0"/>
              <w:rPr>
                <w:rFonts w:ascii="Arial" w:hAnsi="Arial" w:cs="Arial"/>
                <w:color w:val="000000" w:themeColor="text1"/>
              </w:rPr>
            </w:pPr>
            <w:r>
              <w:rPr>
                <w:rFonts w:ascii="Arial" w:hAnsi="Arial" w:cs="Arial"/>
                <w:color w:val="000000" w:themeColor="text1"/>
              </w:rPr>
              <w:t xml:space="preserve">Completed </w:t>
            </w:r>
            <w:r>
              <w:fldChar w:fldCharType="begin">
                <w:ffData>
                  <w:name w:val="Check1"/>
                  <w:enabled/>
                  <w:calcOnExit w:val="0"/>
                  <w:checkBox>
                    <w:sizeAuto/>
                    <w:default w:val="0"/>
                  </w:checkBox>
                </w:ffData>
              </w:fldChar>
            </w:r>
            <w:r>
              <w:instrText xml:space="preserve"> FORMCHECKBOX </w:instrText>
            </w:r>
            <w:r w:rsidR="00524079">
              <w:fldChar w:fldCharType="separate"/>
            </w:r>
            <w:r>
              <w:fldChar w:fldCharType="end"/>
            </w:r>
          </w:p>
          <w:p w:rsidR="000A455C" w:rsidRDefault="000A455C" w:rsidP="000A455C">
            <w:pPr>
              <w:pStyle w:val="ListParagraph"/>
              <w:ind w:left="0"/>
              <w:rPr>
                <w:rFonts w:ascii="Arial" w:hAnsi="Arial" w:cs="Arial"/>
                <w:color w:val="000000" w:themeColor="text1"/>
              </w:rPr>
            </w:pPr>
          </w:p>
          <w:p w:rsidR="000A455C" w:rsidRDefault="000A455C" w:rsidP="000A455C">
            <w:r>
              <w:rPr>
                <w:rFonts w:ascii="Arial" w:hAnsi="Arial" w:cs="Arial"/>
                <w:color w:val="000000" w:themeColor="text1"/>
              </w:rPr>
              <w:t xml:space="preserve">No longer applicable </w:t>
            </w:r>
          </w:p>
          <w:p w:rsidR="001A2E6B" w:rsidRPr="0037786D" w:rsidRDefault="001A2E6B" w:rsidP="00637591">
            <w:pPr>
              <w:pStyle w:val="ListParagraph"/>
              <w:ind w:left="0"/>
              <w:rPr>
                <w:rFonts w:ascii="Arial" w:hAnsi="Arial" w:cs="Arial"/>
                <w:color w:val="000000" w:themeColor="text1"/>
              </w:rPr>
            </w:pPr>
          </w:p>
        </w:tc>
        <w:tc>
          <w:tcPr>
            <w:tcW w:w="6480" w:type="dxa"/>
          </w:tcPr>
          <w:p w:rsidR="00B2426B" w:rsidRDefault="00B2426B" w:rsidP="00570DBE">
            <w:r>
              <w:t>-</w:t>
            </w:r>
            <w:r>
              <w:rPr>
                <w:b/>
              </w:rPr>
              <w:t>Inconsistency</w:t>
            </w:r>
            <w:r w:rsidRPr="00B2426B">
              <w:rPr>
                <w:b/>
              </w:rPr>
              <w:t xml:space="preserve"> in processes and procedures</w:t>
            </w:r>
            <w:r>
              <w:t xml:space="preserve">:   </w:t>
            </w:r>
          </w:p>
          <w:p w:rsidR="00B2426B" w:rsidRDefault="00B2426B" w:rsidP="00570DBE">
            <w:r>
              <w:t xml:space="preserve">     -Due process at the Courseview campus has improved with better communication between faculty, staff, and students.</w:t>
            </w:r>
          </w:p>
          <w:p w:rsidR="008D0B3E" w:rsidRDefault="00B2426B" w:rsidP="00570DBE">
            <w:r>
              <w:t xml:space="preserve">     -Scheduling of courses is different for each campus</w:t>
            </w:r>
            <w:r w:rsidR="008D0B3E">
              <w:t>.</w:t>
            </w:r>
          </w:p>
          <w:p w:rsidR="00B2426B" w:rsidRDefault="00B2426B" w:rsidP="00570DBE">
            <w:r>
              <w:t xml:space="preserve">     -Scheduling of classroom/large meeting space is different for each campus.</w:t>
            </w:r>
          </w:p>
          <w:p w:rsidR="00B2426B" w:rsidRDefault="00B2426B" w:rsidP="00570DBE">
            <w:r>
              <w:t xml:space="preserve">           -Scheduling a classroom for a regular semester course been excellent and the accommodations have been greatly appreciated.</w:t>
            </w:r>
          </w:p>
          <w:p w:rsidR="00B2426B" w:rsidRDefault="00B2426B" w:rsidP="00570DBE">
            <w:r>
              <w:t xml:space="preserve">           -Scheduling a classroom for a one-time event or meeting has been inconsistent and several mix-ups have occurred.</w:t>
            </w:r>
          </w:p>
          <w:p w:rsidR="00B2426B" w:rsidRDefault="00B2426B" w:rsidP="00570DBE">
            <w:r>
              <w:lastRenderedPageBreak/>
              <w:t xml:space="preserve">     -Availa</w:t>
            </w:r>
            <w:r w:rsidR="008D0B3E">
              <w:t xml:space="preserve">bility of Counseling Services, </w:t>
            </w:r>
            <w:r>
              <w:t>Career Services</w:t>
            </w:r>
            <w:r w:rsidR="008D0B3E">
              <w:t>, and TEAS testing</w:t>
            </w:r>
            <w:r>
              <w:t xml:space="preserve"> is limited at the Courseview campus, which creates a barrier for students to receive these needed services.</w:t>
            </w:r>
          </w:p>
          <w:p w:rsidR="00B2426B" w:rsidRDefault="00B2426B" w:rsidP="00B2426B">
            <w:r>
              <w:t xml:space="preserve">     -The textbook adoption process does not always ensure the appropriate number of books are delivered to the Courseview campus.</w:t>
            </w:r>
          </w:p>
          <w:p w:rsidR="00B2426B" w:rsidRDefault="00B2426B" w:rsidP="00B2426B">
            <w:r>
              <w:t xml:space="preserve">     -Interoffice mail is not taken/delivered on a daily basis, which creates an issue with meeting deadlines</w:t>
            </w:r>
            <w:r w:rsidR="003C1A7C">
              <w:t>, in particular Pcard reports</w:t>
            </w:r>
            <w:r>
              <w:t>.</w:t>
            </w:r>
          </w:p>
          <w:p w:rsidR="008D0B3E" w:rsidRDefault="008D0B3E" w:rsidP="00B2426B"/>
        </w:tc>
      </w:tr>
      <w:tr w:rsidR="001A2E6B" w:rsidRPr="0037786D" w:rsidTr="001A2E6B">
        <w:tc>
          <w:tcPr>
            <w:tcW w:w="3708" w:type="dxa"/>
          </w:tcPr>
          <w:p w:rsidR="00F75CE3" w:rsidRDefault="00F75CE3" w:rsidP="00F75CE3">
            <w:pPr>
              <w:autoSpaceDE w:val="0"/>
              <w:autoSpaceDN w:val="0"/>
              <w:adjustRightInd w:val="0"/>
              <w:rPr>
                <w:rFonts w:ascii="Arial" w:hAnsi="Arial" w:cs="Arial"/>
                <w:bCs/>
                <w:color w:val="000000"/>
              </w:rPr>
            </w:pPr>
            <w:r>
              <w:rPr>
                <w:rFonts w:ascii="Arial" w:hAnsi="Arial" w:cs="Arial"/>
                <w:bCs/>
                <w:color w:val="000000"/>
              </w:rPr>
              <w:lastRenderedPageBreak/>
              <w:t>The Courseview Campus overall is still young and growing, and is in a position where decisions will frequently need to be made regarding priorities and allocation of resources.  The department will need to be proactive in articulating its needs to help with prioritization of limited resources.</w:t>
            </w:r>
          </w:p>
          <w:p w:rsidR="001A2E6B" w:rsidRPr="00654C15" w:rsidRDefault="001A2E6B" w:rsidP="003E791C">
            <w:pPr>
              <w:pStyle w:val="ListParagraph"/>
              <w:ind w:left="0"/>
              <w:rPr>
                <w:rFonts w:ascii="Arial" w:hAnsi="Arial" w:cs="Arial"/>
                <w:color w:val="000000" w:themeColor="text1"/>
              </w:rPr>
            </w:pPr>
          </w:p>
        </w:tc>
        <w:tc>
          <w:tcPr>
            <w:tcW w:w="2700" w:type="dxa"/>
          </w:tcPr>
          <w:p w:rsidR="000A455C" w:rsidRDefault="000A455C" w:rsidP="000A455C">
            <w:pPr>
              <w:pStyle w:val="ListParagraph"/>
              <w:ind w:left="0"/>
              <w:rPr>
                <w:rFonts w:ascii="Arial" w:hAnsi="Arial" w:cs="Arial"/>
                <w:color w:val="000000" w:themeColor="text1"/>
              </w:rPr>
            </w:pPr>
            <w:r>
              <w:rPr>
                <w:rFonts w:ascii="Arial" w:hAnsi="Arial" w:cs="Arial"/>
                <w:color w:val="000000" w:themeColor="text1"/>
              </w:rPr>
              <w:t xml:space="preserve">In progress </w:t>
            </w:r>
            <w:r w:rsidR="008D0B3E">
              <w:fldChar w:fldCharType="begin">
                <w:ffData>
                  <w:name w:val=""/>
                  <w:enabled/>
                  <w:calcOnExit w:val="0"/>
                  <w:checkBox>
                    <w:sizeAuto/>
                    <w:default w:val="1"/>
                  </w:checkBox>
                </w:ffData>
              </w:fldChar>
            </w:r>
            <w:r w:rsidR="008D0B3E">
              <w:instrText xml:space="preserve"> FORMCHECKBOX </w:instrText>
            </w:r>
            <w:r w:rsidR="00524079">
              <w:fldChar w:fldCharType="separate"/>
            </w:r>
            <w:r w:rsidR="008D0B3E">
              <w:fldChar w:fldCharType="end"/>
            </w:r>
          </w:p>
          <w:p w:rsidR="000A455C" w:rsidRDefault="000A455C" w:rsidP="000A455C">
            <w:pPr>
              <w:pStyle w:val="ListParagraph"/>
              <w:ind w:left="0"/>
              <w:rPr>
                <w:rFonts w:ascii="Arial" w:hAnsi="Arial" w:cs="Arial"/>
                <w:color w:val="000000" w:themeColor="text1"/>
              </w:rPr>
            </w:pPr>
          </w:p>
          <w:p w:rsidR="000A455C" w:rsidRDefault="000A455C" w:rsidP="000A455C">
            <w:pPr>
              <w:pStyle w:val="ListParagraph"/>
              <w:ind w:left="0"/>
              <w:rPr>
                <w:rFonts w:ascii="Arial" w:hAnsi="Arial" w:cs="Arial"/>
                <w:color w:val="000000" w:themeColor="text1"/>
              </w:rPr>
            </w:pPr>
            <w:r>
              <w:rPr>
                <w:rFonts w:ascii="Arial" w:hAnsi="Arial" w:cs="Arial"/>
                <w:color w:val="000000" w:themeColor="text1"/>
              </w:rPr>
              <w:t xml:space="preserve">Completed </w:t>
            </w:r>
            <w:r>
              <w:fldChar w:fldCharType="begin">
                <w:ffData>
                  <w:name w:val="Check1"/>
                  <w:enabled/>
                  <w:calcOnExit w:val="0"/>
                  <w:checkBox>
                    <w:sizeAuto/>
                    <w:default w:val="0"/>
                  </w:checkBox>
                </w:ffData>
              </w:fldChar>
            </w:r>
            <w:r>
              <w:instrText xml:space="preserve"> FORMCHECKBOX </w:instrText>
            </w:r>
            <w:r w:rsidR="00524079">
              <w:fldChar w:fldCharType="separate"/>
            </w:r>
            <w:r>
              <w:fldChar w:fldCharType="end"/>
            </w:r>
          </w:p>
          <w:p w:rsidR="000A455C" w:rsidRDefault="000A455C" w:rsidP="000A455C">
            <w:pPr>
              <w:pStyle w:val="ListParagraph"/>
              <w:ind w:left="0"/>
              <w:rPr>
                <w:rFonts w:ascii="Arial" w:hAnsi="Arial" w:cs="Arial"/>
                <w:color w:val="000000" w:themeColor="text1"/>
              </w:rPr>
            </w:pPr>
          </w:p>
          <w:p w:rsidR="000A455C" w:rsidRDefault="000A455C" w:rsidP="000A455C">
            <w:r>
              <w:rPr>
                <w:rFonts w:ascii="Arial" w:hAnsi="Arial" w:cs="Arial"/>
                <w:color w:val="000000" w:themeColor="text1"/>
              </w:rPr>
              <w:t xml:space="preserve">No longer applicable </w:t>
            </w:r>
            <w:r>
              <w:fldChar w:fldCharType="begin">
                <w:ffData>
                  <w:name w:val="Check1"/>
                  <w:enabled/>
                  <w:calcOnExit w:val="0"/>
                  <w:checkBox>
                    <w:sizeAuto/>
                    <w:default w:val="0"/>
                  </w:checkBox>
                </w:ffData>
              </w:fldChar>
            </w:r>
            <w:r>
              <w:instrText xml:space="preserve"> FORMCHECKBOX </w:instrText>
            </w:r>
            <w:r w:rsidR="00524079">
              <w:fldChar w:fldCharType="separate"/>
            </w:r>
            <w:r>
              <w:fldChar w:fldCharType="end"/>
            </w:r>
          </w:p>
          <w:p w:rsidR="001A2E6B" w:rsidRPr="0037786D" w:rsidRDefault="001A2E6B" w:rsidP="00637591">
            <w:pPr>
              <w:pStyle w:val="ListParagraph"/>
              <w:ind w:left="0"/>
              <w:rPr>
                <w:rFonts w:ascii="Arial" w:hAnsi="Arial" w:cs="Arial"/>
                <w:color w:val="000000" w:themeColor="text1"/>
              </w:rPr>
            </w:pPr>
          </w:p>
        </w:tc>
        <w:tc>
          <w:tcPr>
            <w:tcW w:w="6480" w:type="dxa"/>
          </w:tcPr>
          <w:p w:rsidR="001A2E6B" w:rsidRDefault="004C389D" w:rsidP="00A60EE4">
            <w:r>
              <w:t>-</w:t>
            </w:r>
            <w:r w:rsidRPr="004C389D">
              <w:rPr>
                <w:b/>
              </w:rPr>
              <w:t>Health Sciences St</w:t>
            </w:r>
            <w:r>
              <w:rPr>
                <w:b/>
              </w:rPr>
              <w:t>r</w:t>
            </w:r>
            <w:r w:rsidRPr="004C389D">
              <w:rPr>
                <w:b/>
              </w:rPr>
              <w:t>ategy</w:t>
            </w:r>
            <w:r>
              <w:t>:</w:t>
            </w:r>
          </w:p>
          <w:p w:rsidR="004C389D" w:rsidRDefault="004C389D" w:rsidP="004C389D">
            <w:r>
              <w:t xml:space="preserve">     -Discussions regarding the Health Sciences Strategy have included a Health Sciences building, a rehab clinic, and increased interprofessional collaboration in the academic setting to graduate more productive and effective healthcare practitioners upon entry into the workforce. </w:t>
            </w:r>
          </w:p>
          <w:p w:rsidR="00B86BE7" w:rsidRDefault="00B86BE7" w:rsidP="004C389D">
            <w:r>
              <w:t xml:space="preserve">     -Rehabilitation Services department:  </w:t>
            </w:r>
            <w:r w:rsidR="0093143D">
              <w:t>As part of the Health Sciences Strategy, t</w:t>
            </w:r>
            <w:r>
              <w:t xml:space="preserve">he college created a rehabilitation services department which houses both the PTA and OTA programs.  </w:t>
            </w:r>
          </w:p>
          <w:p w:rsidR="00B86BE7" w:rsidRDefault="008D0B3E" w:rsidP="00B86BE7">
            <w:r>
              <w:t xml:space="preserve">           -Benefits include i</w:t>
            </w:r>
            <w:r w:rsidR="00B86BE7">
              <w:t>ncreased interprofessional collaboration</w:t>
            </w:r>
            <w:r w:rsidR="0093143D">
              <w:t xml:space="preserve"> through</w:t>
            </w:r>
            <w:r w:rsidR="00B86BE7">
              <w:t xml:space="preserve">:  </w:t>
            </w:r>
          </w:p>
          <w:p w:rsidR="00B86BE7" w:rsidRDefault="00B86BE7" w:rsidP="00B86BE7">
            <w:r>
              <w:t xml:space="preserve">                -Faculty mentoring</w:t>
            </w:r>
          </w:p>
          <w:p w:rsidR="00B86BE7" w:rsidRDefault="00B86BE7" w:rsidP="00B86BE7">
            <w:r>
              <w:t xml:space="preserve">                -Sharing of dedicated space</w:t>
            </w:r>
          </w:p>
          <w:p w:rsidR="00B86BE7" w:rsidRDefault="00B86BE7" w:rsidP="00B86BE7">
            <w:r>
              <w:t xml:space="preserve">                -Sharing of equipment and anatomical models</w:t>
            </w:r>
          </w:p>
          <w:p w:rsidR="00B86BE7" w:rsidRDefault="00B86BE7" w:rsidP="00B86BE7">
            <w:r>
              <w:t xml:space="preserve">                -First Annual Culture Day:  Event created by PTA and OTA faculty for PTA and OTA students to increase awareness of the effect of culture and diversity in healthcare settings.</w:t>
            </w:r>
          </w:p>
          <w:p w:rsidR="00B86BE7" w:rsidRDefault="00B86BE7" w:rsidP="00B86BE7">
            <w:r>
              <w:lastRenderedPageBreak/>
              <w:t xml:space="preserve">                -Potential for increased collaboration </w:t>
            </w:r>
            <w:r w:rsidR="0093143D">
              <w:t xml:space="preserve">in the classroom, as </w:t>
            </w:r>
            <w:r>
              <w:t>curri</w:t>
            </w:r>
            <w:r w:rsidR="0093143D">
              <w:t>culum revision</w:t>
            </w:r>
            <w:r w:rsidR="008D0B3E">
              <w:t>s</w:t>
            </w:r>
            <w:r w:rsidR="0093143D">
              <w:t xml:space="preserve"> of both programs </w:t>
            </w:r>
            <w:r w:rsidR="008D0B3E">
              <w:t>occur</w:t>
            </w:r>
            <w:r w:rsidR="0093143D">
              <w:t xml:space="preserve">. </w:t>
            </w:r>
            <w:r>
              <w:t xml:space="preserve">          </w:t>
            </w:r>
          </w:p>
          <w:p w:rsidR="004C389D" w:rsidRDefault="004C389D" w:rsidP="004C389D">
            <w:r>
              <w:t xml:space="preserve">     -The PTA program has considered the possibility of incorporating the Courseview program into the Dayton program to better align with the college’s Health Sciences Strategy.</w:t>
            </w:r>
          </w:p>
          <w:p w:rsidR="0093143D" w:rsidRDefault="0093143D" w:rsidP="004C389D">
            <w:r>
              <w:t xml:space="preserve">     -</w:t>
            </w:r>
            <w:r w:rsidR="00987869">
              <w:t>The</w:t>
            </w:r>
            <w:r>
              <w:t xml:space="preserve"> PTA program </w:t>
            </w:r>
            <w:r w:rsidR="00987869">
              <w:t xml:space="preserve">is concerned that accreditation issues may arise </w:t>
            </w:r>
            <w:r>
              <w:t>when the Health Sciences building and rehab clinic come to fruition</w:t>
            </w:r>
            <w:r w:rsidR="00987869">
              <w:t xml:space="preserve"> if the program remains on two separate campuses</w:t>
            </w:r>
            <w:r>
              <w:t>.</w:t>
            </w:r>
          </w:p>
          <w:p w:rsidR="0093143D" w:rsidRDefault="0093143D" w:rsidP="004C389D">
            <w:r>
              <w:t xml:space="preserve">     -Courseview students would not have the same opportunity…</w:t>
            </w:r>
          </w:p>
          <w:p w:rsidR="0093143D" w:rsidRDefault="0093143D" w:rsidP="004C389D">
            <w:r>
              <w:t xml:space="preserve">           -To collaborate with OTA students, or other health science program students.</w:t>
            </w:r>
          </w:p>
          <w:p w:rsidR="0093143D" w:rsidRDefault="0093143D" w:rsidP="004C389D">
            <w:r>
              <w:t xml:space="preserve">           -To utilize and benefit from use of new equipment and technology (ie. simulation lab) </w:t>
            </w:r>
          </w:p>
          <w:p w:rsidR="0093143D" w:rsidRDefault="0093143D" w:rsidP="004C389D">
            <w:r>
              <w:t xml:space="preserve">           -To participate in education or patient care that occurs in the rehab clinic.  </w:t>
            </w:r>
          </w:p>
          <w:p w:rsidR="004C389D" w:rsidRDefault="00B86BE7" w:rsidP="004C389D">
            <w:r>
              <w:t xml:space="preserve">     </w:t>
            </w:r>
          </w:p>
        </w:tc>
      </w:tr>
      <w:tr w:rsidR="001A2E6B" w:rsidRPr="0037786D" w:rsidTr="001A2E6B">
        <w:tc>
          <w:tcPr>
            <w:tcW w:w="3708" w:type="dxa"/>
          </w:tcPr>
          <w:p w:rsidR="00F75CE3" w:rsidRPr="00F75CE3" w:rsidRDefault="00F75CE3" w:rsidP="00F75CE3">
            <w:pPr>
              <w:rPr>
                <w:rFonts w:ascii="Arial" w:hAnsi="Arial" w:cs="Arial"/>
              </w:rPr>
            </w:pPr>
            <w:r>
              <w:rPr>
                <w:rFonts w:ascii="Arial" w:hAnsi="Arial" w:cs="Arial"/>
                <w:bCs/>
                <w:color w:val="000000"/>
              </w:rPr>
              <w:lastRenderedPageBreak/>
              <w:t xml:space="preserve">At the present time the chair of the department is heavily involved in Completion by Design, which provides some real benefits in terms of aligning the department’s goals with this initiative and positioning the department at the forefront of the institution’s efforts to increase completion.  This connection should be leveraged in a synergistic way to both allow the department to support the Completion by Design initiative and allow Completion by Design to enhance the department’s efforts to increase </w:t>
            </w:r>
            <w:r>
              <w:rPr>
                <w:rFonts w:ascii="Arial" w:hAnsi="Arial" w:cs="Arial"/>
                <w:bCs/>
                <w:color w:val="000000"/>
              </w:rPr>
              <w:lastRenderedPageBreak/>
              <w:t>student success.  The department is uniquely positioned to support and be supported by this institutional initiative</w:t>
            </w:r>
            <w:r>
              <w:rPr>
                <w:rFonts w:ascii="Arial" w:hAnsi="Arial" w:cs="Arial"/>
                <w:bCs/>
                <w:color w:val="000000"/>
              </w:rPr>
              <w:tab/>
              <w:t>.</w:t>
            </w:r>
          </w:p>
          <w:p w:rsidR="001A2E6B" w:rsidRPr="00654C15" w:rsidRDefault="001A2E6B" w:rsidP="00D07030">
            <w:pPr>
              <w:pStyle w:val="ListParagraph"/>
              <w:ind w:left="0"/>
              <w:rPr>
                <w:rFonts w:ascii="Arial" w:hAnsi="Arial" w:cs="Arial"/>
                <w:color w:val="000000" w:themeColor="text1"/>
              </w:rPr>
            </w:pPr>
          </w:p>
        </w:tc>
        <w:tc>
          <w:tcPr>
            <w:tcW w:w="2700" w:type="dxa"/>
          </w:tcPr>
          <w:p w:rsidR="001A2E6B" w:rsidRDefault="001A2E6B" w:rsidP="00D07030">
            <w:pPr>
              <w:pStyle w:val="ListParagraph"/>
              <w:ind w:left="0"/>
              <w:rPr>
                <w:rFonts w:ascii="Arial" w:hAnsi="Arial" w:cs="Arial"/>
                <w:color w:val="000000" w:themeColor="text1"/>
              </w:rPr>
            </w:pPr>
          </w:p>
          <w:p w:rsidR="000A455C" w:rsidRDefault="000A455C" w:rsidP="000A455C">
            <w:pPr>
              <w:pStyle w:val="ListParagraph"/>
              <w:ind w:left="0"/>
              <w:rPr>
                <w:rFonts w:ascii="Arial" w:hAnsi="Arial" w:cs="Arial"/>
                <w:color w:val="000000" w:themeColor="text1"/>
              </w:rPr>
            </w:pPr>
            <w:r>
              <w:rPr>
                <w:rFonts w:ascii="Arial" w:hAnsi="Arial" w:cs="Arial"/>
                <w:color w:val="000000" w:themeColor="text1"/>
              </w:rPr>
              <w:t xml:space="preserve">In progress </w:t>
            </w:r>
            <w:r>
              <w:fldChar w:fldCharType="begin">
                <w:ffData>
                  <w:name w:val="Check1"/>
                  <w:enabled/>
                  <w:calcOnExit w:val="0"/>
                  <w:checkBox>
                    <w:sizeAuto/>
                    <w:default w:val="0"/>
                  </w:checkBox>
                </w:ffData>
              </w:fldChar>
            </w:r>
            <w:r>
              <w:instrText xml:space="preserve"> FORMCHECKBOX </w:instrText>
            </w:r>
            <w:r w:rsidR="00524079">
              <w:fldChar w:fldCharType="separate"/>
            </w:r>
            <w:r>
              <w:fldChar w:fldCharType="end"/>
            </w:r>
          </w:p>
          <w:p w:rsidR="000A455C" w:rsidRDefault="000A455C" w:rsidP="000A455C">
            <w:pPr>
              <w:pStyle w:val="ListParagraph"/>
              <w:ind w:left="0"/>
              <w:rPr>
                <w:rFonts w:ascii="Arial" w:hAnsi="Arial" w:cs="Arial"/>
                <w:color w:val="000000" w:themeColor="text1"/>
              </w:rPr>
            </w:pPr>
          </w:p>
          <w:p w:rsidR="000A455C" w:rsidRDefault="000A455C" w:rsidP="000A455C">
            <w:pPr>
              <w:pStyle w:val="ListParagraph"/>
              <w:ind w:left="0"/>
              <w:rPr>
                <w:rFonts w:ascii="Arial" w:hAnsi="Arial" w:cs="Arial"/>
                <w:color w:val="000000" w:themeColor="text1"/>
              </w:rPr>
            </w:pPr>
            <w:r>
              <w:rPr>
                <w:rFonts w:ascii="Arial" w:hAnsi="Arial" w:cs="Arial"/>
                <w:color w:val="000000" w:themeColor="text1"/>
              </w:rPr>
              <w:t xml:space="preserve">Completed </w:t>
            </w:r>
            <w:r w:rsidR="0093143D">
              <w:fldChar w:fldCharType="begin">
                <w:ffData>
                  <w:name w:val=""/>
                  <w:enabled/>
                  <w:calcOnExit w:val="0"/>
                  <w:checkBox>
                    <w:sizeAuto/>
                    <w:default w:val="0"/>
                  </w:checkBox>
                </w:ffData>
              </w:fldChar>
            </w:r>
            <w:r w:rsidR="0093143D">
              <w:instrText xml:space="preserve"> FORMCHECKBOX </w:instrText>
            </w:r>
            <w:r w:rsidR="00524079">
              <w:fldChar w:fldCharType="separate"/>
            </w:r>
            <w:r w:rsidR="0093143D">
              <w:fldChar w:fldCharType="end"/>
            </w:r>
          </w:p>
          <w:p w:rsidR="000A455C" w:rsidRDefault="000A455C" w:rsidP="000A455C">
            <w:pPr>
              <w:pStyle w:val="ListParagraph"/>
              <w:ind w:left="0"/>
              <w:rPr>
                <w:rFonts w:ascii="Arial" w:hAnsi="Arial" w:cs="Arial"/>
                <w:color w:val="000000" w:themeColor="text1"/>
              </w:rPr>
            </w:pPr>
          </w:p>
          <w:p w:rsidR="000A455C" w:rsidRDefault="000A455C" w:rsidP="000A455C">
            <w:r>
              <w:rPr>
                <w:rFonts w:ascii="Arial" w:hAnsi="Arial" w:cs="Arial"/>
                <w:color w:val="000000" w:themeColor="text1"/>
              </w:rPr>
              <w:t xml:space="preserve">No longer applicable </w:t>
            </w:r>
            <w:r w:rsidR="0093143D">
              <w:fldChar w:fldCharType="begin">
                <w:ffData>
                  <w:name w:val=""/>
                  <w:enabled/>
                  <w:calcOnExit w:val="0"/>
                  <w:checkBox>
                    <w:sizeAuto/>
                    <w:default w:val="1"/>
                  </w:checkBox>
                </w:ffData>
              </w:fldChar>
            </w:r>
            <w:r w:rsidR="0093143D">
              <w:instrText xml:space="preserve"> FORMCHECKBOX </w:instrText>
            </w:r>
            <w:r w:rsidR="00524079">
              <w:fldChar w:fldCharType="separate"/>
            </w:r>
            <w:r w:rsidR="0093143D">
              <w:fldChar w:fldCharType="end"/>
            </w:r>
          </w:p>
          <w:p w:rsidR="001A2E6B" w:rsidRPr="0037786D" w:rsidRDefault="001A2E6B" w:rsidP="00D07030">
            <w:pPr>
              <w:pStyle w:val="ListParagraph"/>
              <w:ind w:left="0"/>
              <w:rPr>
                <w:rFonts w:ascii="Arial" w:hAnsi="Arial" w:cs="Arial"/>
                <w:color w:val="000000" w:themeColor="text1"/>
              </w:rPr>
            </w:pPr>
          </w:p>
        </w:tc>
        <w:tc>
          <w:tcPr>
            <w:tcW w:w="6480" w:type="dxa"/>
          </w:tcPr>
          <w:p w:rsidR="001A2E6B" w:rsidRDefault="0093143D" w:rsidP="00F90C43">
            <w:r>
              <w:t>The chair (now program director) of the program has been less involved with Completion by Design</w:t>
            </w:r>
            <w:r w:rsidR="00F7793D">
              <w:t>, but the program continues to support completion efforts.</w:t>
            </w:r>
          </w:p>
        </w:tc>
      </w:tr>
      <w:tr w:rsidR="00F75CE3" w:rsidRPr="0037786D" w:rsidTr="001A2E6B">
        <w:tc>
          <w:tcPr>
            <w:tcW w:w="3708" w:type="dxa"/>
          </w:tcPr>
          <w:p w:rsidR="00A86DFB" w:rsidRPr="00A86DFB" w:rsidRDefault="00F75CE3" w:rsidP="00A86DFB">
            <w:pPr>
              <w:autoSpaceDE w:val="0"/>
              <w:autoSpaceDN w:val="0"/>
              <w:adjustRightInd w:val="0"/>
              <w:rPr>
                <w:rFonts w:ascii="Arial" w:hAnsi="Arial" w:cs="Arial"/>
                <w:bCs/>
                <w:color w:val="000000"/>
              </w:rPr>
            </w:pPr>
            <w:r>
              <w:rPr>
                <w:rFonts w:ascii="Arial" w:hAnsi="Arial" w:cs="Arial"/>
                <w:bCs/>
                <w:color w:val="000000"/>
              </w:rPr>
              <w:lastRenderedPageBreak/>
              <w:t>It was noted in the self-study that not much data was reported for assessment results for program outcomes – while no doubt some data is currently collected, and more will be collected as the department increases its data collection and analysis efforts, in future self-studies – and in the Annual Updates the department submits in coming years - the department should make a point of explicitly reporting results of assessment of program outcomes.  These results may include both quantitative and qualitative data.</w:t>
            </w:r>
          </w:p>
        </w:tc>
        <w:tc>
          <w:tcPr>
            <w:tcW w:w="2700" w:type="dxa"/>
          </w:tcPr>
          <w:p w:rsidR="00F75CE3" w:rsidRDefault="00F75CE3" w:rsidP="00C01C25">
            <w:pPr>
              <w:pStyle w:val="ListParagraph"/>
              <w:ind w:left="0"/>
              <w:rPr>
                <w:rFonts w:ascii="Arial" w:hAnsi="Arial" w:cs="Arial"/>
                <w:color w:val="000000" w:themeColor="text1"/>
              </w:rPr>
            </w:pPr>
          </w:p>
          <w:p w:rsidR="000A455C" w:rsidRDefault="000A455C" w:rsidP="000A455C">
            <w:pPr>
              <w:pStyle w:val="ListParagraph"/>
              <w:ind w:left="0"/>
              <w:rPr>
                <w:rFonts w:ascii="Arial" w:hAnsi="Arial" w:cs="Arial"/>
                <w:color w:val="000000" w:themeColor="text1"/>
              </w:rPr>
            </w:pPr>
            <w:r>
              <w:rPr>
                <w:rFonts w:ascii="Arial" w:hAnsi="Arial" w:cs="Arial"/>
                <w:color w:val="000000" w:themeColor="text1"/>
              </w:rPr>
              <w:t xml:space="preserve">In progress </w:t>
            </w:r>
            <w:r w:rsidR="008D0B3E">
              <w:fldChar w:fldCharType="begin">
                <w:ffData>
                  <w:name w:val=""/>
                  <w:enabled/>
                  <w:calcOnExit w:val="0"/>
                  <w:checkBox>
                    <w:sizeAuto/>
                    <w:default w:val="1"/>
                  </w:checkBox>
                </w:ffData>
              </w:fldChar>
            </w:r>
            <w:r w:rsidR="008D0B3E">
              <w:instrText xml:space="preserve"> FORMCHECKBOX </w:instrText>
            </w:r>
            <w:r w:rsidR="00524079">
              <w:fldChar w:fldCharType="separate"/>
            </w:r>
            <w:r w:rsidR="008D0B3E">
              <w:fldChar w:fldCharType="end"/>
            </w:r>
          </w:p>
          <w:p w:rsidR="000A455C" w:rsidRDefault="000A455C" w:rsidP="000A455C">
            <w:pPr>
              <w:pStyle w:val="ListParagraph"/>
              <w:ind w:left="0"/>
              <w:rPr>
                <w:rFonts w:ascii="Arial" w:hAnsi="Arial" w:cs="Arial"/>
                <w:color w:val="000000" w:themeColor="text1"/>
              </w:rPr>
            </w:pPr>
          </w:p>
          <w:p w:rsidR="000A455C" w:rsidRDefault="000A455C" w:rsidP="000A455C">
            <w:pPr>
              <w:pStyle w:val="ListParagraph"/>
              <w:ind w:left="0"/>
              <w:rPr>
                <w:rFonts w:ascii="Arial" w:hAnsi="Arial" w:cs="Arial"/>
                <w:color w:val="000000" w:themeColor="text1"/>
              </w:rPr>
            </w:pPr>
            <w:r>
              <w:rPr>
                <w:rFonts w:ascii="Arial" w:hAnsi="Arial" w:cs="Arial"/>
                <w:color w:val="000000" w:themeColor="text1"/>
              </w:rPr>
              <w:t xml:space="preserve">Completed </w:t>
            </w:r>
            <w:r>
              <w:fldChar w:fldCharType="begin">
                <w:ffData>
                  <w:name w:val="Check1"/>
                  <w:enabled/>
                  <w:calcOnExit w:val="0"/>
                  <w:checkBox>
                    <w:sizeAuto/>
                    <w:default w:val="0"/>
                  </w:checkBox>
                </w:ffData>
              </w:fldChar>
            </w:r>
            <w:r>
              <w:instrText xml:space="preserve"> FORMCHECKBOX </w:instrText>
            </w:r>
            <w:r w:rsidR="00524079">
              <w:fldChar w:fldCharType="separate"/>
            </w:r>
            <w:r>
              <w:fldChar w:fldCharType="end"/>
            </w:r>
          </w:p>
          <w:p w:rsidR="000A455C" w:rsidRDefault="000A455C" w:rsidP="000A455C">
            <w:pPr>
              <w:pStyle w:val="ListParagraph"/>
              <w:ind w:left="0"/>
              <w:rPr>
                <w:rFonts w:ascii="Arial" w:hAnsi="Arial" w:cs="Arial"/>
                <w:color w:val="000000" w:themeColor="text1"/>
              </w:rPr>
            </w:pPr>
          </w:p>
          <w:p w:rsidR="000A455C" w:rsidRDefault="000A455C" w:rsidP="000A455C">
            <w:r>
              <w:rPr>
                <w:rFonts w:ascii="Arial" w:hAnsi="Arial" w:cs="Arial"/>
                <w:color w:val="000000" w:themeColor="text1"/>
              </w:rPr>
              <w:t xml:space="preserve">No longer applicable </w:t>
            </w:r>
            <w:r>
              <w:fldChar w:fldCharType="begin">
                <w:ffData>
                  <w:name w:val="Check1"/>
                  <w:enabled/>
                  <w:calcOnExit w:val="0"/>
                  <w:checkBox>
                    <w:sizeAuto/>
                    <w:default w:val="0"/>
                  </w:checkBox>
                </w:ffData>
              </w:fldChar>
            </w:r>
            <w:r>
              <w:instrText xml:space="preserve"> FORMCHECKBOX </w:instrText>
            </w:r>
            <w:r w:rsidR="00524079">
              <w:fldChar w:fldCharType="separate"/>
            </w:r>
            <w:r>
              <w:fldChar w:fldCharType="end"/>
            </w:r>
          </w:p>
          <w:p w:rsidR="00F75CE3" w:rsidRPr="0037786D" w:rsidRDefault="00F75CE3" w:rsidP="00C01C25">
            <w:pPr>
              <w:pStyle w:val="ListParagraph"/>
              <w:ind w:left="0"/>
              <w:rPr>
                <w:rFonts w:ascii="Arial" w:hAnsi="Arial" w:cs="Arial"/>
                <w:color w:val="000000" w:themeColor="text1"/>
              </w:rPr>
            </w:pPr>
          </w:p>
        </w:tc>
        <w:tc>
          <w:tcPr>
            <w:tcW w:w="6480" w:type="dxa"/>
          </w:tcPr>
          <w:p w:rsidR="00F75CE3" w:rsidRDefault="00F7793D" w:rsidP="00A503D8">
            <w:r>
              <w:t xml:space="preserve">See </w:t>
            </w:r>
            <w:hyperlink w:anchor="ProgramsOutcomeData" w:history="1">
              <w:r w:rsidR="00A503D8" w:rsidRPr="00167DC4">
                <w:rPr>
                  <w:rStyle w:val="Hyperlink"/>
                </w:rPr>
                <w:t>PTA Program Outcomes Data</w:t>
              </w:r>
            </w:hyperlink>
            <w:r w:rsidR="00167DC4">
              <w:t>.</w:t>
            </w:r>
          </w:p>
        </w:tc>
      </w:tr>
    </w:tbl>
    <w:p w:rsidR="00EF15CD" w:rsidRDefault="00EF15CD" w:rsidP="00D708C3">
      <w:pPr>
        <w:rPr>
          <w:rFonts w:ascii="Arial" w:hAnsi="Arial" w:cs="Arial"/>
          <w:b/>
          <w:color w:val="000000" w:themeColor="text1"/>
          <w:u w:val="single"/>
        </w:rPr>
        <w:sectPr w:rsidR="00EF15CD" w:rsidSect="004C52FC">
          <w:pgSz w:w="15840" w:h="12240" w:orient="landscape"/>
          <w:pgMar w:top="1440" w:right="1152" w:bottom="1440" w:left="1152" w:header="720" w:footer="288" w:gutter="0"/>
          <w:cols w:space="720"/>
          <w:docGrid w:linePitch="360"/>
        </w:sectPr>
      </w:pPr>
    </w:p>
    <w:p w:rsidR="00A86DFB" w:rsidRPr="00A86DFB" w:rsidRDefault="00A86DFB" w:rsidP="0000193E">
      <w:pPr>
        <w:rPr>
          <w:rFonts w:ascii="Arial" w:hAnsi="Arial" w:cs="Arial"/>
          <w:color w:val="000000" w:themeColor="text1"/>
          <w:sz w:val="20"/>
          <w:szCs w:val="20"/>
          <w:u w:val="single"/>
        </w:rPr>
      </w:pPr>
    </w:p>
    <w:p w:rsidR="00A86DFB" w:rsidRDefault="00A86DFB" w:rsidP="0000193E">
      <w:pPr>
        <w:rPr>
          <w:rFonts w:ascii="Arial" w:hAnsi="Arial" w:cs="Arial"/>
          <w:b/>
          <w:color w:val="000000" w:themeColor="text1"/>
          <w:sz w:val="20"/>
          <w:szCs w:val="20"/>
          <w:u w:val="single"/>
        </w:rPr>
      </w:pPr>
    </w:p>
    <w:tbl>
      <w:tblPr>
        <w:tblStyle w:val="TableGrid"/>
        <w:tblpPr w:leftFromText="180" w:rightFromText="180" w:vertAnchor="page" w:horzAnchor="margin" w:tblpY="3751"/>
        <w:tblW w:w="13140" w:type="dxa"/>
        <w:shd w:val="clear" w:color="auto" w:fill="FFFFFF"/>
        <w:tblLayout w:type="fixed"/>
        <w:tblCellMar>
          <w:left w:w="115" w:type="dxa"/>
          <w:right w:w="115" w:type="dxa"/>
        </w:tblCellMar>
        <w:tblLook w:val="01E0" w:firstRow="1" w:lastRow="1" w:firstColumn="1" w:lastColumn="1" w:noHBand="0" w:noVBand="0"/>
      </w:tblPr>
      <w:tblGrid>
        <w:gridCol w:w="2590"/>
        <w:gridCol w:w="10550"/>
      </w:tblGrid>
      <w:tr w:rsidR="00A86DFB" w:rsidTr="00A86DFB">
        <w:trPr>
          <w:trHeight w:val="440"/>
        </w:trPr>
        <w:tc>
          <w:tcPr>
            <w:tcW w:w="1313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A86DFB" w:rsidRDefault="00A86DFB" w:rsidP="00CA3469">
            <w:r>
              <w:t>Please respond to the following items regarding external program accreditation.</w:t>
            </w:r>
          </w:p>
          <w:p w:rsidR="00A86DFB" w:rsidRDefault="00A86DFB" w:rsidP="00CA3469">
            <w:pPr>
              <w:pStyle w:val="ListParagraph"/>
              <w:ind w:left="0"/>
              <w:rPr>
                <w:rFonts w:ascii="Arial" w:hAnsi="Arial" w:cs="Arial"/>
                <w:color w:val="000000" w:themeColor="text1"/>
              </w:rPr>
            </w:pPr>
          </w:p>
        </w:tc>
      </w:tr>
      <w:tr w:rsidR="00A86DFB" w:rsidTr="00A86DFB">
        <w:trPr>
          <w:trHeight w:val="1520"/>
        </w:trPr>
        <w:tc>
          <w:tcPr>
            <w:tcW w:w="258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A86DFB" w:rsidRDefault="00A86DFB" w:rsidP="00CA3469">
            <w:pPr>
              <w:rPr>
                <w:rFonts w:asciiTheme="minorHAnsi" w:hAnsiTheme="minorHAnsi"/>
                <w:b/>
                <w:color w:val="000000" w:themeColor="text1"/>
              </w:rPr>
            </w:pPr>
            <w:r>
              <w:rPr>
                <w:rFonts w:asciiTheme="minorHAnsi" w:hAnsiTheme="minorHAnsi"/>
                <w:b/>
                <w:color w:val="000000" w:themeColor="text1"/>
              </w:rPr>
              <w:t>Date of Most Recent Program Accreditation Review</w:t>
            </w:r>
          </w:p>
        </w:tc>
        <w:tc>
          <w:tcPr>
            <w:tcW w:w="1054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86DFB" w:rsidRDefault="00A86DFB" w:rsidP="00CA3469">
            <w:pPr>
              <w:pStyle w:val="ListParagraph"/>
              <w:ind w:left="0"/>
              <w:rPr>
                <w:rFonts w:ascii="Arial" w:hAnsi="Arial" w:cs="Arial"/>
                <w:color w:val="000000" w:themeColor="text1"/>
              </w:rPr>
            </w:pPr>
            <w:r>
              <w:rPr>
                <w:rFonts w:ascii="Arial" w:hAnsi="Arial" w:cs="Arial"/>
                <w:color w:val="000000" w:themeColor="text1"/>
              </w:rPr>
              <w:t>Date of most recent accreditation review:  _</w:t>
            </w:r>
            <w:r w:rsidR="003C1A7C">
              <w:rPr>
                <w:rFonts w:ascii="Arial" w:hAnsi="Arial" w:cs="Arial"/>
                <w:color w:val="000000" w:themeColor="text1"/>
              </w:rPr>
              <w:t>2009</w:t>
            </w:r>
            <w:r>
              <w:rPr>
                <w:rFonts w:ascii="Arial" w:hAnsi="Arial" w:cs="Arial"/>
                <w:color w:val="000000" w:themeColor="text1"/>
              </w:rPr>
              <w:t>____________</w:t>
            </w:r>
          </w:p>
          <w:p w:rsidR="00A86DFB" w:rsidRDefault="00A86DFB" w:rsidP="00CA3469">
            <w:pPr>
              <w:pStyle w:val="ListParagraph"/>
              <w:ind w:left="0"/>
              <w:rPr>
                <w:rFonts w:ascii="Arial" w:hAnsi="Arial" w:cs="Arial"/>
                <w:color w:val="000000" w:themeColor="text1"/>
              </w:rPr>
            </w:pPr>
          </w:p>
          <w:p w:rsidR="00A86DFB" w:rsidRDefault="00A86DFB" w:rsidP="00CA3469">
            <w:pPr>
              <w:pStyle w:val="ListParagraph"/>
              <w:ind w:left="0"/>
              <w:rPr>
                <w:rFonts w:ascii="Arial" w:hAnsi="Arial" w:cs="Arial"/>
                <w:b/>
                <w:color w:val="000000" w:themeColor="text1"/>
              </w:rPr>
            </w:pPr>
            <w:r>
              <w:rPr>
                <w:rFonts w:ascii="Arial" w:hAnsi="Arial" w:cs="Arial"/>
                <w:b/>
                <w:color w:val="000000" w:themeColor="text1"/>
              </w:rPr>
              <w:t>OR</w:t>
            </w:r>
          </w:p>
          <w:p w:rsidR="00A86DFB" w:rsidRDefault="00A86DFB" w:rsidP="00CA3469">
            <w:pPr>
              <w:pStyle w:val="ListParagraph"/>
              <w:ind w:left="0"/>
              <w:rPr>
                <w:rFonts w:ascii="Arial" w:hAnsi="Arial" w:cs="Arial"/>
                <w:color w:val="000000" w:themeColor="text1"/>
              </w:rPr>
            </w:pPr>
          </w:p>
          <w:p w:rsidR="00A86DFB" w:rsidRDefault="00A86DFB" w:rsidP="00CA3469">
            <w:pPr>
              <w:pStyle w:val="ListParagraph"/>
              <w:ind w:left="0"/>
              <w:rPr>
                <w:rFonts w:ascii="Arial" w:hAnsi="Arial" w:cs="Arial"/>
                <w:color w:val="000000" w:themeColor="text1"/>
              </w:rPr>
            </w:pPr>
            <w:r>
              <w:fldChar w:fldCharType="begin">
                <w:ffData>
                  <w:name w:val="Check1"/>
                  <w:enabled/>
                  <w:calcOnExit w:val="0"/>
                  <w:checkBox>
                    <w:sizeAuto/>
                    <w:default w:val="0"/>
                  </w:checkBox>
                </w:ffData>
              </w:fldChar>
            </w:r>
            <w:r>
              <w:instrText xml:space="preserve"> FORMCHECKBOX </w:instrText>
            </w:r>
            <w:r w:rsidR="00524079">
              <w:fldChar w:fldCharType="separate"/>
            </w:r>
            <w:r>
              <w:fldChar w:fldCharType="end"/>
            </w:r>
            <w:r>
              <w:t xml:space="preserve">   </w:t>
            </w:r>
            <w:r>
              <w:rPr>
                <w:rFonts w:ascii="Arial" w:hAnsi="Arial" w:cs="Arial"/>
                <w:color w:val="000000" w:themeColor="text1"/>
              </w:rPr>
              <w:t xml:space="preserve">Programs in this department do not have external accreditation </w:t>
            </w:r>
          </w:p>
        </w:tc>
      </w:tr>
      <w:tr w:rsidR="00A86DFB" w:rsidTr="00A86DFB">
        <w:trPr>
          <w:trHeight w:val="72"/>
        </w:trPr>
        <w:tc>
          <w:tcPr>
            <w:tcW w:w="258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A86DFB" w:rsidRDefault="00A86DFB" w:rsidP="00CA3469">
            <w:pPr>
              <w:rPr>
                <w:rFonts w:asciiTheme="minorHAnsi" w:hAnsiTheme="minorHAnsi"/>
                <w:b/>
                <w:color w:val="000000" w:themeColor="text1"/>
              </w:rPr>
            </w:pPr>
            <w:r>
              <w:rPr>
                <w:rFonts w:asciiTheme="minorHAnsi" w:hAnsiTheme="minorHAnsi"/>
                <w:b/>
                <w:color w:val="000000" w:themeColor="text1"/>
              </w:rPr>
              <w:t>Please describe any issues or recommendations from your last accreditation review (if applicable)</w:t>
            </w:r>
          </w:p>
        </w:tc>
        <w:tc>
          <w:tcPr>
            <w:tcW w:w="1054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86DFB" w:rsidRDefault="00A86DFB" w:rsidP="00CA3469">
            <w:pPr>
              <w:rPr>
                <w:rFonts w:asciiTheme="minorHAnsi" w:hAnsiTheme="minorHAnsi" w:cs="Arial"/>
                <w:color w:val="000000" w:themeColor="text1"/>
                <w:sz w:val="20"/>
              </w:rPr>
            </w:pPr>
          </w:p>
        </w:tc>
      </w:tr>
      <w:tr w:rsidR="00A86DFB" w:rsidTr="00A86DFB">
        <w:trPr>
          <w:trHeight w:val="72"/>
        </w:trPr>
        <w:tc>
          <w:tcPr>
            <w:tcW w:w="258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A86DFB" w:rsidRDefault="00A86DFB" w:rsidP="00CA3469">
            <w:pPr>
              <w:rPr>
                <w:rFonts w:asciiTheme="minorHAnsi" w:hAnsiTheme="minorHAnsi"/>
                <w:b/>
                <w:color w:val="000000" w:themeColor="text1"/>
              </w:rPr>
            </w:pPr>
            <w:r>
              <w:rPr>
                <w:rFonts w:asciiTheme="minorHAnsi" w:hAnsiTheme="minorHAnsi"/>
                <w:b/>
                <w:color w:val="000000" w:themeColor="text1"/>
              </w:rPr>
              <w:t>Please describe progress made on any issues or recommendations from your last accreditation review (if applicable)</w:t>
            </w:r>
          </w:p>
        </w:tc>
        <w:tc>
          <w:tcPr>
            <w:tcW w:w="1054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86DFB" w:rsidRDefault="00A86DFB" w:rsidP="00CA3469">
            <w:pPr>
              <w:rPr>
                <w:rFonts w:asciiTheme="minorHAnsi" w:hAnsiTheme="minorHAnsi" w:cs="Arial"/>
                <w:color w:val="000000" w:themeColor="text1"/>
                <w:sz w:val="20"/>
              </w:rPr>
            </w:pPr>
          </w:p>
        </w:tc>
      </w:tr>
    </w:tbl>
    <w:p w:rsidR="00A86DFB" w:rsidRDefault="00A86DFB" w:rsidP="0000193E">
      <w:pPr>
        <w:rPr>
          <w:rFonts w:ascii="Arial" w:hAnsi="Arial" w:cs="Arial"/>
          <w:b/>
          <w:color w:val="000000" w:themeColor="text1"/>
          <w:sz w:val="20"/>
          <w:szCs w:val="20"/>
          <w:u w:val="single"/>
        </w:rPr>
        <w:sectPr w:rsidR="00A86DFB" w:rsidSect="00EF15CD">
          <w:pgSz w:w="15840" w:h="12240" w:orient="landscape"/>
          <w:pgMar w:top="1440" w:right="1152" w:bottom="1440" w:left="1152" w:header="720" w:footer="288" w:gutter="0"/>
          <w:cols w:space="720"/>
          <w:docGrid w:linePitch="360"/>
        </w:sectPr>
      </w:pPr>
    </w:p>
    <w:p w:rsidR="00194350" w:rsidRDefault="00194350" w:rsidP="00194350">
      <w:pPr>
        <w:rPr>
          <w:rFonts w:ascii="Arial" w:hAnsi="Arial" w:cs="Arial"/>
          <w:b/>
          <w:color w:val="000000"/>
          <w:sz w:val="20"/>
          <w:szCs w:val="20"/>
          <w:u w:val="single"/>
        </w:rPr>
      </w:pPr>
      <w:r>
        <w:rPr>
          <w:rFonts w:ascii="Arial" w:hAnsi="Arial" w:cs="Arial"/>
          <w:b/>
          <w:color w:val="000000"/>
          <w:sz w:val="20"/>
          <w:szCs w:val="20"/>
          <w:u w:val="single"/>
        </w:rPr>
        <w:lastRenderedPageBreak/>
        <w:t>Section III: Assessment of General Education &amp; Degree Program Outcomes</w:t>
      </w:r>
    </w:p>
    <w:p w:rsidR="00194350" w:rsidRDefault="00194350" w:rsidP="00194350">
      <w:pPr>
        <w:rPr>
          <w:rFonts w:ascii="Arial" w:hAnsi="Arial" w:cs="Arial"/>
          <w:color w:val="000000"/>
          <w:sz w:val="20"/>
          <w:szCs w:val="20"/>
        </w:rPr>
      </w:pPr>
    </w:p>
    <w:p w:rsidR="00194350" w:rsidRDefault="00194350" w:rsidP="00194350">
      <w:pPr>
        <w:rPr>
          <w:rFonts w:ascii="Arial" w:hAnsi="Arial" w:cs="Arial"/>
          <w:color w:val="000000"/>
          <w:sz w:val="20"/>
          <w:szCs w:val="20"/>
        </w:rPr>
      </w:pPr>
      <w:r>
        <w:rPr>
          <w:rFonts w:ascii="Arial" w:hAnsi="Arial" w:cs="Arial"/>
          <w:color w:val="000000"/>
          <w:sz w:val="20"/>
          <w:szCs w:val="20"/>
        </w:rPr>
        <w:t xml:space="preserve">The Program Outcomes for the degrees are listed below.  </w:t>
      </w:r>
      <w:r>
        <w:rPr>
          <w:rFonts w:ascii="Arial" w:hAnsi="Arial" w:cs="Arial"/>
          <w:b/>
          <w:color w:val="000000"/>
          <w:sz w:val="20"/>
          <w:szCs w:val="20"/>
        </w:rPr>
        <w:t>All program outcomes must be assessed at least once during the 5 year Program Review cycle, and assessment of program outcomes must occur each year</w:t>
      </w:r>
      <w:r>
        <w:rPr>
          <w:rFonts w:ascii="Arial" w:hAnsi="Arial" w:cs="Arial"/>
          <w:color w:val="000000"/>
          <w:sz w:val="20"/>
          <w:szCs w:val="20"/>
        </w:rPr>
        <w:t xml:space="preserve">. </w:t>
      </w:r>
    </w:p>
    <w:p w:rsidR="00194350" w:rsidRDefault="00194350" w:rsidP="00194350">
      <w:pPr>
        <w:rPr>
          <w:rFonts w:ascii="Arial" w:hAnsi="Arial" w:cs="Arial"/>
          <w:color w:val="000000"/>
          <w:sz w:val="20"/>
          <w:szCs w:val="20"/>
        </w:rPr>
      </w:pPr>
    </w:p>
    <w:p w:rsidR="00194350" w:rsidRDefault="00194350" w:rsidP="00194350">
      <w:pPr>
        <w:rPr>
          <w:rFonts w:ascii="Arial" w:hAnsi="Arial" w:cs="Arial"/>
          <w:b/>
          <w:color w:val="FF0000"/>
          <w:sz w:val="20"/>
          <w:szCs w:val="20"/>
        </w:rPr>
      </w:pPr>
      <w:r>
        <w:rPr>
          <w:rFonts w:ascii="Arial" w:hAnsi="Arial" w:cs="Arial"/>
          <w:b/>
          <w:color w:val="FF0000"/>
          <w:sz w:val="20"/>
          <w:szCs w:val="20"/>
        </w:rPr>
        <w:t>PLEASE NOTE – FOR THE NEXT TWO YEARS, GENERAL EDUCATION OUTCOME ASSESSMENT WILL BE TEMPORARILY POSTPONED.  WE WOULD ASK THAT IN THIS ANNUAL UPDATE YOU IDENTIFY AT LEAST ONE COURSE IN YOUR DEGREE PROGRAM(S) WHERE ASSESSEMENT AT THE MASTERY LEVEL WILL OCCUR FOR THE FOLLOWING THREE GENERAL EDUCATION OUTCOMES:</w:t>
      </w:r>
    </w:p>
    <w:p w:rsidR="00194350" w:rsidRDefault="00194350" w:rsidP="00194350">
      <w:pPr>
        <w:rPr>
          <w:rFonts w:ascii="Arial" w:hAnsi="Arial" w:cs="Arial"/>
          <w:b/>
          <w:color w:val="FF0000"/>
          <w:sz w:val="20"/>
          <w:szCs w:val="20"/>
        </w:rPr>
      </w:pPr>
    </w:p>
    <w:p w:rsidR="00194350" w:rsidRDefault="00194350" w:rsidP="00194350">
      <w:pPr>
        <w:pStyle w:val="ListParagraph"/>
        <w:numPr>
          <w:ilvl w:val="0"/>
          <w:numId w:val="19"/>
        </w:numPr>
        <w:rPr>
          <w:rFonts w:ascii="Arial" w:hAnsi="Arial" w:cs="Arial"/>
          <w:b/>
          <w:color w:val="FF0000"/>
          <w:sz w:val="20"/>
          <w:szCs w:val="20"/>
        </w:rPr>
      </w:pPr>
      <w:r>
        <w:rPr>
          <w:rFonts w:ascii="Arial" w:hAnsi="Arial" w:cs="Arial"/>
          <w:b/>
          <w:color w:val="FF0000"/>
          <w:sz w:val="20"/>
          <w:szCs w:val="20"/>
        </w:rPr>
        <w:t xml:space="preserve">CRITICAL THINKING/PROBLEM SOLVING </w:t>
      </w:r>
    </w:p>
    <w:p w:rsidR="00194350" w:rsidRDefault="00194350" w:rsidP="00194350">
      <w:pPr>
        <w:pStyle w:val="ListParagraph"/>
        <w:numPr>
          <w:ilvl w:val="0"/>
          <w:numId w:val="19"/>
        </w:numPr>
        <w:rPr>
          <w:rFonts w:ascii="Arial" w:hAnsi="Arial" w:cs="Arial"/>
          <w:b/>
          <w:color w:val="FF0000"/>
          <w:sz w:val="20"/>
          <w:szCs w:val="20"/>
        </w:rPr>
      </w:pPr>
      <w:r>
        <w:rPr>
          <w:rFonts w:ascii="Arial" w:hAnsi="Arial" w:cs="Arial"/>
          <w:b/>
          <w:color w:val="FF0000"/>
          <w:sz w:val="20"/>
          <w:szCs w:val="20"/>
        </w:rPr>
        <w:t xml:space="preserve">INFORMATION LITERACY </w:t>
      </w:r>
      <w:r>
        <w:rPr>
          <w:rFonts w:ascii="Arial" w:hAnsi="Arial" w:cs="Arial"/>
          <w:b/>
          <w:color w:val="FF0000"/>
          <w:sz w:val="20"/>
          <w:szCs w:val="20"/>
        </w:rPr>
        <w:tab/>
      </w:r>
    </w:p>
    <w:p w:rsidR="00194350" w:rsidRDefault="00194350" w:rsidP="00194350">
      <w:pPr>
        <w:pStyle w:val="ListParagraph"/>
        <w:numPr>
          <w:ilvl w:val="0"/>
          <w:numId w:val="19"/>
        </w:numPr>
        <w:rPr>
          <w:rFonts w:ascii="Arial" w:hAnsi="Arial" w:cs="Arial"/>
          <w:b/>
          <w:color w:val="FF0000"/>
          <w:sz w:val="20"/>
          <w:szCs w:val="20"/>
        </w:rPr>
      </w:pPr>
      <w:r>
        <w:rPr>
          <w:rFonts w:ascii="Arial" w:hAnsi="Arial" w:cs="Arial"/>
          <w:b/>
          <w:color w:val="FF0000"/>
          <w:sz w:val="20"/>
          <w:szCs w:val="20"/>
        </w:rPr>
        <w:t xml:space="preserve">COMPUTER LITERACY </w:t>
      </w:r>
    </w:p>
    <w:p w:rsidR="00194350" w:rsidRDefault="00194350" w:rsidP="00194350">
      <w:pPr>
        <w:rPr>
          <w:rFonts w:ascii="Arial" w:hAnsi="Arial" w:cs="Arial"/>
          <w:b/>
          <w:color w:val="FF0000"/>
          <w:sz w:val="20"/>
          <w:szCs w:val="20"/>
        </w:rPr>
      </w:pPr>
    </w:p>
    <w:p w:rsidR="00194350" w:rsidRDefault="00194350" w:rsidP="00194350">
      <w:pPr>
        <w:rPr>
          <w:rFonts w:ascii="Arial" w:hAnsi="Arial" w:cs="Arial"/>
          <w:b/>
          <w:color w:val="FF0000"/>
          <w:sz w:val="20"/>
          <w:szCs w:val="20"/>
        </w:rPr>
      </w:pPr>
      <w:r>
        <w:rPr>
          <w:rFonts w:ascii="Arial" w:hAnsi="Arial" w:cs="Arial"/>
          <w:b/>
          <w:color w:val="FF0000"/>
          <w:sz w:val="20"/>
          <w:szCs w:val="20"/>
        </w:rPr>
        <w:t xml:space="preserve">NOTE THAT THERE WILL NEED TO BE AT LEAST ONE EXAM / ASSIGNMENT / ACTIVITY IN THIS COURSE THAT CAN BE USED TO ASSESS MASTERY OF THE COMPETENCY.  </w:t>
      </w:r>
    </w:p>
    <w:p w:rsidR="00194350" w:rsidRDefault="00194350" w:rsidP="00194350">
      <w:pPr>
        <w:rPr>
          <w:rFonts w:ascii="Arial" w:hAnsi="Arial" w:cs="Arial"/>
          <w:b/>
          <w:color w:val="FF0000"/>
          <w:sz w:val="20"/>
          <w:szCs w:val="20"/>
        </w:rPr>
      </w:pPr>
    </w:p>
    <w:p w:rsidR="00194350" w:rsidRDefault="00194350" w:rsidP="00194350">
      <w:pPr>
        <w:rPr>
          <w:rFonts w:ascii="Arial" w:hAnsi="Arial" w:cs="Arial"/>
          <w:color w:val="000000"/>
          <w:sz w:val="20"/>
          <w:szCs w:val="20"/>
        </w:rPr>
      </w:pPr>
      <w:r>
        <w:rPr>
          <w:rFonts w:ascii="Arial" w:hAnsi="Arial" w:cs="Arial"/>
          <w:b/>
          <w:color w:val="FF0000"/>
          <w:sz w:val="20"/>
          <w:szCs w:val="20"/>
        </w:rPr>
        <w:t>YOU MAY ALSO SUBMIT ASSESSMENT RESULTS FOR THESE GENERAL EDUCATION COMPETENCIES IF YOU HAVE THEM, BUT IT WILL BE CONSIDERED OPTIONAL</w:t>
      </w:r>
      <w:r>
        <w:rPr>
          <w:rFonts w:ascii="Arial" w:hAnsi="Arial" w:cs="Arial"/>
          <w:color w:val="000000"/>
          <w:sz w:val="20"/>
          <w:szCs w:val="20"/>
        </w:rPr>
        <w:t>.</w:t>
      </w:r>
    </w:p>
    <w:p w:rsidR="00194350" w:rsidRDefault="00194350" w:rsidP="00194350">
      <w:pPr>
        <w:rPr>
          <w:rFonts w:ascii="Arial" w:hAnsi="Arial" w:cs="Arial"/>
          <w:color w:val="000000"/>
        </w:rPr>
      </w:pPr>
    </w:p>
    <w:tbl>
      <w:tblPr>
        <w:tblW w:w="131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ayout w:type="fixed"/>
        <w:tblCellMar>
          <w:left w:w="115" w:type="dxa"/>
          <w:right w:w="115" w:type="dxa"/>
        </w:tblCellMar>
        <w:tblLook w:val="01E0" w:firstRow="1" w:lastRow="1" w:firstColumn="1" w:lastColumn="1" w:noHBand="0" w:noVBand="0"/>
      </w:tblPr>
      <w:tblGrid>
        <w:gridCol w:w="6"/>
        <w:gridCol w:w="3706"/>
        <w:gridCol w:w="1627"/>
        <w:gridCol w:w="1543"/>
        <w:gridCol w:w="2248"/>
        <w:gridCol w:w="4025"/>
      </w:tblGrid>
      <w:tr w:rsidR="00194350" w:rsidTr="00194350">
        <w:trPr>
          <w:gridBefore w:val="1"/>
          <w:wBefore w:w="6" w:type="dxa"/>
          <w:trHeight w:val="72"/>
        </w:trPr>
        <w:tc>
          <w:tcPr>
            <w:tcW w:w="3706"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194350" w:rsidRDefault="00194350">
            <w:pPr>
              <w:spacing w:line="256" w:lineRule="auto"/>
              <w:jc w:val="center"/>
              <w:rPr>
                <w:rFonts w:ascii="Calibri" w:hAnsi="Calibri"/>
                <w:b/>
                <w:color w:val="000000"/>
              </w:rPr>
            </w:pPr>
            <w:r>
              <w:rPr>
                <w:rFonts w:ascii="Calibri" w:hAnsi="Calibri"/>
                <w:b/>
                <w:color w:val="000000"/>
              </w:rPr>
              <w:t>General Education Outcomes</w:t>
            </w:r>
          </w:p>
        </w:tc>
        <w:tc>
          <w:tcPr>
            <w:tcW w:w="1627" w:type="dxa"/>
            <w:tcBorders>
              <w:top w:val="single" w:sz="4" w:space="0" w:color="000000"/>
              <w:left w:val="single" w:sz="4" w:space="0" w:color="000000"/>
              <w:bottom w:val="single" w:sz="4" w:space="0" w:color="000000"/>
              <w:right w:val="single" w:sz="4" w:space="0" w:color="000000"/>
            </w:tcBorders>
            <w:shd w:val="clear" w:color="auto" w:fill="auto"/>
            <w:hideMark/>
          </w:tcPr>
          <w:p w:rsidR="00194350" w:rsidRDefault="00194350">
            <w:pPr>
              <w:spacing w:line="256" w:lineRule="auto"/>
              <w:jc w:val="center"/>
              <w:rPr>
                <w:rFonts w:ascii="Calibri" w:hAnsi="Calibri" w:cs="Arial"/>
                <w:color w:val="000000"/>
                <w:sz w:val="20"/>
              </w:rPr>
            </w:pPr>
            <w:r>
              <w:rPr>
                <w:rFonts w:ascii="Calibri" w:hAnsi="Calibri" w:cs="Arial"/>
                <w:color w:val="000000"/>
                <w:sz w:val="20"/>
              </w:rPr>
              <w:t>To which degree(s) is this program outcome related?</w:t>
            </w:r>
          </w:p>
        </w:tc>
        <w:tc>
          <w:tcPr>
            <w:tcW w:w="1543" w:type="dxa"/>
            <w:tcBorders>
              <w:top w:val="single" w:sz="4" w:space="0" w:color="000000"/>
              <w:left w:val="single" w:sz="4" w:space="0" w:color="000000"/>
              <w:bottom w:val="single" w:sz="4" w:space="0" w:color="000000"/>
              <w:right w:val="single" w:sz="4" w:space="0" w:color="000000"/>
            </w:tcBorders>
            <w:shd w:val="clear" w:color="auto" w:fill="auto"/>
            <w:hideMark/>
          </w:tcPr>
          <w:p w:rsidR="00194350" w:rsidRDefault="00194350">
            <w:pPr>
              <w:spacing w:line="256" w:lineRule="auto"/>
              <w:jc w:val="center"/>
              <w:rPr>
                <w:rFonts w:ascii="Calibri" w:hAnsi="Calibri" w:cs="Arial"/>
                <w:color w:val="000000"/>
                <w:sz w:val="20"/>
              </w:rPr>
            </w:pPr>
            <w:r>
              <w:rPr>
                <w:rFonts w:ascii="Calibri" w:hAnsi="Calibri" w:cs="Arial"/>
                <w:color w:val="000000"/>
                <w:sz w:val="20"/>
              </w:rPr>
              <w:t>Year courses identified where mastery of general education competency will be assessed.</w:t>
            </w:r>
          </w:p>
        </w:tc>
        <w:tc>
          <w:tcPr>
            <w:tcW w:w="2248" w:type="dxa"/>
            <w:tcBorders>
              <w:top w:val="single" w:sz="4" w:space="0" w:color="000000"/>
              <w:left w:val="single" w:sz="4" w:space="0" w:color="000000"/>
              <w:bottom w:val="single" w:sz="4" w:space="0" w:color="000000"/>
              <w:right w:val="single" w:sz="4" w:space="0" w:color="000000"/>
            </w:tcBorders>
            <w:shd w:val="clear" w:color="auto" w:fill="auto"/>
          </w:tcPr>
          <w:p w:rsidR="00194350" w:rsidRDefault="00194350">
            <w:pPr>
              <w:spacing w:line="256" w:lineRule="auto"/>
              <w:jc w:val="center"/>
              <w:rPr>
                <w:rFonts w:ascii="Calibri" w:hAnsi="Calibri" w:cs="Arial"/>
                <w:color w:val="000000"/>
                <w:sz w:val="20"/>
              </w:rPr>
            </w:pPr>
            <w:r>
              <w:rPr>
                <w:rFonts w:ascii="Calibri" w:hAnsi="Calibri" w:cs="Arial"/>
                <w:color w:val="000000"/>
                <w:sz w:val="20"/>
              </w:rPr>
              <w:t>PLEASE INDICATE AT LEAST ONE COURSE WHERE MASTERY OF THE COMPETENCY WILL BE ASSESSED FOR EACH OF YOUR DEGREE PROGRAMS</w:t>
            </w:r>
          </w:p>
          <w:p w:rsidR="00194350" w:rsidRDefault="00194350">
            <w:pPr>
              <w:spacing w:line="256" w:lineRule="auto"/>
              <w:jc w:val="center"/>
              <w:rPr>
                <w:rFonts w:ascii="Calibri" w:hAnsi="Calibri" w:cs="Arial"/>
                <w:color w:val="000000"/>
                <w:sz w:val="20"/>
              </w:rPr>
            </w:pPr>
          </w:p>
        </w:tc>
        <w:tc>
          <w:tcPr>
            <w:tcW w:w="4025" w:type="dxa"/>
            <w:tcBorders>
              <w:top w:val="single" w:sz="4" w:space="0" w:color="000000"/>
              <w:left w:val="single" w:sz="4" w:space="0" w:color="000000"/>
              <w:bottom w:val="single" w:sz="4" w:space="0" w:color="000000"/>
              <w:right w:val="single" w:sz="4" w:space="0" w:color="000000"/>
            </w:tcBorders>
            <w:shd w:val="clear" w:color="auto" w:fill="auto"/>
            <w:hideMark/>
          </w:tcPr>
          <w:p w:rsidR="00194350" w:rsidRDefault="00194350">
            <w:pPr>
              <w:spacing w:line="256" w:lineRule="auto"/>
              <w:jc w:val="center"/>
              <w:rPr>
                <w:rFonts w:ascii="Calibri" w:hAnsi="Calibri" w:cs="Arial"/>
                <w:color w:val="000000"/>
                <w:sz w:val="20"/>
              </w:rPr>
            </w:pPr>
            <w:r>
              <w:rPr>
                <w:rFonts w:ascii="Calibri" w:hAnsi="Calibri" w:cs="Arial"/>
                <w:color w:val="000000"/>
                <w:sz w:val="20"/>
              </w:rPr>
              <w:t>What were the assessment results for this General Education competency?</w:t>
            </w:r>
          </w:p>
          <w:p w:rsidR="00194350" w:rsidRDefault="00194350">
            <w:pPr>
              <w:spacing w:line="256" w:lineRule="auto"/>
              <w:jc w:val="center"/>
              <w:rPr>
                <w:rFonts w:ascii="Calibri" w:hAnsi="Calibri" w:cs="Arial"/>
                <w:color w:val="000000"/>
                <w:sz w:val="20"/>
              </w:rPr>
            </w:pPr>
            <w:r>
              <w:rPr>
                <w:rFonts w:ascii="Calibri" w:hAnsi="Calibri" w:cs="Arial"/>
                <w:color w:val="000000"/>
                <w:sz w:val="20"/>
              </w:rPr>
              <w:t xml:space="preserve"> (Please provide </w:t>
            </w:r>
            <w:r>
              <w:rPr>
                <w:rFonts w:ascii="Calibri" w:hAnsi="Calibri" w:cs="Arial"/>
                <w:color w:val="000000"/>
                <w:sz w:val="20"/>
                <w:u w:val="single"/>
              </w:rPr>
              <w:t>brief</w:t>
            </w:r>
            <w:r>
              <w:rPr>
                <w:rFonts w:ascii="Calibri" w:hAnsi="Calibri" w:cs="Arial"/>
                <w:color w:val="000000"/>
                <w:sz w:val="20"/>
              </w:rPr>
              <w:t xml:space="preserve"> summary data)</w:t>
            </w:r>
          </w:p>
          <w:p w:rsidR="00194350" w:rsidRDefault="00194350">
            <w:pPr>
              <w:spacing w:line="256" w:lineRule="auto"/>
              <w:jc w:val="center"/>
              <w:rPr>
                <w:rFonts w:ascii="Calibri" w:hAnsi="Calibri" w:cs="Arial"/>
                <w:color w:val="000000"/>
                <w:sz w:val="20"/>
              </w:rPr>
            </w:pPr>
            <w:r>
              <w:rPr>
                <w:rFonts w:ascii="Calibri" w:hAnsi="Calibri" w:cs="Arial"/>
                <w:b/>
                <w:color w:val="000000"/>
                <w:sz w:val="20"/>
                <w:u w:val="single"/>
              </w:rPr>
              <w:t>NOTE</w:t>
            </w:r>
            <w:r>
              <w:rPr>
                <w:rFonts w:ascii="Calibri" w:hAnsi="Calibri" w:cs="Arial"/>
                <w:b/>
                <w:color w:val="000000"/>
                <w:sz w:val="20"/>
              </w:rPr>
              <w:t>: - THIS IS</w:t>
            </w:r>
            <w:r>
              <w:rPr>
                <w:rFonts w:ascii="Calibri" w:hAnsi="Calibri" w:cs="Arial"/>
                <w:b/>
                <w:color w:val="000000"/>
                <w:sz w:val="20"/>
                <w:u w:val="single"/>
              </w:rPr>
              <w:t xml:space="preserve"> </w:t>
            </w:r>
            <w:r>
              <w:rPr>
                <w:rFonts w:ascii="Calibri" w:hAnsi="Calibri" w:cs="Arial"/>
                <w:b/>
                <w:color w:val="000000"/>
                <w:u w:val="single"/>
              </w:rPr>
              <w:t>OPTIONAL</w:t>
            </w:r>
            <w:r>
              <w:rPr>
                <w:rFonts w:ascii="Calibri" w:hAnsi="Calibri" w:cs="Arial"/>
                <w:b/>
                <w:color w:val="000000"/>
                <w:sz w:val="20"/>
              </w:rPr>
              <w:t xml:space="preserve"> FOR THE FY 2014-15 AND FY 2015-16 ANNUAL UPDATES</w:t>
            </w:r>
          </w:p>
        </w:tc>
      </w:tr>
      <w:tr w:rsidR="00194350" w:rsidTr="00194350">
        <w:trPr>
          <w:trHeight w:val="530"/>
        </w:trPr>
        <w:tc>
          <w:tcPr>
            <w:tcW w:w="3712"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194350" w:rsidRDefault="00194350">
            <w:pPr>
              <w:tabs>
                <w:tab w:val="left" w:pos="5040"/>
              </w:tabs>
              <w:spacing w:line="256" w:lineRule="auto"/>
              <w:rPr>
                <w:rFonts w:ascii="Calibri" w:hAnsi="Calibri" w:cs="Arial"/>
              </w:rPr>
            </w:pPr>
            <w:r>
              <w:rPr>
                <w:rFonts w:ascii="Calibri" w:hAnsi="Calibri" w:cs="Arial"/>
              </w:rPr>
              <w:t>Critical Thinking/Problem Solving</w:t>
            </w:r>
          </w:p>
        </w:tc>
        <w:tc>
          <w:tcPr>
            <w:tcW w:w="1627" w:type="dxa"/>
            <w:tcBorders>
              <w:top w:val="single" w:sz="4" w:space="0" w:color="auto"/>
              <w:left w:val="single" w:sz="4" w:space="0" w:color="auto"/>
              <w:bottom w:val="single" w:sz="4" w:space="0" w:color="auto"/>
              <w:right w:val="single" w:sz="4" w:space="0" w:color="auto"/>
            </w:tcBorders>
            <w:shd w:val="clear" w:color="auto" w:fill="auto"/>
            <w:hideMark/>
          </w:tcPr>
          <w:p w:rsidR="00194350" w:rsidRDefault="00194350">
            <w:pPr>
              <w:spacing w:line="256" w:lineRule="auto"/>
              <w:jc w:val="center"/>
              <w:rPr>
                <w:rFonts w:ascii="Calibri" w:hAnsi="Calibri"/>
              </w:rPr>
            </w:pPr>
            <w:r>
              <w:rPr>
                <w:rFonts w:ascii="Calibri" w:hAnsi="Calibri" w:cs="Arial"/>
                <w:color w:val="000000"/>
              </w:rPr>
              <w:t>All programs</w:t>
            </w:r>
          </w:p>
        </w:tc>
        <w:tc>
          <w:tcPr>
            <w:tcW w:w="1543" w:type="dxa"/>
            <w:tcBorders>
              <w:top w:val="single" w:sz="4" w:space="0" w:color="000000"/>
              <w:left w:val="single" w:sz="4" w:space="0" w:color="000000"/>
              <w:bottom w:val="single" w:sz="4" w:space="0" w:color="000000"/>
              <w:right w:val="single" w:sz="4" w:space="0" w:color="000000"/>
            </w:tcBorders>
            <w:shd w:val="clear" w:color="auto" w:fill="auto"/>
            <w:hideMark/>
          </w:tcPr>
          <w:p w:rsidR="00194350" w:rsidRDefault="00194350">
            <w:pPr>
              <w:spacing w:line="256" w:lineRule="auto"/>
              <w:jc w:val="center"/>
              <w:rPr>
                <w:rFonts w:ascii="Calibri" w:hAnsi="Calibri" w:cs="Arial"/>
                <w:b/>
                <w:color w:val="000000"/>
              </w:rPr>
            </w:pPr>
            <w:r>
              <w:rPr>
                <w:rFonts w:ascii="Calibri" w:hAnsi="Calibri" w:cs="Arial"/>
                <w:b/>
                <w:color w:val="000000"/>
              </w:rPr>
              <w:t>2014-2015</w:t>
            </w:r>
          </w:p>
        </w:tc>
        <w:tc>
          <w:tcPr>
            <w:tcW w:w="2248" w:type="dxa"/>
            <w:tcBorders>
              <w:top w:val="single" w:sz="4" w:space="0" w:color="000000"/>
              <w:left w:val="single" w:sz="4" w:space="0" w:color="000000"/>
              <w:bottom w:val="single" w:sz="4" w:space="0" w:color="000000"/>
              <w:right w:val="single" w:sz="4" w:space="0" w:color="000000"/>
            </w:tcBorders>
            <w:shd w:val="clear" w:color="auto" w:fill="auto"/>
          </w:tcPr>
          <w:p w:rsidR="00E56EF1" w:rsidRDefault="00E56EF1">
            <w:pPr>
              <w:spacing w:line="256" w:lineRule="auto"/>
              <w:ind w:left="72"/>
              <w:rPr>
                <w:rFonts w:ascii="Calibri" w:hAnsi="Calibri" w:cs="Arial"/>
                <w:color w:val="000000"/>
              </w:rPr>
            </w:pPr>
            <w:r>
              <w:rPr>
                <w:rFonts w:ascii="Calibri" w:hAnsi="Calibri" w:cs="Arial"/>
                <w:color w:val="000000"/>
              </w:rPr>
              <w:t>-</w:t>
            </w:r>
            <w:r w:rsidR="00034513">
              <w:rPr>
                <w:rFonts w:ascii="Calibri" w:hAnsi="Calibri" w:cs="Arial"/>
                <w:color w:val="000000"/>
              </w:rPr>
              <w:t>PTA 2238 (Triple Jump)</w:t>
            </w:r>
          </w:p>
          <w:p w:rsidR="00E56EF1" w:rsidRDefault="00E56EF1">
            <w:pPr>
              <w:spacing w:line="256" w:lineRule="auto"/>
              <w:ind w:left="72"/>
              <w:rPr>
                <w:rFonts w:ascii="Calibri" w:hAnsi="Calibri" w:cs="Arial"/>
                <w:color w:val="000000"/>
              </w:rPr>
            </w:pPr>
            <w:r>
              <w:rPr>
                <w:rFonts w:ascii="Calibri" w:hAnsi="Calibri" w:cs="Arial"/>
                <w:color w:val="000000"/>
              </w:rPr>
              <w:t>-PTA 2115 (Inservice)</w:t>
            </w:r>
          </w:p>
          <w:p w:rsidR="00E56EF1" w:rsidRDefault="00E56EF1">
            <w:pPr>
              <w:spacing w:line="256" w:lineRule="auto"/>
              <w:ind w:left="72"/>
              <w:rPr>
                <w:rFonts w:ascii="Calibri" w:hAnsi="Calibri" w:cs="Arial"/>
                <w:color w:val="000000"/>
              </w:rPr>
            </w:pPr>
            <w:r>
              <w:rPr>
                <w:rFonts w:ascii="Calibri" w:hAnsi="Calibri" w:cs="Arial"/>
                <w:color w:val="000000"/>
              </w:rPr>
              <w:t>-</w:t>
            </w:r>
            <w:r w:rsidR="008D0B3E">
              <w:rPr>
                <w:rFonts w:ascii="Calibri" w:hAnsi="Calibri" w:cs="Arial"/>
                <w:color w:val="000000"/>
              </w:rPr>
              <w:t>PTA 2234 (Debate)</w:t>
            </w:r>
          </w:p>
          <w:p w:rsidR="00194350" w:rsidRDefault="00E56EF1">
            <w:pPr>
              <w:spacing w:line="256" w:lineRule="auto"/>
              <w:ind w:left="72"/>
              <w:rPr>
                <w:rFonts w:ascii="Calibri" w:hAnsi="Calibri" w:cs="Arial"/>
                <w:color w:val="000000"/>
              </w:rPr>
            </w:pPr>
            <w:r>
              <w:rPr>
                <w:rFonts w:ascii="Calibri" w:hAnsi="Calibri" w:cs="Arial"/>
                <w:color w:val="000000"/>
              </w:rPr>
              <w:t>-PTA 2212 (CPI Category:  Clinical Problem Solving)</w:t>
            </w:r>
          </w:p>
        </w:tc>
        <w:tc>
          <w:tcPr>
            <w:tcW w:w="4025" w:type="dxa"/>
            <w:tcBorders>
              <w:top w:val="single" w:sz="4" w:space="0" w:color="000000"/>
              <w:left w:val="single" w:sz="4" w:space="0" w:color="000000"/>
              <w:bottom w:val="single" w:sz="4" w:space="0" w:color="000000"/>
              <w:right w:val="single" w:sz="4" w:space="0" w:color="000000"/>
            </w:tcBorders>
            <w:shd w:val="clear" w:color="auto" w:fill="auto"/>
          </w:tcPr>
          <w:p w:rsidR="00194350" w:rsidRDefault="00E56EF1">
            <w:pPr>
              <w:spacing w:line="256" w:lineRule="auto"/>
              <w:ind w:left="72"/>
              <w:rPr>
                <w:rFonts w:ascii="Calibri" w:hAnsi="Calibri" w:cs="Arial"/>
                <w:color w:val="000000"/>
              </w:rPr>
            </w:pPr>
            <w:r>
              <w:rPr>
                <w:rFonts w:ascii="Calibri" w:hAnsi="Calibri" w:cs="Arial"/>
                <w:color w:val="000000"/>
              </w:rPr>
              <w:t xml:space="preserve">See PTA Program Outcomes Data (Figure </w:t>
            </w:r>
            <w:hyperlink w:anchor="Fig19" w:history="1">
              <w:r w:rsidRPr="00694870">
                <w:rPr>
                  <w:rStyle w:val="Hyperlink"/>
                  <w:rFonts w:ascii="Calibri" w:hAnsi="Calibri" w:cs="Arial"/>
                </w:rPr>
                <w:t>1</w:t>
              </w:r>
              <w:r w:rsidRPr="00694870">
                <w:rPr>
                  <w:rStyle w:val="Hyperlink"/>
                  <w:rFonts w:ascii="Calibri" w:hAnsi="Calibri" w:cs="Arial"/>
                </w:rPr>
                <w:t>9</w:t>
              </w:r>
            </w:hyperlink>
            <w:r>
              <w:rPr>
                <w:rFonts w:ascii="Calibri" w:hAnsi="Calibri" w:cs="Arial"/>
                <w:color w:val="000000"/>
              </w:rPr>
              <w:t xml:space="preserve">, </w:t>
            </w:r>
            <w:hyperlink w:anchor="Fig20" w:history="1">
              <w:r w:rsidRPr="00694870">
                <w:rPr>
                  <w:rStyle w:val="Hyperlink"/>
                  <w:rFonts w:ascii="Calibri" w:hAnsi="Calibri" w:cs="Arial"/>
                </w:rPr>
                <w:t>20</w:t>
              </w:r>
            </w:hyperlink>
            <w:r>
              <w:rPr>
                <w:rFonts w:ascii="Calibri" w:hAnsi="Calibri" w:cs="Arial"/>
                <w:color w:val="000000"/>
              </w:rPr>
              <w:t xml:space="preserve">, </w:t>
            </w:r>
            <w:hyperlink w:anchor="Fig31" w:history="1">
              <w:r w:rsidRPr="00694870">
                <w:rPr>
                  <w:rStyle w:val="Hyperlink"/>
                  <w:rFonts w:ascii="Calibri" w:hAnsi="Calibri" w:cs="Arial"/>
                </w:rPr>
                <w:t>31</w:t>
              </w:r>
            </w:hyperlink>
            <w:r>
              <w:rPr>
                <w:rFonts w:ascii="Calibri" w:hAnsi="Calibri" w:cs="Arial"/>
                <w:color w:val="000000"/>
              </w:rPr>
              <w:t xml:space="preserve">, &amp; </w:t>
            </w:r>
            <w:hyperlink w:anchor="Fig32" w:history="1">
              <w:r w:rsidRPr="00694870">
                <w:rPr>
                  <w:rStyle w:val="Hyperlink"/>
                  <w:rFonts w:ascii="Calibri" w:hAnsi="Calibri" w:cs="Arial"/>
                </w:rPr>
                <w:t>32</w:t>
              </w:r>
            </w:hyperlink>
            <w:r>
              <w:rPr>
                <w:rFonts w:ascii="Calibri" w:hAnsi="Calibri" w:cs="Arial"/>
                <w:color w:val="000000"/>
              </w:rPr>
              <w:t>).</w:t>
            </w:r>
          </w:p>
        </w:tc>
      </w:tr>
      <w:tr w:rsidR="00194350" w:rsidTr="00194350">
        <w:trPr>
          <w:trHeight w:val="274"/>
        </w:trPr>
        <w:tc>
          <w:tcPr>
            <w:tcW w:w="3712"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194350" w:rsidRDefault="00194350">
            <w:pPr>
              <w:tabs>
                <w:tab w:val="left" w:pos="5040"/>
              </w:tabs>
              <w:spacing w:line="256" w:lineRule="auto"/>
              <w:rPr>
                <w:rFonts w:ascii="Calibri" w:hAnsi="Calibri" w:cs="Arial"/>
              </w:rPr>
            </w:pPr>
            <w:r>
              <w:rPr>
                <w:rFonts w:ascii="Calibri" w:hAnsi="Calibri" w:cs="Arial"/>
              </w:rPr>
              <w:lastRenderedPageBreak/>
              <w:t>Information Literacy</w:t>
            </w:r>
          </w:p>
        </w:tc>
        <w:tc>
          <w:tcPr>
            <w:tcW w:w="1627" w:type="dxa"/>
            <w:tcBorders>
              <w:top w:val="single" w:sz="4" w:space="0" w:color="auto"/>
              <w:left w:val="single" w:sz="4" w:space="0" w:color="auto"/>
              <w:bottom w:val="single" w:sz="4" w:space="0" w:color="auto"/>
              <w:right w:val="single" w:sz="4" w:space="0" w:color="auto"/>
            </w:tcBorders>
            <w:shd w:val="clear" w:color="auto" w:fill="auto"/>
            <w:hideMark/>
          </w:tcPr>
          <w:p w:rsidR="00194350" w:rsidRDefault="00194350">
            <w:pPr>
              <w:spacing w:line="256" w:lineRule="auto"/>
              <w:jc w:val="center"/>
              <w:rPr>
                <w:rFonts w:ascii="Calibri" w:hAnsi="Calibri"/>
              </w:rPr>
            </w:pPr>
            <w:r>
              <w:rPr>
                <w:rFonts w:ascii="Calibri" w:hAnsi="Calibri" w:cs="Arial"/>
                <w:color w:val="000000"/>
              </w:rPr>
              <w:t>All programs</w:t>
            </w:r>
          </w:p>
        </w:tc>
        <w:tc>
          <w:tcPr>
            <w:tcW w:w="1543" w:type="dxa"/>
            <w:tcBorders>
              <w:top w:val="single" w:sz="4" w:space="0" w:color="000000"/>
              <w:left w:val="single" w:sz="4" w:space="0" w:color="000000"/>
              <w:bottom w:val="single" w:sz="4" w:space="0" w:color="000000"/>
              <w:right w:val="single" w:sz="4" w:space="0" w:color="000000"/>
            </w:tcBorders>
            <w:shd w:val="clear" w:color="auto" w:fill="auto"/>
            <w:hideMark/>
          </w:tcPr>
          <w:p w:rsidR="00194350" w:rsidRDefault="00194350">
            <w:pPr>
              <w:spacing w:line="256" w:lineRule="auto"/>
              <w:jc w:val="center"/>
              <w:rPr>
                <w:rFonts w:ascii="Calibri" w:hAnsi="Calibri" w:cs="Arial"/>
                <w:b/>
                <w:color w:val="000000"/>
              </w:rPr>
            </w:pPr>
            <w:r>
              <w:rPr>
                <w:rFonts w:ascii="Calibri" w:hAnsi="Calibri" w:cs="Arial"/>
                <w:b/>
                <w:color w:val="000000"/>
              </w:rPr>
              <w:t>2014-2015</w:t>
            </w:r>
          </w:p>
        </w:tc>
        <w:tc>
          <w:tcPr>
            <w:tcW w:w="2248" w:type="dxa"/>
            <w:tcBorders>
              <w:top w:val="single" w:sz="4" w:space="0" w:color="000000"/>
              <w:left w:val="single" w:sz="4" w:space="0" w:color="000000"/>
              <w:bottom w:val="single" w:sz="4" w:space="0" w:color="000000"/>
              <w:right w:val="single" w:sz="4" w:space="0" w:color="000000"/>
            </w:tcBorders>
            <w:shd w:val="clear" w:color="auto" w:fill="auto"/>
          </w:tcPr>
          <w:p w:rsidR="00E56EF1" w:rsidRDefault="00E56EF1">
            <w:pPr>
              <w:spacing w:line="256" w:lineRule="auto"/>
              <w:ind w:left="72"/>
              <w:rPr>
                <w:rFonts w:ascii="Calibri" w:hAnsi="Calibri" w:cs="Arial"/>
                <w:color w:val="000000"/>
              </w:rPr>
            </w:pPr>
            <w:r>
              <w:rPr>
                <w:rFonts w:ascii="Calibri" w:hAnsi="Calibri" w:cs="Arial"/>
                <w:color w:val="000000"/>
              </w:rPr>
              <w:t>-PTA 2115 (Inservice)</w:t>
            </w:r>
          </w:p>
          <w:p w:rsidR="00194350" w:rsidRDefault="00E56EF1">
            <w:pPr>
              <w:spacing w:line="256" w:lineRule="auto"/>
              <w:ind w:left="72"/>
              <w:rPr>
                <w:rFonts w:ascii="Calibri" w:hAnsi="Calibri" w:cs="Arial"/>
                <w:color w:val="000000"/>
              </w:rPr>
            </w:pPr>
            <w:r>
              <w:rPr>
                <w:rFonts w:ascii="Calibri" w:hAnsi="Calibri" w:cs="Arial"/>
                <w:color w:val="000000"/>
              </w:rPr>
              <w:t>-</w:t>
            </w:r>
            <w:r w:rsidR="00034513">
              <w:rPr>
                <w:rFonts w:ascii="Calibri" w:hAnsi="Calibri" w:cs="Arial"/>
                <w:color w:val="000000"/>
              </w:rPr>
              <w:t>PTA 2234 (Poster Presentation, Debate)</w:t>
            </w:r>
          </w:p>
        </w:tc>
        <w:tc>
          <w:tcPr>
            <w:tcW w:w="4025" w:type="dxa"/>
            <w:tcBorders>
              <w:top w:val="single" w:sz="4" w:space="0" w:color="000000"/>
              <w:left w:val="single" w:sz="4" w:space="0" w:color="000000"/>
              <w:bottom w:val="single" w:sz="4" w:space="0" w:color="000000"/>
              <w:right w:val="single" w:sz="4" w:space="0" w:color="000000"/>
            </w:tcBorders>
            <w:shd w:val="clear" w:color="auto" w:fill="auto"/>
          </w:tcPr>
          <w:p w:rsidR="00194350" w:rsidRDefault="00194350">
            <w:pPr>
              <w:spacing w:line="256" w:lineRule="auto"/>
              <w:ind w:left="72"/>
              <w:rPr>
                <w:rFonts w:ascii="Calibri" w:hAnsi="Calibri" w:cs="Arial"/>
                <w:color w:val="000000"/>
              </w:rPr>
            </w:pPr>
          </w:p>
        </w:tc>
      </w:tr>
      <w:tr w:rsidR="00194350" w:rsidTr="00194350">
        <w:trPr>
          <w:trHeight w:val="274"/>
        </w:trPr>
        <w:tc>
          <w:tcPr>
            <w:tcW w:w="3712"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194350" w:rsidRDefault="00194350">
            <w:pPr>
              <w:tabs>
                <w:tab w:val="left" w:pos="5040"/>
              </w:tabs>
              <w:spacing w:line="256" w:lineRule="auto"/>
              <w:rPr>
                <w:rFonts w:ascii="Calibri" w:hAnsi="Calibri" w:cs="Arial"/>
                <w:color w:val="000000"/>
              </w:rPr>
            </w:pPr>
            <w:r>
              <w:rPr>
                <w:rFonts w:ascii="Calibri" w:hAnsi="Calibri" w:cs="Arial"/>
                <w:color w:val="000000"/>
              </w:rPr>
              <w:t>Computer Literacy</w:t>
            </w:r>
          </w:p>
        </w:tc>
        <w:tc>
          <w:tcPr>
            <w:tcW w:w="1627" w:type="dxa"/>
            <w:tcBorders>
              <w:top w:val="single" w:sz="4" w:space="0" w:color="auto"/>
              <w:left w:val="single" w:sz="4" w:space="0" w:color="auto"/>
              <w:bottom w:val="single" w:sz="4" w:space="0" w:color="auto"/>
              <w:right w:val="single" w:sz="4" w:space="0" w:color="auto"/>
            </w:tcBorders>
            <w:shd w:val="clear" w:color="auto" w:fill="auto"/>
            <w:hideMark/>
          </w:tcPr>
          <w:p w:rsidR="00194350" w:rsidRDefault="00194350">
            <w:pPr>
              <w:spacing w:line="256" w:lineRule="auto"/>
              <w:jc w:val="center"/>
              <w:rPr>
                <w:rFonts w:ascii="Calibri" w:hAnsi="Calibri"/>
              </w:rPr>
            </w:pPr>
            <w:r>
              <w:rPr>
                <w:rFonts w:ascii="Calibri" w:hAnsi="Calibri" w:cs="Arial"/>
                <w:color w:val="000000"/>
              </w:rPr>
              <w:t>All programs</w:t>
            </w:r>
          </w:p>
        </w:tc>
        <w:tc>
          <w:tcPr>
            <w:tcW w:w="1543" w:type="dxa"/>
            <w:tcBorders>
              <w:top w:val="single" w:sz="4" w:space="0" w:color="000000"/>
              <w:left w:val="single" w:sz="4" w:space="0" w:color="000000"/>
              <w:bottom w:val="single" w:sz="4" w:space="0" w:color="000000"/>
              <w:right w:val="single" w:sz="4" w:space="0" w:color="000000"/>
            </w:tcBorders>
            <w:shd w:val="clear" w:color="auto" w:fill="auto"/>
            <w:hideMark/>
          </w:tcPr>
          <w:p w:rsidR="00194350" w:rsidRDefault="00194350">
            <w:pPr>
              <w:spacing w:line="256" w:lineRule="auto"/>
              <w:jc w:val="center"/>
              <w:rPr>
                <w:rFonts w:ascii="Calibri" w:hAnsi="Calibri" w:cs="Arial"/>
                <w:b/>
                <w:color w:val="000000"/>
              </w:rPr>
            </w:pPr>
            <w:r>
              <w:rPr>
                <w:rFonts w:ascii="Calibri" w:hAnsi="Calibri" w:cs="Arial"/>
                <w:b/>
                <w:color w:val="000000"/>
              </w:rPr>
              <w:t>2014-2015</w:t>
            </w:r>
          </w:p>
        </w:tc>
        <w:tc>
          <w:tcPr>
            <w:tcW w:w="2248" w:type="dxa"/>
            <w:tcBorders>
              <w:top w:val="single" w:sz="4" w:space="0" w:color="000000"/>
              <w:left w:val="single" w:sz="4" w:space="0" w:color="000000"/>
              <w:bottom w:val="single" w:sz="4" w:space="0" w:color="000000"/>
              <w:right w:val="single" w:sz="4" w:space="0" w:color="000000"/>
            </w:tcBorders>
            <w:shd w:val="clear" w:color="auto" w:fill="auto"/>
          </w:tcPr>
          <w:p w:rsidR="00194350" w:rsidRDefault="00E56EF1">
            <w:pPr>
              <w:spacing w:line="256" w:lineRule="auto"/>
              <w:ind w:left="72"/>
              <w:rPr>
                <w:rFonts w:ascii="Calibri" w:hAnsi="Calibri" w:cs="Arial"/>
                <w:color w:val="000000"/>
              </w:rPr>
            </w:pPr>
            <w:r>
              <w:rPr>
                <w:rFonts w:ascii="Calibri" w:hAnsi="Calibri" w:cs="Arial"/>
                <w:color w:val="000000"/>
              </w:rPr>
              <w:t>-</w:t>
            </w:r>
            <w:r w:rsidR="00034513">
              <w:rPr>
                <w:rFonts w:ascii="Calibri" w:hAnsi="Calibri" w:cs="Arial"/>
                <w:color w:val="000000"/>
              </w:rPr>
              <w:t>PTA 2115 (Inservice)</w:t>
            </w:r>
          </w:p>
          <w:p w:rsidR="00034513" w:rsidRDefault="00E56EF1">
            <w:pPr>
              <w:spacing w:line="256" w:lineRule="auto"/>
              <w:ind w:left="72"/>
              <w:rPr>
                <w:rFonts w:ascii="Calibri" w:hAnsi="Calibri" w:cs="Arial"/>
                <w:color w:val="000000"/>
              </w:rPr>
            </w:pPr>
            <w:r>
              <w:rPr>
                <w:rFonts w:ascii="Calibri" w:hAnsi="Calibri" w:cs="Arial"/>
                <w:color w:val="000000"/>
              </w:rPr>
              <w:t>-</w:t>
            </w:r>
            <w:r w:rsidR="00034513">
              <w:rPr>
                <w:rFonts w:ascii="Calibri" w:hAnsi="Calibri" w:cs="Arial"/>
                <w:color w:val="000000"/>
              </w:rPr>
              <w:t>PTA 2234 (Debate)</w:t>
            </w:r>
          </w:p>
          <w:p w:rsidR="00E56EF1" w:rsidRDefault="00E56EF1">
            <w:pPr>
              <w:spacing w:line="256" w:lineRule="auto"/>
              <w:ind w:left="72"/>
              <w:rPr>
                <w:rFonts w:ascii="Calibri" w:hAnsi="Calibri" w:cs="Arial"/>
                <w:color w:val="000000"/>
              </w:rPr>
            </w:pPr>
            <w:r>
              <w:rPr>
                <w:rFonts w:ascii="Calibri" w:hAnsi="Calibri" w:cs="Arial"/>
                <w:color w:val="000000"/>
              </w:rPr>
              <w:t>-PTA 2212 (CPI Category:  Documentation)</w:t>
            </w:r>
          </w:p>
        </w:tc>
        <w:tc>
          <w:tcPr>
            <w:tcW w:w="4025" w:type="dxa"/>
            <w:tcBorders>
              <w:top w:val="single" w:sz="4" w:space="0" w:color="000000"/>
              <w:left w:val="single" w:sz="4" w:space="0" w:color="000000"/>
              <w:bottom w:val="single" w:sz="4" w:space="0" w:color="000000"/>
              <w:right w:val="single" w:sz="4" w:space="0" w:color="000000"/>
            </w:tcBorders>
            <w:shd w:val="clear" w:color="auto" w:fill="auto"/>
          </w:tcPr>
          <w:p w:rsidR="00194350" w:rsidRDefault="00E56EF1">
            <w:pPr>
              <w:spacing w:line="256" w:lineRule="auto"/>
              <w:ind w:left="72"/>
              <w:rPr>
                <w:rFonts w:ascii="Calibri" w:hAnsi="Calibri" w:cs="Arial"/>
                <w:color w:val="000000"/>
              </w:rPr>
            </w:pPr>
            <w:r>
              <w:rPr>
                <w:rFonts w:ascii="Calibri" w:hAnsi="Calibri" w:cs="Arial"/>
                <w:color w:val="000000"/>
              </w:rPr>
              <w:t xml:space="preserve">See PTA Program Outcomes Data (Figure </w:t>
            </w:r>
            <w:hyperlink w:anchor="Fig27" w:history="1">
              <w:r w:rsidRPr="00694870">
                <w:rPr>
                  <w:rStyle w:val="Hyperlink"/>
                  <w:rFonts w:ascii="Calibri" w:hAnsi="Calibri" w:cs="Arial"/>
                </w:rPr>
                <w:t>27</w:t>
              </w:r>
            </w:hyperlink>
            <w:r>
              <w:rPr>
                <w:rFonts w:ascii="Calibri" w:hAnsi="Calibri" w:cs="Arial"/>
                <w:color w:val="000000"/>
              </w:rPr>
              <w:t xml:space="preserve">, </w:t>
            </w:r>
            <w:hyperlink w:anchor="Fig28" w:history="1">
              <w:r w:rsidRPr="00694870">
                <w:rPr>
                  <w:rStyle w:val="Hyperlink"/>
                  <w:rFonts w:ascii="Calibri" w:hAnsi="Calibri" w:cs="Arial"/>
                </w:rPr>
                <w:t>28</w:t>
              </w:r>
            </w:hyperlink>
            <w:r>
              <w:rPr>
                <w:rFonts w:ascii="Calibri" w:hAnsi="Calibri" w:cs="Arial"/>
                <w:color w:val="000000"/>
              </w:rPr>
              <w:t xml:space="preserve">, </w:t>
            </w:r>
            <w:hyperlink w:anchor="Fig31" w:history="1">
              <w:r w:rsidRPr="00694870">
                <w:rPr>
                  <w:rStyle w:val="Hyperlink"/>
                  <w:rFonts w:ascii="Calibri" w:hAnsi="Calibri" w:cs="Arial"/>
                </w:rPr>
                <w:t>31</w:t>
              </w:r>
            </w:hyperlink>
            <w:r>
              <w:rPr>
                <w:rFonts w:ascii="Calibri" w:hAnsi="Calibri" w:cs="Arial"/>
                <w:color w:val="000000"/>
              </w:rPr>
              <w:t xml:space="preserve">, &amp; </w:t>
            </w:r>
            <w:hyperlink w:anchor="Fig32" w:history="1">
              <w:r w:rsidRPr="00694870">
                <w:rPr>
                  <w:rStyle w:val="Hyperlink"/>
                  <w:rFonts w:ascii="Calibri" w:hAnsi="Calibri" w:cs="Arial"/>
                </w:rPr>
                <w:t>32</w:t>
              </w:r>
            </w:hyperlink>
            <w:r>
              <w:rPr>
                <w:rFonts w:ascii="Calibri" w:hAnsi="Calibri" w:cs="Arial"/>
                <w:color w:val="000000"/>
              </w:rPr>
              <w:t>).</w:t>
            </w:r>
          </w:p>
        </w:tc>
      </w:tr>
      <w:tr w:rsidR="00194350" w:rsidTr="00194350">
        <w:trPr>
          <w:trHeight w:val="274"/>
        </w:trPr>
        <w:tc>
          <w:tcPr>
            <w:tcW w:w="3712" w:type="dxa"/>
            <w:gridSpan w:val="2"/>
            <w:tcBorders>
              <w:top w:val="single" w:sz="4" w:space="0" w:color="000000"/>
              <w:left w:val="single" w:sz="4" w:space="0" w:color="000000"/>
              <w:bottom w:val="single" w:sz="4" w:space="0" w:color="000000"/>
              <w:right w:val="single" w:sz="4" w:space="0" w:color="000000"/>
            </w:tcBorders>
            <w:shd w:val="clear" w:color="auto" w:fill="000000"/>
            <w:vAlign w:val="center"/>
            <w:hideMark/>
          </w:tcPr>
          <w:p w:rsidR="00194350" w:rsidRDefault="00194350">
            <w:pPr>
              <w:tabs>
                <w:tab w:val="left" w:pos="5040"/>
              </w:tabs>
              <w:spacing w:line="256" w:lineRule="auto"/>
              <w:rPr>
                <w:rFonts w:ascii="Calibri" w:hAnsi="Calibri" w:cs="Arial"/>
                <w:color w:val="FFFFFF"/>
              </w:rPr>
            </w:pPr>
            <w:r>
              <w:rPr>
                <w:rFonts w:ascii="Calibri" w:hAnsi="Calibri" w:cs="Arial"/>
                <w:color w:val="FFFFFF"/>
              </w:rPr>
              <w:t>Values/Citizenship/Community</w:t>
            </w:r>
          </w:p>
        </w:tc>
        <w:tc>
          <w:tcPr>
            <w:tcW w:w="1627" w:type="dxa"/>
            <w:tcBorders>
              <w:top w:val="single" w:sz="4" w:space="0" w:color="auto"/>
              <w:left w:val="single" w:sz="4" w:space="0" w:color="auto"/>
              <w:bottom w:val="single" w:sz="4" w:space="0" w:color="auto"/>
              <w:right w:val="single" w:sz="4" w:space="0" w:color="auto"/>
            </w:tcBorders>
            <w:shd w:val="clear" w:color="auto" w:fill="000000"/>
            <w:hideMark/>
          </w:tcPr>
          <w:p w:rsidR="00194350" w:rsidRDefault="00194350">
            <w:pPr>
              <w:spacing w:line="256" w:lineRule="auto"/>
              <w:jc w:val="center"/>
              <w:rPr>
                <w:rFonts w:ascii="Calibri" w:hAnsi="Calibri"/>
                <w:color w:val="FFFFFF"/>
              </w:rPr>
            </w:pPr>
            <w:r>
              <w:rPr>
                <w:rFonts w:ascii="Calibri" w:hAnsi="Calibri" w:cs="Arial"/>
                <w:color w:val="FFFFFF"/>
              </w:rPr>
              <w:t>All programs</w:t>
            </w:r>
          </w:p>
        </w:tc>
        <w:tc>
          <w:tcPr>
            <w:tcW w:w="1543" w:type="dxa"/>
            <w:tcBorders>
              <w:top w:val="single" w:sz="4" w:space="0" w:color="000000"/>
              <w:left w:val="single" w:sz="4" w:space="0" w:color="000000"/>
              <w:bottom w:val="single" w:sz="4" w:space="0" w:color="000000"/>
              <w:right w:val="single" w:sz="4" w:space="0" w:color="000000"/>
            </w:tcBorders>
            <w:shd w:val="clear" w:color="auto" w:fill="000000"/>
            <w:hideMark/>
          </w:tcPr>
          <w:p w:rsidR="00194350" w:rsidRDefault="00194350">
            <w:pPr>
              <w:spacing w:line="256" w:lineRule="auto"/>
              <w:jc w:val="center"/>
              <w:rPr>
                <w:rFonts w:ascii="Calibri" w:hAnsi="Calibri" w:cs="Arial"/>
                <w:b/>
                <w:color w:val="FFFFFF"/>
              </w:rPr>
            </w:pPr>
            <w:r>
              <w:rPr>
                <w:rFonts w:ascii="Calibri" w:hAnsi="Calibri" w:cs="Arial"/>
                <w:b/>
                <w:color w:val="FFFFFF"/>
              </w:rPr>
              <w:t>2015-2016</w:t>
            </w:r>
          </w:p>
        </w:tc>
        <w:tc>
          <w:tcPr>
            <w:tcW w:w="2248" w:type="dxa"/>
            <w:tcBorders>
              <w:top w:val="single" w:sz="4" w:space="0" w:color="000000"/>
              <w:left w:val="single" w:sz="4" w:space="0" w:color="000000"/>
              <w:bottom w:val="single" w:sz="4" w:space="0" w:color="000000"/>
              <w:right w:val="single" w:sz="4" w:space="0" w:color="000000"/>
            </w:tcBorders>
            <w:shd w:val="clear" w:color="auto" w:fill="000000"/>
            <w:hideMark/>
          </w:tcPr>
          <w:p w:rsidR="00194350" w:rsidRDefault="00194350">
            <w:pPr>
              <w:spacing w:line="256" w:lineRule="auto"/>
              <w:ind w:left="72"/>
              <w:rPr>
                <w:rFonts w:ascii="Calibri" w:hAnsi="Calibri" w:cs="Arial"/>
                <w:color w:val="FFFFFF"/>
              </w:rPr>
            </w:pPr>
            <w:r>
              <w:rPr>
                <w:rFonts w:ascii="Calibri" w:hAnsi="Calibri" w:cs="Arial"/>
                <w:color w:val="FFFFFF"/>
              </w:rPr>
              <w:t>Due in FY 2015-16</w:t>
            </w:r>
          </w:p>
        </w:tc>
        <w:tc>
          <w:tcPr>
            <w:tcW w:w="4025" w:type="dxa"/>
            <w:tcBorders>
              <w:top w:val="single" w:sz="4" w:space="0" w:color="000000"/>
              <w:left w:val="single" w:sz="4" w:space="0" w:color="000000"/>
              <w:bottom w:val="single" w:sz="4" w:space="0" w:color="000000"/>
              <w:right w:val="single" w:sz="4" w:space="0" w:color="000000"/>
            </w:tcBorders>
            <w:shd w:val="clear" w:color="auto" w:fill="000000"/>
          </w:tcPr>
          <w:p w:rsidR="00194350" w:rsidRDefault="00194350">
            <w:pPr>
              <w:spacing w:line="256" w:lineRule="auto"/>
              <w:ind w:left="72"/>
              <w:rPr>
                <w:rFonts w:ascii="Calibri" w:hAnsi="Calibri" w:cs="Arial"/>
                <w:color w:val="FFFFFF"/>
              </w:rPr>
            </w:pPr>
          </w:p>
        </w:tc>
      </w:tr>
      <w:tr w:rsidR="00194350" w:rsidTr="00194350">
        <w:trPr>
          <w:trHeight w:val="274"/>
        </w:trPr>
        <w:tc>
          <w:tcPr>
            <w:tcW w:w="3712" w:type="dxa"/>
            <w:gridSpan w:val="2"/>
            <w:tcBorders>
              <w:top w:val="single" w:sz="4" w:space="0" w:color="000000"/>
              <w:left w:val="single" w:sz="4" w:space="0" w:color="000000"/>
              <w:bottom w:val="single" w:sz="4" w:space="0" w:color="000000"/>
              <w:right w:val="single" w:sz="4" w:space="0" w:color="000000"/>
            </w:tcBorders>
            <w:shd w:val="clear" w:color="auto" w:fill="000000"/>
            <w:vAlign w:val="center"/>
            <w:hideMark/>
          </w:tcPr>
          <w:p w:rsidR="00194350" w:rsidRDefault="00194350">
            <w:pPr>
              <w:tabs>
                <w:tab w:val="left" w:pos="5040"/>
              </w:tabs>
              <w:spacing w:line="256" w:lineRule="auto"/>
              <w:rPr>
                <w:rFonts w:ascii="Calibri" w:hAnsi="Calibri" w:cs="Arial"/>
                <w:color w:val="FFFFFF"/>
              </w:rPr>
            </w:pPr>
            <w:r>
              <w:rPr>
                <w:rFonts w:ascii="Calibri" w:hAnsi="Calibri" w:cs="Arial"/>
                <w:color w:val="FFFFFF"/>
              </w:rPr>
              <w:t>Oral Communication</w:t>
            </w:r>
          </w:p>
        </w:tc>
        <w:tc>
          <w:tcPr>
            <w:tcW w:w="1627" w:type="dxa"/>
            <w:tcBorders>
              <w:top w:val="single" w:sz="4" w:space="0" w:color="auto"/>
              <w:left w:val="single" w:sz="4" w:space="0" w:color="auto"/>
              <w:bottom w:val="single" w:sz="4" w:space="0" w:color="auto"/>
              <w:right w:val="single" w:sz="4" w:space="0" w:color="auto"/>
            </w:tcBorders>
            <w:shd w:val="clear" w:color="auto" w:fill="000000"/>
            <w:hideMark/>
          </w:tcPr>
          <w:p w:rsidR="00194350" w:rsidRDefault="00194350">
            <w:pPr>
              <w:spacing w:line="256" w:lineRule="auto"/>
              <w:jc w:val="center"/>
              <w:rPr>
                <w:rFonts w:ascii="Calibri" w:hAnsi="Calibri" w:cs="Arial"/>
                <w:color w:val="FFFFFF"/>
              </w:rPr>
            </w:pPr>
            <w:r>
              <w:rPr>
                <w:rFonts w:ascii="Calibri" w:hAnsi="Calibri" w:cs="Arial"/>
                <w:color w:val="FFFFFF"/>
              </w:rPr>
              <w:t>All programs</w:t>
            </w:r>
          </w:p>
        </w:tc>
        <w:tc>
          <w:tcPr>
            <w:tcW w:w="1543" w:type="dxa"/>
            <w:tcBorders>
              <w:top w:val="single" w:sz="4" w:space="0" w:color="000000"/>
              <w:left w:val="single" w:sz="4" w:space="0" w:color="000000"/>
              <w:bottom w:val="single" w:sz="4" w:space="0" w:color="000000"/>
              <w:right w:val="single" w:sz="4" w:space="0" w:color="000000"/>
            </w:tcBorders>
            <w:shd w:val="clear" w:color="auto" w:fill="000000"/>
            <w:hideMark/>
          </w:tcPr>
          <w:p w:rsidR="00194350" w:rsidRDefault="00194350">
            <w:pPr>
              <w:spacing w:line="256" w:lineRule="auto"/>
              <w:jc w:val="center"/>
              <w:rPr>
                <w:rFonts w:ascii="Calibri" w:hAnsi="Calibri" w:cs="Arial"/>
                <w:b/>
                <w:color w:val="FFFFFF"/>
              </w:rPr>
            </w:pPr>
            <w:r>
              <w:rPr>
                <w:rFonts w:ascii="Calibri" w:hAnsi="Calibri" w:cs="Arial"/>
                <w:b/>
                <w:color w:val="FFFFFF"/>
              </w:rPr>
              <w:t>N/A</w:t>
            </w:r>
          </w:p>
        </w:tc>
        <w:tc>
          <w:tcPr>
            <w:tcW w:w="2248" w:type="dxa"/>
            <w:tcBorders>
              <w:top w:val="single" w:sz="4" w:space="0" w:color="000000"/>
              <w:left w:val="single" w:sz="4" w:space="0" w:color="000000"/>
              <w:bottom w:val="single" w:sz="4" w:space="0" w:color="000000"/>
              <w:right w:val="single" w:sz="4" w:space="0" w:color="000000"/>
            </w:tcBorders>
            <w:shd w:val="clear" w:color="auto" w:fill="000000"/>
            <w:hideMark/>
          </w:tcPr>
          <w:p w:rsidR="00194350" w:rsidRDefault="00194350">
            <w:pPr>
              <w:spacing w:line="256" w:lineRule="auto"/>
              <w:ind w:left="72"/>
              <w:rPr>
                <w:rFonts w:ascii="Calibri" w:hAnsi="Calibri" w:cs="Arial"/>
                <w:color w:val="FFFFFF"/>
              </w:rPr>
            </w:pPr>
            <w:r>
              <w:rPr>
                <w:rFonts w:ascii="Calibri" w:hAnsi="Calibri" w:cs="Arial"/>
                <w:color w:val="FFFFFF"/>
              </w:rPr>
              <w:t>COM 2206/2211</w:t>
            </w:r>
          </w:p>
        </w:tc>
        <w:tc>
          <w:tcPr>
            <w:tcW w:w="4025" w:type="dxa"/>
            <w:tcBorders>
              <w:top w:val="single" w:sz="4" w:space="0" w:color="000000"/>
              <w:left w:val="single" w:sz="4" w:space="0" w:color="000000"/>
              <w:bottom w:val="single" w:sz="4" w:space="0" w:color="000000"/>
              <w:right w:val="single" w:sz="4" w:space="0" w:color="000000"/>
            </w:tcBorders>
            <w:shd w:val="clear" w:color="auto" w:fill="000000"/>
          </w:tcPr>
          <w:p w:rsidR="00194350" w:rsidRDefault="00194350">
            <w:pPr>
              <w:spacing w:line="256" w:lineRule="auto"/>
              <w:ind w:left="72"/>
              <w:rPr>
                <w:rFonts w:ascii="Calibri" w:hAnsi="Calibri" w:cs="Arial"/>
                <w:color w:val="FFFFFF"/>
              </w:rPr>
            </w:pPr>
          </w:p>
        </w:tc>
      </w:tr>
      <w:tr w:rsidR="00194350" w:rsidTr="00194350">
        <w:trPr>
          <w:trHeight w:val="274"/>
        </w:trPr>
        <w:tc>
          <w:tcPr>
            <w:tcW w:w="3712" w:type="dxa"/>
            <w:gridSpan w:val="2"/>
            <w:tcBorders>
              <w:top w:val="single" w:sz="4" w:space="0" w:color="000000"/>
              <w:left w:val="single" w:sz="4" w:space="0" w:color="000000"/>
              <w:bottom w:val="single" w:sz="4" w:space="0" w:color="000000"/>
              <w:right w:val="single" w:sz="4" w:space="0" w:color="000000"/>
            </w:tcBorders>
            <w:shd w:val="clear" w:color="auto" w:fill="000000"/>
            <w:vAlign w:val="center"/>
            <w:hideMark/>
          </w:tcPr>
          <w:p w:rsidR="00194350" w:rsidRDefault="00194350">
            <w:pPr>
              <w:tabs>
                <w:tab w:val="left" w:pos="5040"/>
              </w:tabs>
              <w:spacing w:line="256" w:lineRule="auto"/>
              <w:rPr>
                <w:rFonts w:ascii="Calibri" w:hAnsi="Calibri" w:cs="Arial"/>
                <w:color w:val="FFFFFF"/>
              </w:rPr>
            </w:pPr>
            <w:r>
              <w:rPr>
                <w:rFonts w:ascii="Calibri" w:hAnsi="Calibri" w:cs="Arial"/>
                <w:color w:val="FFFFFF"/>
              </w:rPr>
              <w:t>Written Communication</w:t>
            </w:r>
          </w:p>
        </w:tc>
        <w:tc>
          <w:tcPr>
            <w:tcW w:w="1627" w:type="dxa"/>
            <w:tcBorders>
              <w:top w:val="single" w:sz="4" w:space="0" w:color="auto"/>
              <w:left w:val="single" w:sz="4" w:space="0" w:color="auto"/>
              <w:bottom w:val="single" w:sz="4" w:space="0" w:color="auto"/>
              <w:right w:val="single" w:sz="4" w:space="0" w:color="auto"/>
            </w:tcBorders>
            <w:shd w:val="clear" w:color="auto" w:fill="000000"/>
            <w:hideMark/>
          </w:tcPr>
          <w:p w:rsidR="00194350" w:rsidRDefault="00194350">
            <w:pPr>
              <w:spacing w:line="256" w:lineRule="auto"/>
              <w:jc w:val="center"/>
              <w:rPr>
                <w:rFonts w:ascii="Calibri" w:hAnsi="Calibri" w:cs="Arial"/>
                <w:color w:val="FFFFFF"/>
              </w:rPr>
            </w:pPr>
            <w:r>
              <w:rPr>
                <w:rFonts w:ascii="Calibri" w:hAnsi="Calibri" w:cs="Arial"/>
                <w:color w:val="FFFFFF"/>
              </w:rPr>
              <w:t>All programs</w:t>
            </w:r>
          </w:p>
        </w:tc>
        <w:tc>
          <w:tcPr>
            <w:tcW w:w="1543" w:type="dxa"/>
            <w:tcBorders>
              <w:top w:val="single" w:sz="4" w:space="0" w:color="000000"/>
              <w:left w:val="single" w:sz="4" w:space="0" w:color="000000"/>
              <w:bottom w:val="single" w:sz="4" w:space="0" w:color="000000"/>
              <w:right w:val="single" w:sz="4" w:space="0" w:color="000000"/>
            </w:tcBorders>
            <w:shd w:val="clear" w:color="auto" w:fill="000000"/>
            <w:hideMark/>
          </w:tcPr>
          <w:p w:rsidR="00194350" w:rsidRDefault="00194350">
            <w:pPr>
              <w:spacing w:line="256" w:lineRule="auto"/>
              <w:jc w:val="center"/>
              <w:rPr>
                <w:rFonts w:ascii="Calibri" w:hAnsi="Calibri" w:cs="Arial"/>
                <w:b/>
                <w:color w:val="FFFFFF"/>
              </w:rPr>
            </w:pPr>
            <w:r>
              <w:rPr>
                <w:rFonts w:ascii="Calibri" w:hAnsi="Calibri" w:cs="Arial"/>
                <w:b/>
                <w:color w:val="FFFFFF"/>
              </w:rPr>
              <w:t>N/A</w:t>
            </w:r>
          </w:p>
        </w:tc>
        <w:tc>
          <w:tcPr>
            <w:tcW w:w="2248" w:type="dxa"/>
            <w:tcBorders>
              <w:top w:val="single" w:sz="4" w:space="0" w:color="000000"/>
              <w:left w:val="single" w:sz="4" w:space="0" w:color="000000"/>
              <w:bottom w:val="single" w:sz="4" w:space="0" w:color="000000"/>
              <w:right w:val="single" w:sz="4" w:space="0" w:color="000000"/>
            </w:tcBorders>
            <w:shd w:val="clear" w:color="auto" w:fill="000000"/>
            <w:hideMark/>
          </w:tcPr>
          <w:p w:rsidR="00194350" w:rsidRDefault="00194350">
            <w:pPr>
              <w:spacing w:line="256" w:lineRule="auto"/>
              <w:ind w:left="72"/>
              <w:rPr>
                <w:rFonts w:ascii="Calibri" w:hAnsi="Calibri" w:cs="Arial"/>
                <w:color w:val="FFFFFF"/>
              </w:rPr>
            </w:pPr>
            <w:r>
              <w:rPr>
                <w:rFonts w:ascii="Calibri" w:hAnsi="Calibri" w:cs="Arial"/>
                <w:color w:val="FFFFFF"/>
              </w:rPr>
              <w:t>ENG 1101</w:t>
            </w:r>
          </w:p>
        </w:tc>
        <w:tc>
          <w:tcPr>
            <w:tcW w:w="4025" w:type="dxa"/>
            <w:tcBorders>
              <w:top w:val="single" w:sz="4" w:space="0" w:color="000000"/>
              <w:left w:val="single" w:sz="4" w:space="0" w:color="000000"/>
              <w:bottom w:val="single" w:sz="4" w:space="0" w:color="000000"/>
              <w:right w:val="single" w:sz="4" w:space="0" w:color="000000"/>
            </w:tcBorders>
            <w:shd w:val="clear" w:color="auto" w:fill="000000"/>
          </w:tcPr>
          <w:p w:rsidR="00194350" w:rsidRDefault="00194350">
            <w:pPr>
              <w:spacing w:line="256" w:lineRule="auto"/>
              <w:ind w:left="72"/>
              <w:rPr>
                <w:rFonts w:ascii="Calibri" w:hAnsi="Calibri" w:cs="Arial"/>
                <w:color w:val="FFFFFF"/>
              </w:rPr>
            </w:pPr>
          </w:p>
        </w:tc>
      </w:tr>
      <w:tr w:rsidR="00194350" w:rsidTr="000A455C">
        <w:trPr>
          <w:trHeight w:val="274"/>
        </w:trPr>
        <w:tc>
          <w:tcPr>
            <w:tcW w:w="3712" w:type="dxa"/>
            <w:gridSpan w:val="2"/>
            <w:tcBorders>
              <w:top w:val="single" w:sz="4" w:space="0" w:color="000000"/>
              <w:left w:val="single" w:sz="4" w:space="0" w:color="000000"/>
              <w:bottom w:val="single" w:sz="4" w:space="0" w:color="000000"/>
              <w:right w:val="single" w:sz="4" w:space="0" w:color="000000"/>
            </w:tcBorders>
            <w:shd w:val="clear" w:color="auto" w:fill="F2DBDB" w:themeFill="accent2" w:themeFillTint="33"/>
            <w:vAlign w:val="center"/>
            <w:hideMark/>
          </w:tcPr>
          <w:p w:rsidR="00194350" w:rsidRDefault="00194350">
            <w:pPr>
              <w:tabs>
                <w:tab w:val="left" w:pos="5040"/>
              </w:tabs>
              <w:spacing w:line="256" w:lineRule="auto"/>
              <w:rPr>
                <w:rFonts w:ascii="Calibri" w:hAnsi="Calibri" w:cs="Arial"/>
              </w:rPr>
            </w:pPr>
            <w:r>
              <w:rPr>
                <w:rFonts w:ascii="Arial" w:hAnsi="Arial" w:cs="Arial"/>
                <w:color w:val="000000"/>
              </w:rPr>
              <w:t>Are changes planned as a result of the assessment of general education outcomes?  If so, what are those changes</w:t>
            </w:r>
          </w:p>
        </w:tc>
        <w:tc>
          <w:tcPr>
            <w:tcW w:w="9443" w:type="dxa"/>
            <w:gridSpan w:val="4"/>
            <w:tcBorders>
              <w:top w:val="single" w:sz="4" w:space="0" w:color="auto"/>
              <w:left w:val="single" w:sz="4" w:space="0" w:color="auto"/>
              <w:bottom w:val="single" w:sz="4" w:space="0" w:color="auto"/>
              <w:right w:val="single" w:sz="4" w:space="0" w:color="000000"/>
            </w:tcBorders>
            <w:shd w:val="clear" w:color="auto" w:fill="F2DBDB" w:themeFill="accent2" w:themeFillTint="33"/>
          </w:tcPr>
          <w:p w:rsidR="00194350" w:rsidRDefault="00194350">
            <w:pPr>
              <w:spacing w:line="256" w:lineRule="auto"/>
              <w:ind w:left="72"/>
              <w:rPr>
                <w:rFonts w:ascii="Calibri" w:hAnsi="Calibri" w:cs="Arial"/>
                <w:color w:val="000000"/>
              </w:rPr>
            </w:pPr>
          </w:p>
          <w:p w:rsidR="00194350" w:rsidRDefault="00194350">
            <w:pPr>
              <w:spacing w:line="256" w:lineRule="auto"/>
              <w:ind w:left="72"/>
              <w:rPr>
                <w:rFonts w:ascii="Calibri" w:hAnsi="Calibri" w:cs="Arial"/>
                <w:b/>
                <w:color w:val="000000"/>
              </w:rPr>
            </w:pPr>
            <w:r>
              <w:rPr>
                <w:rFonts w:ascii="Calibri" w:hAnsi="Calibri" w:cs="Arial"/>
                <w:b/>
                <w:color w:val="000000"/>
              </w:rPr>
              <w:t>OPTIONAL FOR FY 2014-15</w:t>
            </w:r>
          </w:p>
          <w:p w:rsidR="00194350" w:rsidRDefault="00E56EF1" w:rsidP="00E56EF1">
            <w:pPr>
              <w:pStyle w:val="ListParagraph"/>
              <w:numPr>
                <w:ilvl w:val="0"/>
                <w:numId w:val="20"/>
              </w:numPr>
              <w:spacing w:line="256" w:lineRule="auto"/>
              <w:rPr>
                <w:rFonts w:ascii="Calibri" w:hAnsi="Calibri" w:cs="Arial"/>
                <w:color w:val="000000"/>
              </w:rPr>
            </w:pPr>
            <w:r>
              <w:rPr>
                <w:rFonts w:ascii="Calibri" w:hAnsi="Calibri" w:cs="Arial"/>
                <w:color w:val="000000"/>
              </w:rPr>
              <w:t>Ensure general education outcomes are imbedded in particular course objectives.</w:t>
            </w:r>
          </w:p>
          <w:p w:rsidR="00E56EF1" w:rsidRPr="00E56EF1" w:rsidRDefault="00E56EF1" w:rsidP="00E56EF1">
            <w:pPr>
              <w:pStyle w:val="ListParagraph"/>
              <w:numPr>
                <w:ilvl w:val="0"/>
                <w:numId w:val="20"/>
              </w:numPr>
              <w:spacing w:line="256" w:lineRule="auto"/>
              <w:rPr>
                <w:rFonts w:ascii="Calibri" w:hAnsi="Calibri" w:cs="Arial"/>
                <w:color w:val="000000"/>
              </w:rPr>
            </w:pPr>
            <w:r>
              <w:rPr>
                <w:rFonts w:ascii="Calibri" w:hAnsi="Calibri" w:cs="Arial"/>
                <w:color w:val="000000"/>
              </w:rPr>
              <w:t>Identify courses and particular assignments in which general education outcomes are Introduced, Refined, and Mastered</w:t>
            </w:r>
            <w:r w:rsidR="00100CAB">
              <w:rPr>
                <w:rFonts w:ascii="Calibri" w:hAnsi="Calibri" w:cs="Arial"/>
                <w:color w:val="000000"/>
              </w:rPr>
              <w:t>.  The program needs to be more specific about which assignments will be chosen to assess general education outcomes.</w:t>
            </w:r>
          </w:p>
          <w:p w:rsidR="00194350" w:rsidRDefault="00194350">
            <w:pPr>
              <w:spacing w:line="256" w:lineRule="auto"/>
              <w:ind w:left="72"/>
              <w:rPr>
                <w:rFonts w:ascii="Calibri" w:hAnsi="Calibri" w:cs="Arial"/>
                <w:color w:val="000000"/>
              </w:rPr>
            </w:pPr>
          </w:p>
          <w:p w:rsidR="00194350" w:rsidRDefault="00194350">
            <w:pPr>
              <w:spacing w:line="256" w:lineRule="auto"/>
              <w:ind w:left="72"/>
              <w:rPr>
                <w:rFonts w:ascii="Calibri" w:hAnsi="Calibri" w:cs="Arial"/>
                <w:color w:val="000000"/>
              </w:rPr>
            </w:pPr>
          </w:p>
          <w:p w:rsidR="00194350" w:rsidRDefault="00194350">
            <w:pPr>
              <w:spacing w:line="256" w:lineRule="auto"/>
              <w:ind w:left="72"/>
              <w:rPr>
                <w:rFonts w:ascii="Calibri" w:hAnsi="Calibri" w:cs="Arial"/>
                <w:color w:val="000000"/>
              </w:rPr>
            </w:pPr>
          </w:p>
          <w:p w:rsidR="00194350" w:rsidRDefault="00194350">
            <w:pPr>
              <w:spacing w:line="256" w:lineRule="auto"/>
              <w:ind w:left="72"/>
              <w:rPr>
                <w:rFonts w:ascii="Calibri" w:hAnsi="Calibri" w:cs="Arial"/>
                <w:color w:val="000000"/>
              </w:rPr>
            </w:pPr>
          </w:p>
        </w:tc>
      </w:tr>
      <w:tr w:rsidR="00194350" w:rsidTr="000A455C">
        <w:trPr>
          <w:trHeight w:val="274"/>
        </w:trPr>
        <w:tc>
          <w:tcPr>
            <w:tcW w:w="3712" w:type="dxa"/>
            <w:gridSpan w:val="2"/>
            <w:tcBorders>
              <w:top w:val="single" w:sz="4" w:space="0" w:color="000000"/>
              <w:left w:val="single" w:sz="4" w:space="0" w:color="000000"/>
              <w:bottom w:val="single" w:sz="4" w:space="0" w:color="000000"/>
              <w:right w:val="single" w:sz="4" w:space="0" w:color="000000"/>
            </w:tcBorders>
            <w:shd w:val="clear" w:color="auto" w:fill="F2DBDB" w:themeFill="accent2" w:themeFillTint="33"/>
            <w:vAlign w:val="center"/>
          </w:tcPr>
          <w:p w:rsidR="00194350" w:rsidRDefault="00194350">
            <w:pPr>
              <w:pStyle w:val="ListParagraph"/>
              <w:tabs>
                <w:tab w:val="left" w:pos="5040"/>
              </w:tabs>
              <w:spacing w:line="256" w:lineRule="auto"/>
              <w:ind w:left="0"/>
              <w:rPr>
                <w:rFonts w:ascii="Arial" w:hAnsi="Arial" w:cs="Arial"/>
                <w:color w:val="000000"/>
              </w:rPr>
            </w:pPr>
            <w:r>
              <w:rPr>
                <w:rFonts w:ascii="Arial" w:hAnsi="Arial" w:cs="Arial"/>
                <w:color w:val="000000"/>
              </w:rPr>
              <w:t xml:space="preserve">How will you determine whether those changes had an impact? </w:t>
            </w:r>
          </w:p>
          <w:p w:rsidR="00194350" w:rsidRDefault="00194350">
            <w:pPr>
              <w:tabs>
                <w:tab w:val="left" w:pos="5040"/>
              </w:tabs>
              <w:spacing w:line="256" w:lineRule="auto"/>
              <w:rPr>
                <w:rFonts w:ascii="Calibri" w:hAnsi="Calibri" w:cs="Arial"/>
              </w:rPr>
            </w:pPr>
          </w:p>
        </w:tc>
        <w:tc>
          <w:tcPr>
            <w:tcW w:w="9443" w:type="dxa"/>
            <w:gridSpan w:val="4"/>
            <w:tcBorders>
              <w:top w:val="single" w:sz="4" w:space="0" w:color="auto"/>
              <w:left w:val="single" w:sz="4" w:space="0" w:color="auto"/>
              <w:bottom w:val="single" w:sz="4" w:space="0" w:color="auto"/>
              <w:right w:val="single" w:sz="4" w:space="0" w:color="000000"/>
            </w:tcBorders>
            <w:shd w:val="clear" w:color="auto" w:fill="F2DBDB" w:themeFill="accent2" w:themeFillTint="33"/>
          </w:tcPr>
          <w:p w:rsidR="00194350" w:rsidRDefault="00194350" w:rsidP="00100CAB">
            <w:pPr>
              <w:spacing w:line="256" w:lineRule="auto"/>
              <w:rPr>
                <w:rFonts w:ascii="Calibri" w:hAnsi="Calibri" w:cs="Arial"/>
                <w:color w:val="000000"/>
              </w:rPr>
            </w:pPr>
          </w:p>
          <w:p w:rsidR="00100CAB" w:rsidRDefault="00100CAB" w:rsidP="00100CAB">
            <w:pPr>
              <w:spacing w:line="256" w:lineRule="auto"/>
              <w:rPr>
                <w:rFonts w:ascii="Calibri" w:hAnsi="Calibri" w:cs="Arial"/>
                <w:color w:val="000000"/>
              </w:rPr>
            </w:pPr>
          </w:p>
          <w:p w:rsidR="00194350" w:rsidRDefault="00194350">
            <w:pPr>
              <w:spacing w:line="256" w:lineRule="auto"/>
              <w:ind w:left="72"/>
              <w:rPr>
                <w:rFonts w:ascii="Calibri" w:hAnsi="Calibri" w:cs="Arial"/>
                <w:b/>
                <w:color w:val="000000"/>
              </w:rPr>
            </w:pPr>
            <w:r>
              <w:rPr>
                <w:rFonts w:ascii="Calibri" w:hAnsi="Calibri" w:cs="Arial"/>
                <w:b/>
                <w:color w:val="000000"/>
              </w:rPr>
              <w:t>OPTIONAL FOR FY 2014-15</w:t>
            </w:r>
          </w:p>
          <w:p w:rsidR="00100CAB" w:rsidRPr="00100CAB" w:rsidRDefault="00100CAB" w:rsidP="00100CAB">
            <w:pPr>
              <w:pStyle w:val="ListParagraph"/>
              <w:numPr>
                <w:ilvl w:val="0"/>
                <w:numId w:val="20"/>
              </w:numPr>
              <w:spacing w:line="256" w:lineRule="auto"/>
              <w:rPr>
                <w:rFonts w:ascii="Calibri" w:hAnsi="Calibri" w:cs="Arial"/>
                <w:color w:val="000000"/>
              </w:rPr>
            </w:pPr>
            <w:r>
              <w:rPr>
                <w:rFonts w:ascii="Calibri" w:hAnsi="Calibri" w:cs="Arial"/>
                <w:color w:val="000000"/>
              </w:rPr>
              <w:t>Purposeful tracking of assessment data.</w:t>
            </w:r>
          </w:p>
          <w:p w:rsidR="00194350" w:rsidRDefault="00194350" w:rsidP="00503B0A">
            <w:pPr>
              <w:spacing w:line="256" w:lineRule="auto"/>
              <w:rPr>
                <w:rFonts w:ascii="Calibri" w:hAnsi="Calibri" w:cs="Arial"/>
                <w:color w:val="000000"/>
              </w:rPr>
            </w:pPr>
          </w:p>
        </w:tc>
      </w:tr>
    </w:tbl>
    <w:tbl>
      <w:tblPr>
        <w:tblStyle w:val="TableGrid"/>
        <w:tblW w:w="13158" w:type="dxa"/>
        <w:shd w:val="clear" w:color="auto" w:fill="FFFFFF"/>
        <w:tblLayout w:type="fixed"/>
        <w:tblCellMar>
          <w:left w:w="115" w:type="dxa"/>
          <w:right w:w="115" w:type="dxa"/>
        </w:tblCellMar>
        <w:tblLook w:val="01E0" w:firstRow="1" w:lastRow="1" w:firstColumn="1" w:lastColumn="1" w:noHBand="0" w:noVBand="0"/>
      </w:tblPr>
      <w:tblGrid>
        <w:gridCol w:w="3708"/>
        <w:gridCol w:w="1742"/>
        <w:gridCol w:w="1430"/>
        <w:gridCol w:w="2250"/>
        <w:gridCol w:w="4028"/>
      </w:tblGrid>
      <w:tr w:rsidR="00B34F9E" w:rsidRPr="004C52FC" w:rsidTr="001A2E6B">
        <w:trPr>
          <w:trHeight w:val="274"/>
        </w:trPr>
        <w:tc>
          <w:tcPr>
            <w:tcW w:w="3708" w:type="dxa"/>
            <w:shd w:val="clear" w:color="auto" w:fill="FFFFFF"/>
            <w:vAlign w:val="center"/>
          </w:tcPr>
          <w:p w:rsidR="00B34F9E" w:rsidRPr="004C52FC" w:rsidRDefault="00B34F9E">
            <w:pPr>
              <w:jc w:val="center"/>
              <w:rPr>
                <w:rFonts w:asciiTheme="minorHAnsi" w:hAnsiTheme="minorHAnsi"/>
                <w:b/>
              </w:rPr>
            </w:pPr>
            <w:r w:rsidRPr="004C52FC">
              <w:rPr>
                <w:rFonts w:asciiTheme="minorHAnsi" w:hAnsiTheme="minorHAnsi"/>
                <w:b/>
              </w:rPr>
              <w:lastRenderedPageBreak/>
              <w:t>Program Outcomes</w:t>
            </w:r>
          </w:p>
        </w:tc>
        <w:tc>
          <w:tcPr>
            <w:tcW w:w="1742" w:type="dxa"/>
          </w:tcPr>
          <w:p w:rsidR="00B34F9E" w:rsidRPr="004C52FC" w:rsidRDefault="00B34F9E" w:rsidP="006B6194">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 xml:space="preserve">To which </w:t>
            </w:r>
            <w:r>
              <w:rPr>
                <w:rFonts w:asciiTheme="minorHAnsi" w:hAnsiTheme="minorHAnsi" w:cs="Arial"/>
                <w:color w:val="000000" w:themeColor="text1"/>
                <w:sz w:val="20"/>
              </w:rPr>
              <w:t>course(</w:t>
            </w:r>
            <w:r w:rsidRPr="004C52FC">
              <w:rPr>
                <w:rFonts w:asciiTheme="minorHAnsi" w:hAnsiTheme="minorHAnsi" w:cs="Arial"/>
                <w:color w:val="000000" w:themeColor="text1"/>
                <w:sz w:val="20"/>
              </w:rPr>
              <w:t>s) is this program outcome related?</w:t>
            </w:r>
          </w:p>
        </w:tc>
        <w:tc>
          <w:tcPr>
            <w:tcW w:w="1430" w:type="dxa"/>
            <w:shd w:val="clear" w:color="auto" w:fill="auto"/>
          </w:tcPr>
          <w:p w:rsidR="00B34F9E" w:rsidRPr="004C52FC" w:rsidRDefault="00B34F9E" w:rsidP="00C50A91">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Year assessed or to be assessed.</w:t>
            </w:r>
          </w:p>
        </w:tc>
        <w:tc>
          <w:tcPr>
            <w:tcW w:w="2250" w:type="dxa"/>
          </w:tcPr>
          <w:p w:rsidR="00B34F9E" w:rsidRPr="004C52FC" w:rsidRDefault="00B34F9E" w:rsidP="00C50A91">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Assessment Methods</w:t>
            </w:r>
          </w:p>
          <w:p w:rsidR="00B34F9E" w:rsidRPr="004C52FC" w:rsidRDefault="00B34F9E" w:rsidP="00C50A91">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Used</w:t>
            </w:r>
          </w:p>
          <w:p w:rsidR="00B34F9E" w:rsidRPr="004C52FC" w:rsidRDefault="00B34F9E" w:rsidP="00C50A91">
            <w:pPr>
              <w:jc w:val="center"/>
              <w:rPr>
                <w:rFonts w:asciiTheme="minorHAnsi" w:hAnsiTheme="minorHAnsi" w:cs="Arial"/>
                <w:color w:val="000000" w:themeColor="text1"/>
                <w:sz w:val="20"/>
              </w:rPr>
            </w:pPr>
          </w:p>
        </w:tc>
        <w:tc>
          <w:tcPr>
            <w:tcW w:w="4028" w:type="dxa"/>
          </w:tcPr>
          <w:p w:rsidR="00B34F9E" w:rsidRPr="004C52FC" w:rsidRDefault="00B34F9E" w:rsidP="00C50A91">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What were the assessment results?</w:t>
            </w:r>
          </w:p>
          <w:p w:rsidR="00B34F9E" w:rsidRPr="004C52FC" w:rsidRDefault="00B34F9E" w:rsidP="00C50A91">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 xml:space="preserve"> (Please provide </w:t>
            </w:r>
            <w:r w:rsidRPr="004C52FC">
              <w:rPr>
                <w:rFonts w:asciiTheme="minorHAnsi" w:hAnsiTheme="minorHAnsi" w:cs="Arial"/>
                <w:color w:val="000000" w:themeColor="text1"/>
                <w:sz w:val="20"/>
                <w:u w:val="single"/>
              </w:rPr>
              <w:t>brief</w:t>
            </w:r>
            <w:r w:rsidRPr="004C52FC">
              <w:rPr>
                <w:rFonts w:asciiTheme="minorHAnsi" w:hAnsiTheme="minorHAnsi" w:cs="Arial"/>
                <w:color w:val="000000" w:themeColor="text1"/>
                <w:sz w:val="20"/>
              </w:rPr>
              <w:t xml:space="preserve"> summary data)</w:t>
            </w:r>
          </w:p>
        </w:tc>
      </w:tr>
      <w:tr w:rsidR="00F75CE3" w:rsidRPr="004C52FC" w:rsidTr="00F75CE3">
        <w:trPr>
          <w:trHeight w:val="274"/>
        </w:trPr>
        <w:tc>
          <w:tcPr>
            <w:tcW w:w="3708" w:type="dxa"/>
            <w:shd w:val="clear" w:color="auto" w:fill="FFFFFF"/>
          </w:tcPr>
          <w:p w:rsidR="00F75CE3" w:rsidRDefault="00F75CE3" w:rsidP="00F75CE3">
            <w:pPr>
              <w:rPr>
                <w:rFonts w:ascii="Calibri" w:hAnsi="Calibri" w:cs="Calibri"/>
                <w:color w:val="000000"/>
                <w:sz w:val="22"/>
                <w:szCs w:val="22"/>
              </w:rPr>
            </w:pPr>
            <w:r>
              <w:rPr>
                <w:rFonts w:ascii="Calibri" w:hAnsi="Calibri" w:cs="Calibri"/>
                <w:color w:val="000000"/>
                <w:sz w:val="22"/>
                <w:szCs w:val="22"/>
              </w:rPr>
              <w:t>Demonstrate appropriate, effective written, oral and non-verbal communication, which reflects sensitivity and awareness to individual and cultural differences in all aspects of physical therapy services. (AFFECTIVE)</w:t>
            </w:r>
          </w:p>
          <w:p w:rsidR="00A503D8" w:rsidRDefault="00A503D8" w:rsidP="00F75CE3">
            <w:pPr>
              <w:rPr>
                <w:rFonts w:ascii="Calibri" w:hAnsi="Calibri" w:cs="Calibri"/>
                <w:color w:val="000000"/>
                <w:sz w:val="22"/>
                <w:szCs w:val="22"/>
              </w:rPr>
            </w:pPr>
          </w:p>
          <w:p w:rsidR="00A503D8" w:rsidRPr="00A503D8" w:rsidRDefault="00A503D8" w:rsidP="00F75CE3">
            <w:pPr>
              <w:rPr>
                <w:rFonts w:ascii="Calibri" w:hAnsi="Calibri" w:cs="Calibri"/>
                <w:b/>
                <w:color w:val="000000"/>
                <w:sz w:val="22"/>
                <w:szCs w:val="22"/>
              </w:rPr>
            </w:pPr>
            <w:r w:rsidRPr="00A503D8">
              <w:rPr>
                <w:rFonts w:ascii="Calibri" w:hAnsi="Calibri" w:cs="Calibri"/>
                <w:b/>
                <w:color w:val="000000"/>
                <w:sz w:val="22"/>
                <w:szCs w:val="22"/>
              </w:rPr>
              <w:t>PROGRAM OUTCOME #1</w:t>
            </w:r>
          </w:p>
        </w:tc>
        <w:tc>
          <w:tcPr>
            <w:tcW w:w="1742" w:type="dxa"/>
          </w:tcPr>
          <w:p w:rsidR="00F75CE3" w:rsidRDefault="00F75CE3" w:rsidP="00F75CE3">
            <w:pPr>
              <w:rPr>
                <w:rFonts w:ascii="Calibri" w:hAnsi="Calibri" w:cs="Calibri"/>
                <w:color w:val="000000"/>
                <w:sz w:val="22"/>
                <w:szCs w:val="22"/>
              </w:rPr>
            </w:pPr>
            <w:r>
              <w:rPr>
                <w:rFonts w:ascii="Calibri" w:hAnsi="Calibri" w:cs="Calibri"/>
                <w:color w:val="000000"/>
                <w:sz w:val="22"/>
                <w:szCs w:val="22"/>
              </w:rPr>
              <w:t>COM-2206  COM-2225  ENG-1101 PTA</w:t>
            </w:r>
            <w:r w:rsidR="00500A25">
              <w:rPr>
                <w:rFonts w:ascii="Calibri" w:hAnsi="Calibri" w:cs="Calibri"/>
                <w:color w:val="000000"/>
                <w:sz w:val="22"/>
                <w:szCs w:val="22"/>
              </w:rPr>
              <w:t>-1106  PTA-1110  PTA-1112  PTA-2</w:t>
            </w:r>
            <w:r>
              <w:rPr>
                <w:rFonts w:ascii="Calibri" w:hAnsi="Calibri" w:cs="Calibri"/>
                <w:color w:val="000000"/>
                <w:sz w:val="22"/>
                <w:szCs w:val="22"/>
              </w:rPr>
              <w:t xml:space="preserve">115  PTA-1124  PTA-1129  PTA-2211  PTA-2212  SOC-1145                </w:t>
            </w:r>
          </w:p>
        </w:tc>
        <w:tc>
          <w:tcPr>
            <w:tcW w:w="1430" w:type="dxa"/>
            <w:shd w:val="clear" w:color="auto" w:fill="auto"/>
          </w:tcPr>
          <w:p w:rsidR="00F75CE3" w:rsidRPr="004C52FC" w:rsidRDefault="00F75CE3" w:rsidP="001A2E6B">
            <w:pPr>
              <w:rPr>
                <w:rFonts w:asciiTheme="minorHAnsi" w:hAnsiTheme="minorHAnsi" w:cs="Arial"/>
                <w:color w:val="000000" w:themeColor="text1"/>
              </w:rPr>
            </w:pPr>
          </w:p>
        </w:tc>
        <w:tc>
          <w:tcPr>
            <w:tcW w:w="2250" w:type="dxa"/>
          </w:tcPr>
          <w:p w:rsidR="00587CE5" w:rsidRDefault="00587CE5" w:rsidP="00587CE5">
            <w:pPr>
              <w:rPr>
                <w:rFonts w:asciiTheme="minorHAnsi" w:hAnsiTheme="minorHAnsi" w:cs="Arial"/>
                <w:color w:val="000000" w:themeColor="text1"/>
              </w:rPr>
            </w:pPr>
            <w:r>
              <w:rPr>
                <w:rFonts w:asciiTheme="minorHAnsi" w:hAnsiTheme="minorHAnsi" w:cs="Arial"/>
                <w:color w:val="000000" w:themeColor="text1"/>
              </w:rPr>
              <w:t>-</w:t>
            </w:r>
            <w:r w:rsidR="00A503D8">
              <w:rPr>
                <w:rFonts w:asciiTheme="minorHAnsi" w:hAnsiTheme="minorHAnsi" w:cs="Arial"/>
                <w:color w:val="000000" w:themeColor="text1"/>
              </w:rPr>
              <w:t>Graduate Survey</w:t>
            </w:r>
          </w:p>
          <w:p w:rsidR="00587CE5" w:rsidRPr="00587CE5" w:rsidRDefault="00587CE5" w:rsidP="00587CE5">
            <w:pPr>
              <w:rPr>
                <w:rFonts w:asciiTheme="minorHAnsi" w:hAnsiTheme="minorHAnsi" w:cs="Arial"/>
                <w:color w:val="000000" w:themeColor="text1"/>
              </w:rPr>
            </w:pPr>
            <w:r>
              <w:rPr>
                <w:rFonts w:asciiTheme="minorHAnsi" w:hAnsiTheme="minorHAnsi" w:cs="Arial"/>
                <w:color w:val="000000" w:themeColor="text1"/>
              </w:rPr>
              <w:t>-Clinical Performance Instrument (CPI)</w:t>
            </w:r>
          </w:p>
        </w:tc>
        <w:tc>
          <w:tcPr>
            <w:tcW w:w="4028" w:type="dxa"/>
          </w:tcPr>
          <w:p w:rsidR="00F75CE3" w:rsidRDefault="00A503D8" w:rsidP="001A2E6B">
            <w:pPr>
              <w:ind w:left="72"/>
              <w:rPr>
                <w:rFonts w:asciiTheme="minorHAnsi" w:hAnsiTheme="minorHAnsi" w:cs="Arial"/>
                <w:color w:val="000000" w:themeColor="text1"/>
              </w:rPr>
            </w:pPr>
            <w:r>
              <w:rPr>
                <w:rFonts w:asciiTheme="minorHAnsi" w:hAnsiTheme="minorHAnsi" w:cs="Arial"/>
                <w:color w:val="000000" w:themeColor="text1"/>
              </w:rPr>
              <w:t xml:space="preserve">See PTA Program Outcomes Data:  </w:t>
            </w:r>
          </w:p>
          <w:p w:rsidR="00091B95" w:rsidRPr="004C52FC" w:rsidRDefault="00091B95" w:rsidP="001A2E6B">
            <w:pPr>
              <w:ind w:left="72"/>
              <w:rPr>
                <w:rFonts w:asciiTheme="minorHAnsi" w:hAnsiTheme="minorHAnsi" w:cs="Arial"/>
                <w:color w:val="000000" w:themeColor="text1"/>
              </w:rPr>
            </w:pPr>
            <w:r>
              <w:rPr>
                <w:rFonts w:asciiTheme="minorHAnsi" w:hAnsiTheme="minorHAnsi" w:cs="Arial"/>
                <w:color w:val="000000" w:themeColor="text1"/>
              </w:rPr>
              <w:t>In comparison to the other CPI categories, PTA students fall in the middle of the road with communication</w:t>
            </w:r>
            <w:r w:rsidR="00A503D8">
              <w:rPr>
                <w:rFonts w:asciiTheme="minorHAnsi" w:hAnsiTheme="minorHAnsi" w:cs="Arial"/>
                <w:color w:val="000000" w:themeColor="text1"/>
              </w:rPr>
              <w:t xml:space="preserve"> (Figure </w:t>
            </w:r>
            <w:hyperlink w:anchor="Fig31" w:history="1">
              <w:r w:rsidR="00A503D8" w:rsidRPr="00694870">
                <w:rPr>
                  <w:rStyle w:val="Hyperlink"/>
                  <w:rFonts w:asciiTheme="minorHAnsi" w:hAnsiTheme="minorHAnsi" w:cs="Arial"/>
                </w:rPr>
                <w:t>31</w:t>
              </w:r>
            </w:hyperlink>
            <w:r w:rsidR="00A503D8">
              <w:rPr>
                <w:rFonts w:asciiTheme="minorHAnsi" w:hAnsiTheme="minorHAnsi" w:cs="Arial"/>
                <w:color w:val="000000" w:themeColor="text1"/>
              </w:rPr>
              <w:t xml:space="preserve"> &amp; </w:t>
            </w:r>
            <w:hyperlink w:anchor="Fig32" w:history="1">
              <w:r w:rsidR="00A503D8" w:rsidRPr="00694870">
                <w:rPr>
                  <w:rStyle w:val="Hyperlink"/>
                  <w:rFonts w:asciiTheme="minorHAnsi" w:hAnsiTheme="minorHAnsi" w:cs="Arial"/>
                </w:rPr>
                <w:t>32</w:t>
              </w:r>
            </w:hyperlink>
            <w:r w:rsidR="00A503D8">
              <w:rPr>
                <w:rFonts w:asciiTheme="minorHAnsi" w:hAnsiTheme="minorHAnsi" w:cs="Arial"/>
                <w:color w:val="000000" w:themeColor="text1"/>
              </w:rPr>
              <w:t>)</w:t>
            </w:r>
            <w:r>
              <w:rPr>
                <w:rFonts w:asciiTheme="minorHAnsi" w:hAnsiTheme="minorHAnsi" w:cs="Arial"/>
                <w:color w:val="000000" w:themeColor="text1"/>
              </w:rPr>
              <w:t>.  It is one of the professional behavior</w:t>
            </w:r>
            <w:r w:rsidR="00A503D8">
              <w:rPr>
                <w:rFonts w:asciiTheme="minorHAnsi" w:hAnsiTheme="minorHAnsi" w:cs="Arial"/>
                <w:color w:val="000000" w:themeColor="text1"/>
              </w:rPr>
              <w:t>s emphasized in the program.  I</w:t>
            </w:r>
            <w:r>
              <w:rPr>
                <w:rFonts w:asciiTheme="minorHAnsi" w:hAnsiTheme="minorHAnsi" w:cs="Arial"/>
                <w:color w:val="000000" w:themeColor="text1"/>
              </w:rPr>
              <w:t>n the new 65-credit hour curriculum, the COM requirement is expected to remain.  Alternatively, students are rated very high in the Cultural Competence category on the CPI in both their first and second clinicals</w:t>
            </w:r>
            <w:r w:rsidR="006D30DA">
              <w:rPr>
                <w:rFonts w:asciiTheme="minorHAnsi" w:hAnsiTheme="minorHAnsi" w:cs="Arial"/>
                <w:color w:val="000000" w:themeColor="text1"/>
              </w:rPr>
              <w:t xml:space="preserve"> (Figure </w:t>
            </w:r>
            <w:hyperlink w:anchor="Fig31" w:history="1">
              <w:r w:rsidR="006D30DA" w:rsidRPr="00694870">
                <w:rPr>
                  <w:rStyle w:val="Hyperlink"/>
                  <w:rFonts w:asciiTheme="minorHAnsi" w:hAnsiTheme="minorHAnsi" w:cs="Arial"/>
                </w:rPr>
                <w:t>31</w:t>
              </w:r>
            </w:hyperlink>
            <w:r w:rsidR="006D30DA">
              <w:rPr>
                <w:rFonts w:asciiTheme="minorHAnsi" w:hAnsiTheme="minorHAnsi" w:cs="Arial"/>
                <w:color w:val="000000" w:themeColor="text1"/>
              </w:rPr>
              <w:t xml:space="preserve"> &amp;</w:t>
            </w:r>
            <w:hyperlink w:anchor="Fig32" w:history="1">
              <w:r w:rsidR="006D30DA" w:rsidRPr="00694870">
                <w:rPr>
                  <w:rStyle w:val="Hyperlink"/>
                  <w:rFonts w:asciiTheme="minorHAnsi" w:hAnsiTheme="minorHAnsi" w:cs="Arial"/>
                </w:rPr>
                <w:t>32</w:t>
              </w:r>
            </w:hyperlink>
            <w:r w:rsidR="006D30DA">
              <w:rPr>
                <w:rFonts w:asciiTheme="minorHAnsi" w:hAnsiTheme="minorHAnsi" w:cs="Arial"/>
                <w:color w:val="000000" w:themeColor="text1"/>
              </w:rPr>
              <w:t>)</w:t>
            </w:r>
            <w:r>
              <w:rPr>
                <w:rFonts w:asciiTheme="minorHAnsi" w:hAnsiTheme="minorHAnsi" w:cs="Arial"/>
                <w:color w:val="000000" w:themeColor="text1"/>
              </w:rPr>
              <w:t>.</w:t>
            </w:r>
            <w:r w:rsidR="006D30DA">
              <w:rPr>
                <w:rFonts w:asciiTheme="minorHAnsi" w:hAnsiTheme="minorHAnsi" w:cs="Arial"/>
                <w:color w:val="000000" w:themeColor="text1"/>
              </w:rPr>
              <w:t xml:space="preserve">  The average final scores for students in this CPI category have steadily increased between 2012 and 2014 on both the first and second clinicals (Figure </w:t>
            </w:r>
            <w:hyperlink w:anchor="Fig5" w:history="1">
              <w:r w:rsidR="006D30DA" w:rsidRPr="00694870">
                <w:rPr>
                  <w:rStyle w:val="Hyperlink"/>
                  <w:rFonts w:asciiTheme="minorHAnsi" w:hAnsiTheme="minorHAnsi" w:cs="Arial"/>
                </w:rPr>
                <w:t>5</w:t>
              </w:r>
            </w:hyperlink>
            <w:r w:rsidR="006D30DA">
              <w:rPr>
                <w:rFonts w:asciiTheme="minorHAnsi" w:hAnsiTheme="minorHAnsi" w:cs="Arial"/>
                <w:color w:val="000000" w:themeColor="text1"/>
              </w:rPr>
              <w:t xml:space="preserve"> &amp; </w:t>
            </w:r>
            <w:hyperlink w:anchor="Fig6" w:history="1">
              <w:r w:rsidR="006D30DA" w:rsidRPr="00694870">
                <w:rPr>
                  <w:rStyle w:val="Hyperlink"/>
                  <w:rFonts w:asciiTheme="minorHAnsi" w:hAnsiTheme="minorHAnsi" w:cs="Arial"/>
                </w:rPr>
                <w:t>6</w:t>
              </w:r>
            </w:hyperlink>
            <w:r w:rsidR="006D30DA">
              <w:rPr>
                <w:rFonts w:asciiTheme="minorHAnsi" w:hAnsiTheme="minorHAnsi" w:cs="Arial"/>
                <w:color w:val="000000" w:themeColor="text1"/>
              </w:rPr>
              <w:t>).</w:t>
            </w:r>
          </w:p>
        </w:tc>
      </w:tr>
      <w:tr w:rsidR="00587CE5" w:rsidRPr="004C52FC" w:rsidTr="00F75CE3">
        <w:trPr>
          <w:trHeight w:val="72"/>
        </w:trPr>
        <w:tc>
          <w:tcPr>
            <w:tcW w:w="3708" w:type="dxa"/>
            <w:shd w:val="clear" w:color="auto" w:fill="FFFFFF"/>
          </w:tcPr>
          <w:p w:rsidR="00587CE5" w:rsidRDefault="00587CE5" w:rsidP="00587CE5">
            <w:pPr>
              <w:rPr>
                <w:rFonts w:ascii="Calibri" w:hAnsi="Calibri" w:cs="Calibri"/>
                <w:color w:val="000000"/>
                <w:sz w:val="22"/>
                <w:szCs w:val="22"/>
              </w:rPr>
            </w:pPr>
            <w:r>
              <w:rPr>
                <w:rFonts w:ascii="Calibri" w:hAnsi="Calibri" w:cs="Calibri"/>
                <w:color w:val="000000"/>
                <w:sz w:val="22"/>
                <w:szCs w:val="22"/>
              </w:rPr>
              <w:t>Demonstrate clinical problem-solving skills in order to adjust the plan of care established by the PT, provide supervision of the physical therapy aide and work effectively on an interdisciplinary team.(COGNITIVE)(PSYCHOMOTOR/ COGNITIVE)</w:t>
            </w:r>
          </w:p>
          <w:p w:rsidR="006D30DA" w:rsidRDefault="006D30DA" w:rsidP="00587CE5">
            <w:pPr>
              <w:rPr>
                <w:rFonts w:ascii="Calibri" w:hAnsi="Calibri" w:cs="Calibri"/>
                <w:color w:val="000000"/>
                <w:sz w:val="22"/>
                <w:szCs w:val="22"/>
              </w:rPr>
            </w:pPr>
          </w:p>
          <w:p w:rsidR="006D30DA" w:rsidRPr="006D30DA" w:rsidRDefault="006D30DA" w:rsidP="00587CE5">
            <w:pPr>
              <w:rPr>
                <w:rFonts w:ascii="Calibri" w:hAnsi="Calibri" w:cs="Calibri"/>
                <w:b/>
                <w:color w:val="000000"/>
                <w:sz w:val="22"/>
                <w:szCs w:val="22"/>
              </w:rPr>
            </w:pPr>
            <w:r w:rsidRPr="006D30DA">
              <w:rPr>
                <w:rFonts w:ascii="Calibri" w:hAnsi="Calibri" w:cs="Calibri"/>
                <w:b/>
                <w:color w:val="000000"/>
                <w:sz w:val="22"/>
                <w:szCs w:val="22"/>
              </w:rPr>
              <w:t>PROGRAM OUTCOME #3</w:t>
            </w:r>
          </w:p>
        </w:tc>
        <w:tc>
          <w:tcPr>
            <w:tcW w:w="1742" w:type="dxa"/>
          </w:tcPr>
          <w:p w:rsidR="00587CE5" w:rsidRDefault="00587CE5" w:rsidP="00587CE5">
            <w:pPr>
              <w:rPr>
                <w:rFonts w:ascii="Calibri" w:hAnsi="Calibri" w:cs="Calibri"/>
                <w:color w:val="000000"/>
                <w:sz w:val="22"/>
                <w:szCs w:val="22"/>
              </w:rPr>
            </w:pPr>
            <w:r>
              <w:rPr>
                <w:rFonts w:ascii="Calibri" w:hAnsi="Calibri" w:cs="Calibri"/>
                <w:color w:val="000000"/>
                <w:sz w:val="22"/>
                <w:szCs w:val="22"/>
              </w:rPr>
              <w:t>BIO-1121  BIO-1222  PHY-1106 PTA</w:t>
            </w:r>
            <w:r w:rsidR="00500A25">
              <w:rPr>
                <w:rFonts w:ascii="Calibri" w:hAnsi="Calibri" w:cs="Calibri"/>
                <w:color w:val="000000"/>
                <w:sz w:val="22"/>
                <w:szCs w:val="22"/>
              </w:rPr>
              <w:t>-1106  PTA-1110  PTA-1112  PTA-2</w:t>
            </w:r>
            <w:r>
              <w:rPr>
                <w:rFonts w:ascii="Calibri" w:hAnsi="Calibri" w:cs="Calibri"/>
                <w:color w:val="000000"/>
                <w:sz w:val="22"/>
                <w:szCs w:val="22"/>
              </w:rPr>
              <w:t xml:space="preserve">115  PTA-1116  PTA-1129  PTA-2211  PTA-2212  PTA-2226  PTA-2230  PTA-2238  SOC-1145          </w:t>
            </w:r>
          </w:p>
        </w:tc>
        <w:tc>
          <w:tcPr>
            <w:tcW w:w="1430" w:type="dxa"/>
            <w:shd w:val="clear" w:color="auto" w:fill="auto"/>
          </w:tcPr>
          <w:p w:rsidR="00587CE5" w:rsidRPr="004C52FC" w:rsidRDefault="00587CE5" w:rsidP="00587CE5">
            <w:pPr>
              <w:rPr>
                <w:rFonts w:asciiTheme="minorHAnsi" w:hAnsiTheme="minorHAnsi" w:cs="Arial"/>
                <w:color w:val="000000" w:themeColor="text1"/>
              </w:rPr>
            </w:pPr>
          </w:p>
        </w:tc>
        <w:tc>
          <w:tcPr>
            <w:tcW w:w="2250" w:type="dxa"/>
          </w:tcPr>
          <w:p w:rsidR="00587CE5" w:rsidRDefault="00587CE5" w:rsidP="00587CE5">
            <w:pPr>
              <w:rPr>
                <w:rFonts w:asciiTheme="minorHAnsi" w:hAnsiTheme="minorHAnsi" w:cs="Arial"/>
                <w:color w:val="000000" w:themeColor="text1"/>
              </w:rPr>
            </w:pPr>
            <w:r>
              <w:rPr>
                <w:rFonts w:asciiTheme="minorHAnsi" w:hAnsiTheme="minorHAnsi" w:cs="Arial"/>
                <w:color w:val="000000" w:themeColor="text1"/>
              </w:rPr>
              <w:t>-</w:t>
            </w:r>
            <w:r w:rsidR="00A503D8">
              <w:rPr>
                <w:rFonts w:asciiTheme="minorHAnsi" w:hAnsiTheme="minorHAnsi" w:cs="Arial"/>
                <w:color w:val="000000" w:themeColor="text1"/>
              </w:rPr>
              <w:t>Graduate Survey</w:t>
            </w:r>
          </w:p>
          <w:p w:rsidR="00587CE5" w:rsidRPr="00587CE5" w:rsidRDefault="00587CE5" w:rsidP="00587CE5">
            <w:pPr>
              <w:rPr>
                <w:rFonts w:asciiTheme="minorHAnsi" w:hAnsiTheme="minorHAnsi" w:cs="Arial"/>
                <w:color w:val="000000" w:themeColor="text1"/>
              </w:rPr>
            </w:pPr>
            <w:r>
              <w:rPr>
                <w:rFonts w:asciiTheme="minorHAnsi" w:hAnsiTheme="minorHAnsi" w:cs="Arial"/>
                <w:color w:val="000000" w:themeColor="text1"/>
              </w:rPr>
              <w:t>-Clinical Performance Instrument (CPI)</w:t>
            </w:r>
          </w:p>
        </w:tc>
        <w:tc>
          <w:tcPr>
            <w:tcW w:w="4028" w:type="dxa"/>
          </w:tcPr>
          <w:p w:rsidR="00587CE5" w:rsidRDefault="00587CE5" w:rsidP="00587CE5">
            <w:pPr>
              <w:ind w:left="72"/>
              <w:rPr>
                <w:rFonts w:asciiTheme="minorHAnsi" w:hAnsiTheme="minorHAnsi" w:cs="Arial"/>
                <w:color w:val="000000" w:themeColor="text1"/>
              </w:rPr>
            </w:pPr>
            <w:r>
              <w:rPr>
                <w:rFonts w:asciiTheme="minorHAnsi" w:hAnsiTheme="minorHAnsi" w:cs="Arial"/>
                <w:color w:val="000000" w:themeColor="text1"/>
              </w:rPr>
              <w:t xml:space="preserve">See </w:t>
            </w:r>
            <w:r w:rsidR="006D30DA">
              <w:rPr>
                <w:rFonts w:asciiTheme="minorHAnsi" w:hAnsiTheme="minorHAnsi" w:cs="Arial"/>
                <w:color w:val="000000" w:themeColor="text1"/>
              </w:rPr>
              <w:t>PTA Program Outcomes Data:</w:t>
            </w:r>
          </w:p>
          <w:p w:rsidR="00587CE5" w:rsidRPr="004C52FC" w:rsidRDefault="006D30DA" w:rsidP="00D94260">
            <w:pPr>
              <w:ind w:left="72"/>
              <w:rPr>
                <w:rFonts w:asciiTheme="minorHAnsi" w:hAnsiTheme="minorHAnsi" w:cs="Arial"/>
                <w:color w:val="000000" w:themeColor="text1"/>
              </w:rPr>
            </w:pPr>
            <w:r>
              <w:rPr>
                <w:rFonts w:asciiTheme="minorHAnsi" w:hAnsiTheme="minorHAnsi" w:cs="Arial"/>
                <w:color w:val="000000" w:themeColor="text1"/>
              </w:rPr>
              <w:t>Graduates</w:t>
            </w:r>
            <w:r w:rsidR="00587CE5">
              <w:rPr>
                <w:rFonts w:asciiTheme="minorHAnsi" w:hAnsiTheme="minorHAnsi" w:cs="Arial"/>
                <w:color w:val="000000" w:themeColor="text1"/>
              </w:rPr>
              <w:t xml:space="preserve"> perceive this program outcome to be the most important of the six</w:t>
            </w:r>
            <w:r>
              <w:rPr>
                <w:rFonts w:asciiTheme="minorHAnsi" w:hAnsiTheme="minorHAnsi" w:cs="Arial"/>
                <w:color w:val="000000" w:themeColor="text1"/>
              </w:rPr>
              <w:t xml:space="preserve"> (Figure </w:t>
            </w:r>
            <w:hyperlink w:anchor="Fig1" w:history="1">
              <w:r w:rsidRPr="00694870">
                <w:rPr>
                  <w:rStyle w:val="Hyperlink"/>
                  <w:rFonts w:asciiTheme="minorHAnsi" w:hAnsiTheme="minorHAnsi" w:cs="Arial"/>
                </w:rPr>
                <w:t>1</w:t>
              </w:r>
            </w:hyperlink>
            <w:r>
              <w:rPr>
                <w:rFonts w:asciiTheme="minorHAnsi" w:hAnsiTheme="minorHAnsi" w:cs="Arial"/>
                <w:color w:val="000000" w:themeColor="text1"/>
              </w:rPr>
              <w:t>)</w:t>
            </w:r>
            <w:r w:rsidR="00587CE5">
              <w:rPr>
                <w:rFonts w:asciiTheme="minorHAnsi" w:hAnsiTheme="minorHAnsi" w:cs="Arial"/>
                <w:color w:val="000000" w:themeColor="text1"/>
              </w:rPr>
              <w:t>.  Students’ CPI scores at the time of mid-term of the first clinical were averaged over the time period of 2012-2014.   The average score in the Clinical Problem Solving category was one of th</w:t>
            </w:r>
            <w:r w:rsidR="00D94260">
              <w:rPr>
                <w:rFonts w:asciiTheme="minorHAnsi" w:hAnsiTheme="minorHAnsi" w:cs="Arial"/>
                <w:color w:val="000000" w:themeColor="text1"/>
              </w:rPr>
              <w:t xml:space="preserve">e </w:t>
            </w:r>
            <w:r w:rsidR="00D94260">
              <w:rPr>
                <w:rFonts w:asciiTheme="minorHAnsi" w:hAnsiTheme="minorHAnsi" w:cs="Arial"/>
                <w:color w:val="000000" w:themeColor="text1"/>
              </w:rPr>
              <w:lastRenderedPageBreak/>
              <w:t>lowest</w:t>
            </w:r>
            <w:r>
              <w:rPr>
                <w:rFonts w:asciiTheme="minorHAnsi" w:hAnsiTheme="minorHAnsi" w:cs="Arial"/>
                <w:color w:val="000000" w:themeColor="text1"/>
              </w:rPr>
              <w:t xml:space="preserve"> (Figure </w:t>
            </w:r>
            <w:hyperlink w:anchor="Fig31" w:history="1">
              <w:r w:rsidRPr="00694870">
                <w:rPr>
                  <w:rStyle w:val="Hyperlink"/>
                  <w:rFonts w:asciiTheme="minorHAnsi" w:hAnsiTheme="minorHAnsi" w:cs="Arial"/>
                </w:rPr>
                <w:t>31</w:t>
              </w:r>
            </w:hyperlink>
            <w:r>
              <w:rPr>
                <w:rFonts w:asciiTheme="minorHAnsi" w:hAnsiTheme="minorHAnsi" w:cs="Arial"/>
                <w:color w:val="000000" w:themeColor="text1"/>
              </w:rPr>
              <w:t>)</w:t>
            </w:r>
            <w:r w:rsidR="00D94260">
              <w:rPr>
                <w:rFonts w:asciiTheme="minorHAnsi" w:hAnsiTheme="minorHAnsi" w:cs="Arial"/>
                <w:color w:val="000000" w:themeColor="text1"/>
              </w:rPr>
              <w:t>.  Additionally, at the time of the final assessment at the second clinical, this category continued to be one of the lowest average scores</w:t>
            </w:r>
            <w:r>
              <w:rPr>
                <w:rFonts w:asciiTheme="minorHAnsi" w:hAnsiTheme="minorHAnsi" w:cs="Arial"/>
                <w:color w:val="000000" w:themeColor="text1"/>
              </w:rPr>
              <w:t xml:space="preserve"> (Figure </w:t>
            </w:r>
            <w:hyperlink w:anchor="Fig32" w:history="1">
              <w:r w:rsidRPr="00694870">
                <w:rPr>
                  <w:rStyle w:val="Hyperlink"/>
                  <w:rFonts w:asciiTheme="minorHAnsi" w:hAnsiTheme="minorHAnsi" w:cs="Arial"/>
                </w:rPr>
                <w:t>32</w:t>
              </w:r>
            </w:hyperlink>
            <w:r>
              <w:rPr>
                <w:rFonts w:asciiTheme="minorHAnsi" w:hAnsiTheme="minorHAnsi" w:cs="Arial"/>
                <w:color w:val="000000" w:themeColor="text1"/>
              </w:rPr>
              <w:t>)</w:t>
            </w:r>
            <w:r w:rsidR="00D94260">
              <w:rPr>
                <w:rFonts w:asciiTheme="minorHAnsi" w:hAnsiTheme="minorHAnsi" w:cs="Arial"/>
                <w:color w:val="000000" w:themeColor="text1"/>
              </w:rPr>
              <w:t>.</w:t>
            </w:r>
          </w:p>
        </w:tc>
      </w:tr>
      <w:tr w:rsidR="00587CE5" w:rsidRPr="004C52FC" w:rsidTr="00F75CE3">
        <w:trPr>
          <w:trHeight w:val="72"/>
        </w:trPr>
        <w:tc>
          <w:tcPr>
            <w:tcW w:w="3708" w:type="dxa"/>
            <w:shd w:val="clear" w:color="auto" w:fill="FFFFFF"/>
          </w:tcPr>
          <w:p w:rsidR="00587CE5" w:rsidRDefault="00587CE5" w:rsidP="00587CE5">
            <w:pPr>
              <w:rPr>
                <w:rFonts w:ascii="Calibri" w:hAnsi="Calibri" w:cs="Calibri"/>
                <w:color w:val="000000"/>
                <w:sz w:val="22"/>
                <w:szCs w:val="22"/>
              </w:rPr>
            </w:pPr>
            <w:r>
              <w:rPr>
                <w:rFonts w:ascii="Calibri" w:hAnsi="Calibri" w:cs="Calibri"/>
                <w:color w:val="000000"/>
                <w:sz w:val="22"/>
                <w:szCs w:val="22"/>
              </w:rPr>
              <w:lastRenderedPageBreak/>
              <w:t>Participate in professional development based on self-assessment, performance appraisals and demonstration of behaviors reflecting conduct outlined in the Code of Ethics and Guide for Professional Conduct of the APTA.</w:t>
            </w:r>
          </w:p>
          <w:p w:rsidR="006D30DA" w:rsidRDefault="006D30DA" w:rsidP="00587CE5">
            <w:pPr>
              <w:rPr>
                <w:rFonts w:ascii="Calibri" w:hAnsi="Calibri" w:cs="Calibri"/>
                <w:color w:val="000000"/>
                <w:sz w:val="22"/>
                <w:szCs w:val="22"/>
              </w:rPr>
            </w:pPr>
          </w:p>
          <w:p w:rsidR="006D30DA" w:rsidRPr="006D30DA" w:rsidRDefault="006D30DA" w:rsidP="00587CE5">
            <w:pPr>
              <w:rPr>
                <w:rFonts w:ascii="Calibri" w:hAnsi="Calibri" w:cs="Calibri"/>
                <w:color w:val="000000"/>
                <w:sz w:val="22"/>
                <w:szCs w:val="22"/>
              </w:rPr>
            </w:pPr>
            <w:r>
              <w:rPr>
                <w:rFonts w:ascii="Calibri" w:hAnsi="Calibri" w:cs="Calibri"/>
                <w:b/>
                <w:color w:val="000000"/>
                <w:sz w:val="22"/>
                <w:szCs w:val="22"/>
              </w:rPr>
              <w:t>PROGRAM OUTCOME #6</w:t>
            </w:r>
          </w:p>
        </w:tc>
        <w:tc>
          <w:tcPr>
            <w:tcW w:w="1742" w:type="dxa"/>
          </w:tcPr>
          <w:p w:rsidR="00587CE5" w:rsidRDefault="00587CE5" w:rsidP="00587CE5">
            <w:pPr>
              <w:rPr>
                <w:rFonts w:ascii="Calibri" w:hAnsi="Calibri" w:cs="Calibri"/>
                <w:color w:val="000000"/>
                <w:sz w:val="22"/>
                <w:szCs w:val="22"/>
              </w:rPr>
            </w:pPr>
            <w:r>
              <w:rPr>
                <w:rFonts w:ascii="Calibri" w:hAnsi="Calibri" w:cs="Calibri"/>
                <w:color w:val="000000"/>
                <w:sz w:val="22"/>
                <w:szCs w:val="22"/>
              </w:rPr>
              <w:t xml:space="preserve">  AL</w:t>
            </w:r>
            <w:r w:rsidR="00500A25">
              <w:rPr>
                <w:rFonts w:ascii="Calibri" w:hAnsi="Calibri" w:cs="Calibri"/>
                <w:color w:val="000000"/>
                <w:sz w:val="22"/>
                <w:szCs w:val="22"/>
              </w:rPr>
              <w:t>H-1101  PTA-1106 PTA-1110  PTA-2</w:t>
            </w:r>
            <w:r>
              <w:rPr>
                <w:rFonts w:ascii="Calibri" w:hAnsi="Calibri" w:cs="Calibri"/>
                <w:color w:val="000000"/>
                <w:sz w:val="22"/>
                <w:szCs w:val="22"/>
              </w:rPr>
              <w:t xml:space="preserve">115  PTA-2211  PTA-2212                          </w:t>
            </w:r>
          </w:p>
        </w:tc>
        <w:tc>
          <w:tcPr>
            <w:tcW w:w="1430" w:type="dxa"/>
            <w:shd w:val="clear" w:color="auto" w:fill="auto"/>
          </w:tcPr>
          <w:p w:rsidR="00587CE5" w:rsidRPr="004C52FC" w:rsidRDefault="00587CE5" w:rsidP="00587CE5">
            <w:pPr>
              <w:rPr>
                <w:rFonts w:asciiTheme="minorHAnsi" w:hAnsiTheme="minorHAnsi" w:cs="Arial"/>
                <w:color w:val="000000" w:themeColor="text1"/>
              </w:rPr>
            </w:pPr>
          </w:p>
        </w:tc>
        <w:tc>
          <w:tcPr>
            <w:tcW w:w="2250" w:type="dxa"/>
          </w:tcPr>
          <w:p w:rsidR="00587CE5" w:rsidRDefault="00587CE5" w:rsidP="00587CE5">
            <w:pPr>
              <w:rPr>
                <w:rFonts w:asciiTheme="minorHAnsi" w:hAnsiTheme="minorHAnsi" w:cs="Arial"/>
                <w:color w:val="000000" w:themeColor="text1"/>
              </w:rPr>
            </w:pPr>
            <w:r>
              <w:rPr>
                <w:rFonts w:asciiTheme="minorHAnsi" w:hAnsiTheme="minorHAnsi" w:cs="Arial"/>
                <w:color w:val="000000" w:themeColor="text1"/>
              </w:rPr>
              <w:t>-</w:t>
            </w:r>
            <w:r w:rsidR="00A503D8">
              <w:rPr>
                <w:rFonts w:asciiTheme="minorHAnsi" w:hAnsiTheme="minorHAnsi" w:cs="Arial"/>
                <w:color w:val="000000" w:themeColor="text1"/>
              </w:rPr>
              <w:t>Graduate Survey</w:t>
            </w:r>
          </w:p>
          <w:p w:rsidR="00587CE5" w:rsidRPr="00587CE5" w:rsidRDefault="00587CE5" w:rsidP="00587CE5">
            <w:pPr>
              <w:rPr>
                <w:rFonts w:asciiTheme="minorHAnsi" w:hAnsiTheme="minorHAnsi" w:cs="Arial"/>
                <w:color w:val="000000" w:themeColor="text1"/>
              </w:rPr>
            </w:pPr>
            <w:r>
              <w:rPr>
                <w:rFonts w:asciiTheme="minorHAnsi" w:hAnsiTheme="minorHAnsi" w:cs="Arial"/>
                <w:color w:val="000000" w:themeColor="text1"/>
              </w:rPr>
              <w:t>-Clinical Performance Instrument (CPI)</w:t>
            </w:r>
          </w:p>
        </w:tc>
        <w:tc>
          <w:tcPr>
            <w:tcW w:w="4028" w:type="dxa"/>
          </w:tcPr>
          <w:p w:rsidR="00587CE5" w:rsidRDefault="00587CE5" w:rsidP="00587CE5">
            <w:pPr>
              <w:ind w:left="72"/>
              <w:rPr>
                <w:rFonts w:asciiTheme="minorHAnsi" w:hAnsiTheme="minorHAnsi" w:cs="Arial"/>
                <w:color w:val="000000" w:themeColor="text1"/>
              </w:rPr>
            </w:pPr>
            <w:r>
              <w:rPr>
                <w:rFonts w:asciiTheme="minorHAnsi" w:hAnsiTheme="minorHAnsi" w:cs="Arial"/>
                <w:color w:val="000000" w:themeColor="text1"/>
              </w:rPr>
              <w:t xml:space="preserve">See </w:t>
            </w:r>
            <w:r w:rsidR="006D30DA">
              <w:rPr>
                <w:rFonts w:asciiTheme="minorHAnsi" w:hAnsiTheme="minorHAnsi" w:cs="Arial"/>
                <w:color w:val="000000" w:themeColor="text1"/>
              </w:rPr>
              <w:t>PTA Program Outcomes Data:</w:t>
            </w:r>
          </w:p>
          <w:p w:rsidR="00D94260" w:rsidRPr="004C52FC" w:rsidRDefault="006D30DA" w:rsidP="006D30DA">
            <w:pPr>
              <w:ind w:left="72"/>
              <w:rPr>
                <w:rFonts w:asciiTheme="minorHAnsi" w:hAnsiTheme="minorHAnsi" w:cs="Arial"/>
                <w:color w:val="000000" w:themeColor="text1"/>
              </w:rPr>
            </w:pPr>
            <w:r>
              <w:rPr>
                <w:rFonts w:asciiTheme="minorHAnsi" w:hAnsiTheme="minorHAnsi" w:cs="Arial"/>
                <w:color w:val="000000" w:themeColor="text1"/>
              </w:rPr>
              <w:t>Graduates</w:t>
            </w:r>
            <w:r w:rsidR="00D94260">
              <w:rPr>
                <w:rFonts w:asciiTheme="minorHAnsi" w:hAnsiTheme="minorHAnsi" w:cs="Arial"/>
                <w:color w:val="000000" w:themeColor="text1"/>
              </w:rPr>
              <w:t xml:space="preserve"> perceive this program outcome to be the least important of the six</w:t>
            </w:r>
            <w:r>
              <w:rPr>
                <w:rFonts w:asciiTheme="minorHAnsi" w:hAnsiTheme="minorHAnsi" w:cs="Arial"/>
                <w:color w:val="000000" w:themeColor="text1"/>
              </w:rPr>
              <w:t xml:space="preserve"> (Figure </w:t>
            </w:r>
            <w:hyperlink w:anchor="Fig1" w:history="1">
              <w:r w:rsidRPr="00694870">
                <w:rPr>
                  <w:rStyle w:val="Hyperlink"/>
                  <w:rFonts w:asciiTheme="minorHAnsi" w:hAnsiTheme="minorHAnsi" w:cs="Arial"/>
                </w:rPr>
                <w:t>1</w:t>
              </w:r>
            </w:hyperlink>
            <w:r>
              <w:rPr>
                <w:rFonts w:asciiTheme="minorHAnsi" w:hAnsiTheme="minorHAnsi" w:cs="Arial"/>
                <w:color w:val="000000" w:themeColor="text1"/>
              </w:rPr>
              <w:t>)</w:t>
            </w:r>
            <w:r w:rsidR="00D94260">
              <w:rPr>
                <w:rFonts w:asciiTheme="minorHAnsi" w:hAnsiTheme="minorHAnsi" w:cs="Arial"/>
                <w:color w:val="000000" w:themeColor="text1"/>
              </w:rPr>
              <w:t>.  However, the PTA program spends a great deal of time focusing on professional behavior and development.  It is the highest rated program outcome in terms of student satisfaction with the program’s training and preparation</w:t>
            </w:r>
            <w:r>
              <w:rPr>
                <w:rFonts w:asciiTheme="minorHAnsi" w:hAnsiTheme="minorHAnsi" w:cs="Arial"/>
                <w:color w:val="000000" w:themeColor="text1"/>
              </w:rPr>
              <w:t xml:space="preserve"> (Figure </w:t>
            </w:r>
            <w:hyperlink w:anchor="Fig2" w:history="1">
              <w:r w:rsidRPr="00694870">
                <w:rPr>
                  <w:rStyle w:val="Hyperlink"/>
                  <w:rFonts w:asciiTheme="minorHAnsi" w:hAnsiTheme="minorHAnsi" w:cs="Arial"/>
                </w:rPr>
                <w:t>2</w:t>
              </w:r>
            </w:hyperlink>
            <w:r>
              <w:rPr>
                <w:rFonts w:asciiTheme="minorHAnsi" w:hAnsiTheme="minorHAnsi" w:cs="Arial"/>
                <w:color w:val="000000" w:themeColor="text1"/>
              </w:rPr>
              <w:t>)</w:t>
            </w:r>
            <w:r w:rsidR="00D94260">
              <w:rPr>
                <w:rFonts w:asciiTheme="minorHAnsi" w:hAnsiTheme="minorHAnsi" w:cs="Arial"/>
                <w:color w:val="000000" w:themeColor="text1"/>
              </w:rPr>
              <w:t xml:space="preserve">.  </w:t>
            </w:r>
            <w:r>
              <w:rPr>
                <w:rFonts w:asciiTheme="minorHAnsi" w:hAnsiTheme="minorHAnsi" w:cs="Arial"/>
                <w:color w:val="000000" w:themeColor="text1"/>
              </w:rPr>
              <w:t>The</w:t>
            </w:r>
            <w:r w:rsidR="00D94260">
              <w:rPr>
                <w:rFonts w:asciiTheme="minorHAnsi" w:hAnsiTheme="minorHAnsi" w:cs="Arial"/>
                <w:color w:val="000000" w:themeColor="text1"/>
              </w:rPr>
              <w:t xml:space="preserve"> average score for Clinical Behavior at mid-term of the first clinical is the highest of all the CPI categories</w:t>
            </w:r>
            <w:r>
              <w:rPr>
                <w:rFonts w:asciiTheme="minorHAnsi" w:hAnsiTheme="minorHAnsi" w:cs="Arial"/>
                <w:color w:val="000000" w:themeColor="text1"/>
              </w:rPr>
              <w:t xml:space="preserve"> (Figure </w:t>
            </w:r>
            <w:hyperlink w:anchor="Fig31" w:history="1">
              <w:r w:rsidRPr="00694870">
                <w:rPr>
                  <w:rStyle w:val="Hyperlink"/>
                  <w:rFonts w:asciiTheme="minorHAnsi" w:hAnsiTheme="minorHAnsi" w:cs="Arial"/>
                </w:rPr>
                <w:t>31</w:t>
              </w:r>
            </w:hyperlink>
            <w:r>
              <w:rPr>
                <w:rFonts w:asciiTheme="minorHAnsi" w:hAnsiTheme="minorHAnsi" w:cs="Arial"/>
                <w:color w:val="000000" w:themeColor="text1"/>
              </w:rPr>
              <w:t>)</w:t>
            </w:r>
            <w:r w:rsidR="00D94260">
              <w:rPr>
                <w:rFonts w:asciiTheme="minorHAnsi" w:hAnsiTheme="minorHAnsi" w:cs="Arial"/>
                <w:color w:val="000000" w:themeColor="text1"/>
              </w:rPr>
              <w:t>.  At the final assessment of the second clinical, the average of student scores in this same category is tied with Cultural Competence for the highest scoring category</w:t>
            </w:r>
            <w:r>
              <w:rPr>
                <w:rFonts w:asciiTheme="minorHAnsi" w:hAnsiTheme="minorHAnsi" w:cs="Arial"/>
                <w:color w:val="000000" w:themeColor="text1"/>
              </w:rPr>
              <w:t xml:space="preserve"> (Figure </w:t>
            </w:r>
            <w:hyperlink w:anchor="Fig32" w:history="1">
              <w:r w:rsidRPr="00694870">
                <w:rPr>
                  <w:rStyle w:val="Hyperlink"/>
                  <w:rFonts w:asciiTheme="minorHAnsi" w:hAnsiTheme="minorHAnsi" w:cs="Arial"/>
                </w:rPr>
                <w:t>32</w:t>
              </w:r>
            </w:hyperlink>
            <w:r>
              <w:rPr>
                <w:rFonts w:asciiTheme="minorHAnsi" w:hAnsiTheme="minorHAnsi" w:cs="Arial"/>
                <w:color w:val="000000" w:themeColor="text1"/>
              </w:rPr>
              <w:t>)</w:t>
            </w:r>
            <w:r w:rsidR="00D94260">
              <w:rPr>
                <w:rFonts w:asciiTheme="minorHAnsi" w:hAnsiTheme="minorHAnsi" w:cs="Arial"/>
                <w:color w:val="000000" w:themeColor="text1"/>
              </w:rPr>
              <w:t>.</w:t>
            </w:r>
          </w:p>
        </w:tc>
      </w:tr>
      <w:tr w:rsidR="00587CE5" w:rsidRPr="004C52FC" w:rsidTr="00F75CE3">
        <w:tblPrEx>
          <w:shd w:val="clear" w:color="auto" w:fill="auto"/>
          <w:tblLook w:val="04A0" w:firstRow="1" w:lastRow="0" w:firstColumn="1" w:lastColumn="0" w:noHBand="0" w:noVBand="1"/>
        </w:tblPrEx>
        <w:trPr>
          <w:trHeight w:val="72"/>
        </w:trPr>
        <w:tc>
          <w:tcPr>
            <w:tcW w:w="3708" w:type="dxa"/>
          </w:tcPr>
          <w:p w:rsidR="00587CE5" w:rsidRDefault="00587CE5" w:rsidP="00587CE5">
            <w:pPr>
              <w:rPr>
                <w:rFonts w:ascii="Calibri" w:hAnsi="Calibri" w:cs="Calibri"/>
                <w:color w:val="000000"/>
                <w:sz w:val="22"/>
                <w:szCs w:val="22"/>
              </w:rPr>
            </w:pPr>
            <w:r>
              <w:rPr>
                <w:rFonts w:ascii="Calibri" w:hAnsi="Calibri" w:cs="Calibri"/>
                <w:color w:val="000000"/>
                <w:sz w:val="22"/>
                <w:szCs w:val="22"/>
              </w:rPr>
              <w:t>Perform data collection techniques as outlined in the plan of care, reported through accurate, timely and legible documentation. (PSYCHOMOTOR)</w:t>
            </w:r>
          </w:p>
          <w:p w:rsidR="006D30DA" w:rsidRDefault="006D30DA" w:rsidP="00587CE5">
            <w:pPr>
              <w:rPr>
                <w:rFonts w:ascii="Calibri" w:hAnsi="Calibri" w:cs="Calibri"/>
                <w:color w:val="000000"/>
                <w:sz w:val="22"/>
                <w:szCs w:val="22"/>
              </w:rPr>
            </w:pPr>
          </w:p>
          <w:p w:rsidR="006D30DA" w:rsidRPr="00967614" w:rsidRDefault="006D30DA" w:rsidP="00587CE5">
            <w:pPr>
              <w:rPr>
                <w:rFonts w:ascii="Calibri" w:hAnsi="Calibri" w:cs="Calibri"/>
                <w:color w:val="000000"/>
                <w:sz w:val="22"/>
                <w:szCs w:val="22"/>
              </w:rPr>
            </w:pPr>
            <w:r>
              <w:rPr>
                <w:rFonts w:ascii="Calibri" w:hAnsi="Calibri" w:cs="Calibri"/>
                <w:b/>
                <w:color w:val="000000"/>
                <w:sz w:val="22"/>
                <w:szCs w:val="22"/>
              </w:rPr>
              <w:t>PROGRAM OUTCOME #5</w:t>
            </w:r>
          </w:p>
        </w:tc>
        <w:tc>
          <w:tcPr>
            <w:tcW w:w="1742" w:type="dxa"/>
          </w:tcPr>
          <w:p w:rsidR="00587CE5" w:rsidRDefault="00587CE5" w:rsidP="00587CE5">
            <w:pPr>
              <w:rPr>
                <w:rFonts w:ascii="Calibri" w:hAnsi="Calibri" w:cs="Calibri"/>
                <w:color w:val="000000"/>
                <w:sz w:val="22"/>
                <w:szCs w:val="22"/>
              </w:rPr>
            </w:pPr>
            <w:r>
              <w:rPr>
                <w:rFonts w:ascii="Calibri" w:hAnsi="Calibri" w:cs="Calibri"/>
                <w:color w:val="000000"/>
                <w:sz w:val="22"/>
                <w:szCs w:val="22"/>
              </w:rPr>
              <w:t>EN</w:t>
            </w:r>
            <w:r w:rsidR="00500A25">
              <w:rPr>
                <w:rFonts w:ascii="Calibri" w:hAnsi="Calibri" w:cs="Calibri"/>
                <w:color w:val="000000"/>
                <w:sz w:val="22"/>
                <w:szCs w:val="22"/>
              </w:rPr>
              <w:t>G-1101  HIM-1101  PTA-1110 PTA-2</w:t>
            </w:r>
            <w:r>
              <w:rPr>
                <w:rFonts w:ascii="Calibri" w:hAnsi="Calibri" w:cs="Calibri"/>
                <w:color w:val="000000"/>
                <w:sz w:val="22"/>
                <w:szCs w:val="22"/>
              </w:rPr>
              <w:t xml:space="preserve">115  PTA-1124  PTA-1129  PTA-2211  PTA-2212  PTA-2230  PTA-2238                    </w:t>
            </w:r>
          </w:p>
        </w:tc>
        <w:tc>
          <w:tcPr>
            <w:tcW w:w="1430" w:type="dxa"/>
          </w:tcPr>
          <w:p w:rsidR="00587CE5" w:rsidRPr="004C52FC" w:rsidRDefault="00587CE5" w:rsidP="00587CE5">
            <w:pPr>
              <w:rPr>
                <w:rFonts w:asciiTheme="minorHAnsi" w:hAnsiTheme="minorHAnsi" w:cs="Arial"/>
                <w:color w:val="000000" w:themeColor="text1"/>
              </w:rPr>
            </w:pPr>
          </w:p>
        </w:tc>
        <w:tc>
          <w:tcPr>
            <w:tcW w:w="2250" w:type="dxa"/>
          </w:tcPr>
          <w:p w:rsidR="00587CE5" w:rsidRDefault="00587CE5" w:rsidP="00587CE5">
            <w:pPr>
              <w:rPr>
                <w:rFonts w:asciiTheme="minorHAnsi" w:hAnsiTheme="minorHAnsi" w:cs="Arial"/>
                <w:color w:val="000000" w:themeColor="text1"/>
              </w:rPr>
            </w:pPr>
            <w:r>
              <w:rPr>
                <w:rFonts w:asciiTheme="minorHAnsi" w:hAnsiTheme="minorHAnsi" w:cs="Arial"/>
                <w:color w:val="000000" w:themeColor="text1"/>
              </w:rPr>
              <w:t>-</w:t>
            </w:r>
            <w:r w:rsidR="00A503D8">
              <w:rPr>
                <w:rFonts w:asciiTheme="minorHAnsi" w:hAnsiTheme="minorHAnsi" w:cs="Arial"/>
                <w:color w:val="000000" w:themeColor="text1"/>
              </w:rPr>
              <w:t>Graduate Survey</w:t>
            </w:r>
          </w:p>
          <w:p w:rsidR="00587CE5" w:rsidRPr="00587CE5" w:rsidRDefault="00587CE5" w:rsidP="00587CE5">
            <w:pPr>
              <w:rPr>
                <w:rFonts w:asciiTheme="minorHAnsi" w:hAnsiTheme="minorHAnsi" w:cs="Arial"/>
                <w:color w:val="000000" w:themeColor="text1"/>
              </w:rPr>
            </w:pPr>
            <w:r>
              <w:rPr>
                <w:rFonts w:asciiTheme="minorHAnsi" w:hAnsiTheme="minorHAnsi" w:cs="Arial"/>
                <w:color w:val="000000" w:themeColor="text1"/>
              </w:rPr>
              <w:t>-Clinical Performance Instrument (CPI)</w:t>
            </w:r>
          </w:p>
        </w:tc>
        <w:tc>
          <w:tcPr>
            <w:tcW w:w="4028" w:type="dxa"/>
          </w:tcPr>
          <w:p w:rsidR="00587CE5" w:rsidRDefault="00587CE5" w:rsidP="00587CE5">
            <w:pPr>
              <w:ind w:left="72"/>
              <w:rPr>
                <w:rFonts w:asciiTheme="minorHAnsi" w:hAnsiTheme="minorHAnsi" w:cs="Arial"/>
                <w:color w:val="000000" w:themeColor="text1"/>
              </w:rPr>
            </w:pPr>
            <w:r>
              <w:rPr>
                <w:rFonts w:asciiTheme="minorHAnsi" w:hAnsiTheme="minorHAnsi" w:cs="Arial"/>
                <w:color w:val="000000" w:themeColor="text1"/>
              </w:rPr>
              <w:t xml:space="preserve">See </w:t>
            </w:r>
            <w:r w:rsidR="00967614">
              <w:rPr>
                <w:rFonts w:asciiTheme="minorHAnsi" w:hAnsiTheme="minorHAnsi" w:cs="Arial"/>
                <w:color w:val="000000" w:themeColor="text1"/>
              </w:rPr>
              <w:t>PTA Program Outcomes Data:</w:t>
            </w:r>
          </w:p>
          <w:p w:rsidR="001848C2" w:rsidRPr="004C52FC" w:rsidRDefault="001848C2" w:rsidP="001848C2">
            <w:pPr>
              <w:ind w:left="72"/>
              <w:rPr>
                <w:rFonts w:asciiTheme="minorHAnsi" w:hAnsiTheme="minorHAnsi" w:cs="Arial"/>
                <w:color w:val="000000" w:themeColor="text1"/>
              </w:rPr>
            </w:pPr>
            <w:r>
              <w:rPr>
                <w:rFonts w:asciiTheme="minorHAnsi" w:hAnsiTheme="minorHAnsi" w:cs="Arial"/>
                <w:color w:val="000000" w:themeColor="text1"/>
              </w:rPr>
              <w:t xml:space="preserve">Documentation is an area students routinely say they feel the program does not cover enough.  Students are introduced to documentation in their first Professional Issues course in the program.  In each successive class it is </w:t>
            </w:r>
            <w:r>
              <w:rPr>
                <w:rFonts w:asciiTheme="minorHAnsi" w:hAnsiTheme="minorHAnsi" w:cs="Arial"/>
                <w:color w:val="000000" w:themeColor="text1"/>
              </w:rPr>
              <w:lastRenderedPageBreak/>
              <w:t>discussed and students are given numerous opportunities to apply their skills in a written format.  However, the majority of clinical facilities are using an electronic documentation format.  At this time, the PTA program only provides students minimal exposure to electronic documentation.  This will change in the future, as WebPT will be implemented with case studies and assignments requiring students to submit electronic notes.</w:t>
            </w:r>
            <w:r w:rsidR="00967614">
              <w:rPr>
                <w:rFonts w:asciiTheme="minorHAnsi" w:hAnsiTheme="minorHAnsi" w:cs="Arial"/>
                <w:color w:val="000000" w:themeColor="text1"/>
              </w:rPr>
              <w:t xml:space="preserve">  Average Documentation scores at the final of the first clinical from 2012 to 2014 have steadily increased (Figure </w:t>
            </w:r>
            <w:hyperlink w:anchor="Fig27" w:history="1">
              <w:r w:rsidR="00967614" w:rsidRPr="00694870">
                <w:rPr>
                  <w:rStyle w:val="Hyperlink"/>
                  <w:rFonts w:asciiTheme="minorHAnsi" w:hAnsiTheme="minorHAnsi" w:cs="Arial"/>
                </w:rPr>
                <w:t>27</w:t>
              </w:r>
            </w:hyperlink>
            <w:r w:rsidR="00967614">
              <w:rPr>
                <w:rFonts w:asciiTheme="minorHAnsi" w:hAnsiTheme="minorHAnsi" w:cs="Arial"/>
                <w:color w:val="000000" w:themeColor="text1"/>
              </w:rPr>
              <w:t xml:space="preserve">).  However, average scores at the final of the second clinical during the same time period have decreased overall (Figures </w:t>
            </w:r>
            <w:hyperlink w:anchor="Fig28" w:history="1">
              <w:r w:rsidR="00967614" w:rsidRPr="00694870">
                <w:rPr>
                  <w:rStyle w:val="Hyperlink"/>
                  <w:rFonts w:asciiTheme="minorHAnsi" w:hAnsiTheme="minorHAnsi" w:cs="Arial"/>
                </w:rPr>
                <w:t>28</w:t>
              </w:r>
            </w:hyperlink>
            <w:r w:rsidR="00967614">
              <w:rPr>
                <w:rFonts w:asciiTheme="minorHAnsi" w:hAnsiTheme="minorHAnsi" w:cs="Arial"/>
                <w:color w:val="000000" w:themeColor="text1"/>
              </w:rPr>
              <w:t>).</w:t>
            </w:r>
          </w:p>
        </w:tc>
      </w:tr>
      <w:tr w:rsidR="00587CE5" w:rsidRPr="004C52FC" w:rsidTr="00F75CE3">
        <w:tblPrEx>
          <w:shd w:val="clear" w:color="auto" w:fill="auto"/>
          <w:tblLook w:val="04A0" w:firstRow="1" w:lastRow="0" w:firstColumn="1" w:lastColumn="0" w:noHBand="0" w:noVBand="1"/>
        </w:tblPrEx>
        <w:trPr>
          <w:trHeight w:val="72"/>
        </w:trPr>
        <w:tc>
          <w:tcPr>
            <w:tcW w:w="3708" w:type="dxa"/>
          </w:tcPr>
          <w:p w:rsidR="00587CE5" w:rsidRDefault="00587CE5" w:rsidP="00587CE5">
            <w:pPr>
              <w:rPr>
                <w:rFonts w:ascii="Calibri" w:hAnsi="Calibri" w:cs="Calibri"/>
                <w:color w:val="000000"/>
                <w:sz w:val="22"/>
                <w:szCs w:val="22"/>
              </w:rPr>
            </w:pPr>
            <w:r>
              <w:rPr>
                <w:rFonts w:ascii="Calibri" w:hAnsi="Calibri" w:cs="Calibri"/>
                <w:color w:val="000000"/>
                <w:sz w:val="22"/>
                <w:szCs w:val="22"/>
              </w:rPr>
              <w:lastRenderedPageBreak/>
              <w:t>Provide quality, efficient and cost effective physical therapy services utilizing human and material resources, computer technology and current knowledge of reimbursement and regulatory requirements and state practice acts. (PSYCHOMOTOR AND AFFECTIVE)</w:t>
            </w:r>
          </w:p>
          <w:p w:rsidR="00967614" w:rsidRDefault="00967614" w:rsidP="00587CE5">
            <w:pPr>
              <w:rPr>
                <w:rFonts w:ascii="Calibri" w:hAnsi="Calibri" w:cs="Calibri"/>
                <w:color w:val="000000"/>
                <w:sz w:val="22"/>
                <w:szCs w:val="22"/>
              </w:rPr>
            </w:pPr>
          </w:p>
          <w:p w:rsidR="00967614" w:rsidRPr="00967614" w:rsidRDefault="00967614" w:rsidP="00587CE5">
            <w:pPr>
              <w:rPr>
                <w:rFonts w:ascii="Calibri" w:hAnsi="Calibri" w:cs="Calibri"/>
                <w:color w:val="000000"/>
                <w:sz w:val="22"/>
                <w:szCs w:val="22"/>
              </w:rPr>
            </w:pPr>
            <w:r>
              <w:rPr>
                <w:rFonts w:ascii="Calibri" w:hAnsi="Calibri" w:cs="Calibri"/>
                <w:b/>
                <w:color w:val="000000"/>
                <w:sz w:val="22"/>
                <w:szCs w:val="22"/>
              </w:rPr>
              <w:t>PROGRAM OUTCOME #4</w:t>
            </w:r>
          </w:p>
        </w:tc>
        <w:tc>
          <w:tcPr>
            <w:tcW w:w="1742" w:type="dxa"/>
          </w:tcPr>
          <w:p w:rsidR="00587CE5" w:rsidRDefault="00587CE5" w:rsidP="00587CE5">
            <w:pPr>
              <w:rPr>
                <w:rFonts w:ascii="Calibri" w:hAnsi="Calibri" w:cs="Calibri"/>
                <w:color w:val="000000"/>
                <w:sz w:val="22"/>
                <w:szCs w:val="22"/>
              </w:rPr>
            </w:pPr>
            <w:r>
              <w:rPr>
                <w:rFonts w:ascii="Calibri" w:hAnsi="Calibri" w:cs="Calibri"/>
                <w:color w:val="000000"/>
                <w:sz w:val="22"/>
                <w:szCs w:val="22"/>
              </w:rPr>
              <w:t xml:space="preserve">ALH-1101  ENG-1101  MAT-1270 PHY-1106  PTA-1110  PTA-2211  PTA-2212                          </w:t>
            </w:r>
          </w:p>
        </w:tc>
        <w:tc>
          <w:tcPr>
            <w:tcW w:w="1430" w:type="dxa"/>
          </w:tcPr>
          <w:p w:rsidR="00587CE5" w:rsidRPr="004C52FC" w:rsidRDefault="00587CE5" w:rsidP="00587CE5">
            <w:pPr>
              <w:rPr>
                <w:rFonts w:asciiTheme="minorHAnsi" w:hAnsiTheme="minorHAnsi" w:cs="Arial"/>
                <w:color w:val="000000" w:themeColor="text1"/>
              </w:rPr>
            </w:pPr>
          </w:p>
        </w:tc>
        <w:tc>
          <w:tcPr>
            <w:tcW w:w="2250" w:type="dxa"/>
          </w:tcPr>
          <w:p w:rsidR="00587CE5" w:rsidRDefault="00587CE5" w:rsidP="00587CE5">
            <w:pPr>
              <w:rPr>
                <w:rFonts w:asciiTheme="minorHAnsi" w:hAnsiTheme="minorHAnsi" w:cs="Arial"/>
                <w:color w:val="000000" w:themeColor="text1"/>
              </w:rPr>
            </w:pPr>
            <w:r>
              <w:rPr>
                <w:rFonts w:asciiTheme="minorHAnsi" w:hAnsiTheme="minorHAnsi" w:cs="Arial"/>
                <w:color w:val="000000" w:themeColor="text1"/>
              </w:rPr>
              <w:t>-</w:t>
            </w:r>
            <w:r w:rsidR="00A503D8">
              <w:rPr>
                <w:rFonts w:asciiTheme="minorHAnsi" w:hAnsiTheme="minorHAnsi" w:cs="Arial"/>
                <w:color w:val="000000" w:themeColor="text1"/>
              </w:rPr>
              <w:t>Graduate Survey</w:t>
            </w:r>
          </w:p>
          <w:p w:rsidR="00587CE5" w:rsidRPr="00587CE5" w:rsidRDefault="00587CE5" w:rsidP="00587CE5">
            <w:pPr>
              <w:rPr>
                <w:rFonts w:asciiTheme="minorHAnsi" w:hAnsiTheme="minorHAnsi" w:cs="Arial"/>
                <w:color w:val="000000" w:themeColor="text1"/>
              </w:rPr>
            </w:pPr>
            <w:r>
              <w:rPr>
                <w:rFonts w:asciiTheme="minorHAnsi" w:hAnsiTheme="minorHAnsi" w:cs="Arial"/>
                <w:color w:val="000000" w:themeColor="text1"/>
              </w:rPr>
              <w:t>-Clinical Performance Instrument (CPI)</w:t>
            </w:r>
          </w:p>
        </w:tc>
        <w:tc>
          <w:tcPr>
            <w:tcW w:w="4028" w:type="dxa"/>
          </w:tcPr>
          <w:p w:rsidR="00587CE5" w:rsidRDefault="00587CE5" w:rsidP="00587CE5">
            <w:pPr>
              <w:ind w:left="72"/>
              <w:rPr>
                <w:rFonts w:asciiTheme="minorHAnsi" w:hAnsiTheme="minorHAnsi" w:cs="Arial"/>
                <w:color w:val="000000" w:themeColor="text1"/>
              </w:rPr>
            </w:pPr>
            <w:r>
              <w:rPr>
                <w:rFonts w:asciiTheme="minorHAnsi" w:hAnsiTheme="minorHAnsi" w:cs="Arial"/>
                <w:color w:val="000000" w:themeColor="text1"/>
              </w:rPr>
              <w:t xml:space="preserve">See </w:t>
            </w:r>
            <w:r w:rsidR="00967614">
              <w:rPr>
                <w:rFonts w:asciiTheme="minorHAnsi" w:hAnsiTheme="minorHAnsi" w:cs="Arial"/>
                <w:color w:val="000000" w:themeColor="text1"/>
              </w:rPr>
              <w:t>PTA Program Outcomes Data:</w:t>
            </w:r>
          </w:p>
          <w:p w:rsidR="001848C2" w:rsidRPr="004C52FC" w:rsidRDefault="001848C2" w:rsidP="00967614">
            <w:pPr>
              <w:ind w:left="72"/>
              <w:rPr>
                <w:rFonts w:asciiTheme="minorHAnsi" w:hAnsiTheme="minorHAnsi" w:cs="Arial"/>
                <w:color w:val="000000" w:themeColor="text1"/>
              </w:rPr>
            </w:pPr>
            <w:r>
              <w:rPr>
                <w:rFonts w:asciiTheme="minorHAnsi" w:hAnsiTheme="minorHAnsi" w:cs="Arial"/>
                <w:color w:val="000000" w:themeColor="text1"/>
              </w:rPr>
              <w:t xml:space="preserve">Of all the program outcomes, this was rated the lowest by </w:t>
            </w:r>
            <w:r w:rsidR="00967614">
              <w:rPr>
                <w:rFonts w:asciiTheme="minorHAnsi" w:hAnsiTheme="minorHAnsi" w:cs="Arial"/>
                <w:color w:val="000000" w:themeColor="text1"/>
              </w:rPr>
              <w:t>graduates</w:t>
            </w:r>
            <w:r>
              <w:rPr>
                <w:rFonts w:asciiTheme="minorHAnsi" w:hAnsiTheme="minorHAnsi" w:cs="Arial"/>
                <w:color w:val="000000" w:themeColor="text1"/>
              </w:rPr>
              <w:t xml:space="preserve"> in terms of their satisfaction with the training and preparation they received</w:t>
            </w:r>
            <w:r w:rsidR="00967614">
              <w:rPr>
                <w:rFonts w:asciiTheme="minorHAnsi" w:hAnsiTheme="minorHAnsi" w:cs="Arial"/>
                <w:color w:val="000000" w:themeColor="text1"/>
              </w:rPr>
              <w:t xml:space="preserve"> (Figure </w:t>
            </w:r>
            <w:hyperlink w:anchor="Fig2" w:history="1">
              <w:r w:rsidR="00967614" w:rsidRPr="00694870">
                <w:rPr>
                  <w:rStyle w:val="Hyperlink"/>
                  <w:rFonts w:asciiTheme="minorHAnsi" w:hAnsiTheme="minorHAnsi" w:cs="Arial"/>
                </w:rPr>
                <w:t>2</w:t>
              </w:r>
            </w:hyperlink>
            <w:r w:rsidR="00967614">
              <w:rPr>
                <w:rFonts w:asciiTheme="minorHAnsi" w:hAnsiTheme="minorHAnsi" w:cs="Arial"/>
                <w:color w:val="000000" w:themeColor="text1"/>
              </w:rPr>
              <w:t>)</w:t>
            </w:r>
            <w:r>
              <w:rPr>
                <w:rFonts w:asciiTheme="minorHAnsi" w:hAnsiTheme="minorHAnsi" w:cs="Arial"/>
                <w:color w:val="000000" w:themeColor="text1"/>
              </w:rPr>
              <w:t xml:space="preserve">.  Computer technology is a component of this outcome and the issue of limited exposure to electronic documentation is a major factor.  Additionally, concepts related to </w:t>
            </w:r>
            <w:r>
              <w:rPr>
                <w:rFonts w:asciiTheme="minorHAnsi" w:hAnsiTheme="minorHAnsi" w:cs="Arial"/>
                <w:color w:val="000000" w:themeColor="text1"/>
              </w:rPr>
              <w:lastRenderedPageBreak/>
              <w:t>reimbursement are covered in multiple courses over the curriculum; however, as reimbursement policies differ from setting to setting (and change rapidly), this is a topic that is usually introduced in the classroom and applied while students are out on clinical</w:t>
            </w:r>
            <w:r w:rsidR="00100CAB">
              <w:rPr>
                <w:rFonts w:asciiTheme="minorHAnsi" w:hAnsiTheme="minorHAnsi" w:cs="Arial"/>
                <w:color w:val="000000" w:themeColor="text1"/>
              </w:rPr>
              <w:t>s</w:t>
            </w:r>
            <w:r>
              <w:rPr>
                <w:rFonts w:asciiTheme="minorHAnsi" w:hAnsiTheme="minorHAnsi" w:cs="Arial"/>
                <w:color w:val="000000" w:themeColor="text1"/>
              </w:rPr>
              <w:t>.  Use of the WebPT electronic documentation system may provide opportunities for students to “bill</w:t>
            </w:r>
            <w:r w:rsidR="006B6ABA">
              <w:rPr>
                <w:rFonts w:asciiTheme="minorHAnsi" w:hAnsiTheme="minorHAnsi" w:cs="Arial"/>
                <w:color w:val="000000" w:themeColor="text1"/>
              </w:rPr>
              <w:t xml:space="preserve">” for their time as they would in a real clinical setting.  </w:t>
            </w:r>
            <w:r>
              <w:rPr>
                <w:rFonts w:asciiTheme="minorHAnsi" w:hAnsiTheme="minorHAnsi" w:cs="Arial"/>
                <w:color w:val="000000" w:themeColor="text1"/>
              </w:rPr>
              <w:t xml:space="preserve"> </w:t>
            </w:r>
            <w:r w:rsidR="00967614">
              <w:rPr>
                <w:rFonts w:asciiTheme="minorHAnsi" w:hAnsiTheme="minorHAnsi" w:cs="Arial"/>
                <w:color w:val="000000" w:themeColor="text1"/>
              </w:rPr>
              <w:t xml:space="preserve">Average CPI scores in the areas of Accountability and Resource Management at the final of the first clinical have steadily increased between 2012 and 2014 (Figure </w:t>
            </w:r>
            <w:hyperlink w:anchor="Fig23" w:history="1">
              <w:r w:rsidR="00967614" w:rsidRPr="00694870">
                <w:rPr>
                  <w:rStyle w:val="Hyperlink"/>
                  <w:rFonts w:asciiTheme="minorHAnsi" w:hAnsiTheme="minorHAnsi" w:cs="Arial"/>
                </w:rPr>
                <w:t>23</w:t>
              </w:r>
            </w:hyperlink>
            <w:r w:rsidR="00967614">
              <w:rPr>
                <w:rFonts w:asciiTheme="minorHAnsi" w:hAnsiTheme="minorHAnsi" w:cs="Arial"/>
                <w:color w:val="000000" w:themeColor="text1"/>
              </w:rPr>
              <w:t xml:space="preserve"> &amp; </w:t>
            </w:r>
            <w:hyperlink w:anchor="Fig25" w:history="1">
              <w:r w:rsidR="00967614" w:rsidRPr="00694870">
                <w:rPr>
                  <w:rStyle w:val="Hyperlink"/>
                  <w:rFonts w:asciiTheme="minorHAnsi" w:hAnsiTheme="minorHAnsi" w:cs="Arial"/>
                </w:rPr>
                <w:t>25</w:t>
              </w:r>
            </w:hyperlink>
            <w:r w:rsidR="00967614">
              <w:rPr>
                <w:rFonts w:asciiTheme="minorHAnsi" w:hAnsiTheme="minorHAnsi" w:cs="Arial"/>
                <w:color w:val="000000" w:themeColor="text1"/>
              </w:rPr>
              <w:t xml:space="preserve">).  However, average final scores in these same areas have decreased overall when assessed at the final of the second clinical during the same time period (Figure </w:t>
            </w:r>
            <w:hyperlink w:anchor="Fig24" w:history="1">
              <w:r w:rsidR="00967614" w:rsidRPr="00694870">
                <w:rPr>
                  <w:rStyle w:val="Hyperlink"/>
                  <w:rFonts w:asciiTheme="minorHAnsi" w:hAnsiTheme="minorHAnsi" w:cs="Arial"/>
                </w:rPr>
                <w:t>24</w:t>
              </w:r>
            </w:hyperlink>
            <w:r w:rsidR="00967614">
              <w:rPr>
                <w:rFonts w:asciiTheme="minorHAnsi" w:hAnsiTheme="minorHAnsi" w:cs="Arial"/>
                <w:color w:val="000000" w:themeColor="text1"/>
              </w:rPr>
              <w:t xml:space="preserve"> &amp; </w:t>
            </w:r>
            <w:hyperlink w:anchor="Fig26" w:history="1">
              <w:r w:rsidR="00967614" w:rsidRPr="00694870">
                <w:rPr>
                  <w:rStyle w:val="Hyperlink"/>
                  <w:rFonts w:asciiTheme="minorHAnsi" w:hAnsiTheme="minorHAnsi" w:cs="Arial"/>
                </w:rPr>
                <w:t>26</w:t>
              </w:r>
            </w:hyperlink>
            <w:r w:rsidR="00967614">
              <w:rPr>
                <w:rFonts w:asciiTheme="minorHAnsi" w:hAnsiTheme="minorHAnsi" w:cs="Arial"/>
                <w:color w:val="000000" w:themeColor="text1"/>
              </w:rPr>
              <w:t>).</w:t>
            </w:r>
          </w:p>
        </w:tc>
      </w:tr>
      <w:tr w:rsidR="00587CE5" w:rsidRPr="004C52FC" w:rsidTr="00F75CE3">
        <w:tblPrEx>
          <w:shd w:val="clear" w:color="auto" w:fill="auto"/>
          <w:tblLook w:val="04A0" w:firstRow="1" w:lastRow="0" w:firstColumn="1" w:lastColumn="0" w:noHBand="0" w:noVBand="1"/>
        </w:tblPrEx>
        <w:trPr>
          <w:trHeight w:val="72"/>
        </w:trPr>
        <w:tc>
          <w:tcPr>
            <w:tcW w:w="3708" w:type="dxa"/>
          </w:tcPr>
          <w:p w:rsidR="00587CE5" w:rsidRDefault="00587CE5" w:rsidP="00587CE5">
            <w:pPr>
              <w:rPr>
                <w:rFonts w:ascii="Calibri" w:hAnsi="Calibri" w:cs="Calibri"/>
                <w:color w:val="000000"/>
                <w:sz w:val="22"/>
                <w:szCs w:val="22"/>
              </w:rPr>
            </w:pPr>
            <w:r>
              <w:rPr>
                <w:rFonts w:ascii="Calibri" w:hAnsi="Calibri" w:cs="Calibri"/>
                <w:color w:val="000000"/>
                <w:sz w:val="22"/>
                <w:szCs w:val="22"/>
              </w:rPr>
              <w:lastRenderedPageBreak/>
              <w:t>Provide safe, competent interventions and patient education, based on the plan of care established by the PT to minimize risk to the patient, self and others and ensure appropriate patient outcomes. (PSYCHOMOTOR/ COGNITIVE)</w:t>
            </w:r>
          </w:p>
          <w:p w:rsidR="00967614" w:rsidRDefault="00967614" w:rsidP="00587CE5">
            <w:pPr>
              <w:rPr>
                <w:rFonts w:ascii="Calibri" w:hAnsi="Calibri" w:cs="Calibri"/>
                <w:color w:val="000000"/>
                <w:sz w:val="22"/>
                <w:szCs w:val="22"/>
              </w:rPr>
            </w:pPr>
          </w:p>
          <w:p w:rsidR="00967614" w:rsidRPr="00967614" w:rsidRDefault="00967614" w:rsidP="00587CE5">
            <w:pPr>
              <w:rPr>
                <w:rFonts w:ascii="Calibri" w:hAnsi="Calibri" w:cs="Calibri"/>
                <w:color w:val="000000"/>
                <w:sz w:val="22"/>
                <w:szCs w:val="22"/>
              </w:rPr>
            </w:pPr>
            <w:r>
              <w:rPr>
                <w:rFonts w:ascii="Calibri" w:hAnsi="Calibri" w:cs="Calibri"/>
                <w:b/>
                <w:color w:val="000000"/>
                <w:sz w:val="22"/>
                <w:szCs w:val="22"/>
              </w:rPr>
              <w:t>PROGRAM OUTCOME #2</w:t>
            </w:r>
          </w:p>
        </w:tc>
        <w:tc>
          <w:tcPr>
            <w:tcW w:w="1742" w:type="dxa"/>
          </w:tcPr>
          <w:p w:rsidR="00587CE5" w:rsidRDefault="00587CE5" w:rsidP="00587CE5">
            <w:pPr>
              <w:rPr>
                <w:rFonts w:ascii="Calibri" w:hAnsi="Calibri" w:cs="Calibri"/>
                <w:color w:val="000000"/>
                <w:sz w:val="22"/>
                <w:szCs w:val="22"/>
              </w:rPr>
            </w:pPr>
            <w:r>
              <w:rPr>
                <w:rFonts w:ascii="Calibri" w:hAnsi="Calibri" w:cs="Calibri"/>
                <w:color w:val="000000"/>
                <w:sz w:val="22"/>
                <w:szCs w:val="22"/>
              </w:rPr>
              <w:t xml:space="preserve">BIO-1121  BIO-1222  PTA-1106 PTA-1112  PTA-1124  PTA-2211  PTA-2212  PTA-2226  PTA-2230  PTA-2238  SOC-1145                  </w:t>
            </w:r>
          </w:p>
        </w:tc>
        <w:tc>
          <w:tcPr>
            <w:tcW w:w="1430" w:type="dxa"/>
          </w:tcPr>
          <w:p w:rsidR="00587CE5" w:rsidRPr="004C52FC" w:rsidRDefault="00587CE5" w:rsidP="00587CE5">
            <w:pPr>
              <w:rPr>
                <w:rFonts w:asciiTheme="minorHAnsi" w:hAnsiTheme="minorHAnsi" w:cs="Arial"/>
                <w:color w:val="000000" w:themeColor="text1"/>
              </w:rPr>
            </w:pPr>
          </w:p>
        </w:tc>
        <w:tc>
          <w:tcPr>
            <w:tcW w:w="2250" w:type="dxa"/>
          </w:tcPr>
          <w:p w:rsidR="00587CE5" w:rsidRDefault="00587CE5" w:rsidP="00587CE5">
            <w:pPr>
              <w:rPr>
                <w:rFonts w:asciiTheme="minorHAnsi" w:hAnsiTheme="minorHAnsi" w:cs="Arial"/>
                <w:color w:val="000000" w:themeColor="text1"/>
              </w:rPr>
            </w:pPr>
            <w:r>
              <w:rPr>
                <w:rFonts w:asciiTheme="minorHAnsi" w:hAnsiTheme="minorHAnsi" w:cs="Arial"/>
                <w:color w:val="000000" w:themeColor="text1"/>
              </w:rPr>
              <w:t>-</w:t>
            </w:r>
            <w:r w:rsidR="00A503D8">
              <w:rPr>
                <w:rFonts w:asciiTheme="minorHAnsi" w:hAnsiTheme="minorHAnsi" w:cs="Arial"/>
                <w:color w:val="000000" w:themeColor="text1"/>
              </w:rPr>
              <w:t>Graduate Survey</w:t>
            </w:r>
          </w:p>
          <w:p w:rsidR="00587CE5" w:rsidRPr="00587CE5" w:rsidRDefault="00587CE5" w:rsidP="00587CE5">
            <w:pPr>
              <w:rPr>
                <w:rFonts w:asciiTheme="minorHAnsi" w:hAnsiTheme="minorHAnsi" w:cs="Arial"/>
                <w:color w:val="000000" w:themeColor="text1"/>
              </w:rPr>
            </w:pPr>
            <w:r>
              <w:rPr>
                <w:rFonts w:asciiTheme="minorHAnsi" w:hAnsiTheme="minorHAnsi" w:cs="Arial"/>
                <w:color w:val="000000" w:themeColor="text1"/>
              </w:rPr>
              <w:t>-Clinical Performance Instrument (CPI)</w:t>
            </w:r>
          </w:p>
        </w:tc>
        <w:tc>
          <w:tcPr>
            <w:tcW w:w="4028" w:type="dxa"/>
          </w:tcPr>
          <w:p w:rsidR="00587CE5" w:rsidRDefault="00587CE5" w:rsidP="00587CE5">
            <w:pPr>
              <w:ind w:left="72"/>
              <w:rPr>
                <w:rFonts w:asciiTheme="minorHAnsi" w:hAnsiTheme="minorHAnsi" w:cs="Arial"/>
                <w:color w:val="000000" w:themeColor="text1"/>
              </w:rPr>
            </w:pPr>
            <w:r>
              <w:rPr>
                <w:rFonts w:asciiTheme="minorHAnsi" w:hAnsiTheme="minorHAnsi" w:cs="Arial"/>
                <w:color w:val="000000" w:themeColor="text1"/>
              </w:rPr>
              <w:t xml:space="preserve">See </w:t>
            </w:r>
            <w:r w:rsidR="00967614">
              <w:rPr>
                <w:rFonts w:asciiTheme="minorHAnsi" w:hAnsiTheme="minorHAnsi" w:cs="Arial"/>
                <w:color w:val="000000" w:themeColor="text1"/>
              </w:rPr>
              <w:t>PTA Program Outcomes Data:</w:t>
            </w:r>
          </w:p>
          <w:p w:rsidR="006B6ABA" w:rsidRPr="004C52FC" w:rsidRDefault="006B6ABA" w:rsidP="00100CAB">
            <w:pPr>
              <w:ind w:left="72"/>
              <w:rPr>
                <w:rFonts w:asciiTheme="minorHAnsi" w:hAnsiTheme="minorHAnsi" w:cs="Arial"/>
                <w:color w:val="000000" w:themeColor="text1"/>
              </w:rPr>
            </w:pPr>
            <w:r>
              <w:rPr>
                <w:rFonts w:asciiTheme="minorHAnsi" w:hAnsiTheme="minorHAnsi" w:cs="Arial"/>
                <w:color w:val="000000" w:themeColor="text1"/>
              </w:rPr>
              <w:t xml:space="preserve">Safety is greatly emphasized in the program and </w:t>
            </w:r>
            <w:r w:rsidR="00967614">
              <w:rPr>
                <w:rFonts w:asciiTheme="minorHAnsi" w:hAnsiTheme="minorHAnsi" w:cs="Arial"/>
                <w:color w:val="000000" w:themeColor="text1"/>
              </w:rPr>
              <w:t>graduates</w:t>
            </w:r>
            <w:r>
              <w:rPr>
                <w:rFonts w:asciiTheme="minorHAnsi" w:hAnsiTheme="minorHAnsi" w:cs="Arial"/>
                <w:color w:val="000000" w:themeColor="text1"/>
              </w:rPr>
              <w:t xml:space="preserve"> rate it highest in importance compared to the other program outcomes</w:t>
            </w:r>
            <w:r w:rsidR="00967614">
              <w:rPr>
                <w:rFonts w:asciiTheme="minorHAnsi" w:hAnsiTheme="minorHAnsi" w:cs="Arial"/>
                <w:color w:val="000000" w:themeColor="text1"/>
              </w:rPr>
              <w:t xml:space="preserve"> (Figure </w:t>
            </w:r>
            <w:hyperlink w:anchor="Fig1" w:history="1">
              <w:r w:rsidR="00967614" w:rsidRPr="00780208">
                <w:rPr>
                  <w:rStyle w:val="Hyperlink"/>
                  <w:rFonts w:asciiTheme="minorHAnsi" w:hAnsiTheme="minorHAnsi" w:cs="Arial"/>
                </w:rPr>
                <w:t>1</w:t>
              </w:r>
            </w:hyperlink>
            <w:r w:rsidR="00967614">
              <w:rPr>
                <w:rFonts w:asciiTheme="minorHAnsi" w:hAnsiTheme="minorHAnsi" w:cs="Arial"/>
                <w:color w:val="000000" w:themeColor="text1"/>
              </w:rPr>
              <w:t>)</w:t>
            </w:r>
            <w:r>
              <w:rPr>
                <w:rFonts w:asciiTheme="minorHAnsi" w:hAnsiTheme="minorHAnsi" w:cs="Arial"/>
                <w:color w:val="000000" w:themeColor="text1"/>
              </w:rPr>
              <w:t xml:space="preserve">.  In terms of satisfaction of preparation and training, safety is rated second highest to Program Outcome #6, which deals with professional </w:t>
            </w:r>
            <w:r>
              <w:rPr>
                <w:rFonts w:asciiTheme="minorHAnsi" w:hAnsiTheme="minorHAnsi" w:cs="Arial"/>
                <w:color w:val="000000" w:themeColor="text1"/>
              </w:rPr>
              <w:lastRenderedPageBreak/>
              <w:t>behaviors and development</w:t>
            </w:r>
            <w:r w:rsidR="00967614">
              <w:rPr>
                <w:rFonts w:asciiTheme="minorHAnsi" w:hAnsiTheme="minorHAnsi" w:cs="Arial"/>
                <w:color w:val="000000" w:themeColor="text1"/>
              </w:rPr>
              <w:t xml:space="preserve"> (Figure </w:t>
            </w:r>
            <w:hyperlink w:anchor="Fig2" w:history="1">
              <w:r w:rsidR="00967614" w:rsidRPr="00780208">
                <w:rPr>
                  <w:rStyle w:val="Hyperlink"/>
                  <w:rFonts w:asciiTheme="minorHAnsi" w:hAnsiTheme="minorHAnsi" w:cs="Arial"/>
                </w:rPr>
                <w:t>2</w:t>
              </w:r>
            </w:hyperlink>
            <w:r w:rsidR="00967614">
              <w:rPr>
                <w:rFonts w:asciiTheme="minorHAnsi" w:hAnsiTheme="minorHAnsi" w:cs="Arial"/>
                <w:color w:val="000000" w:themeColor="text1"/>
              </w:rPr>
              <w:t>)</w:t>
            </w:r>
            <w:r>
              <w:rPr>
                <w:rFonts w:asciiTheme="minorHAnsi" w:hAnsiTheme="minorHAnsi" w:cs="Arial"/>
                <w:color w:val="000000" w:themeColor="text1"/>
              </w:rPr>
              <w:t xml:space="preserve">.  Additionally, </w:t>
            </w:r>
            <w:r w:rsidR="00967614">
              <w:rPr>
                <w:rFonts w:asciiTheme="minorHAnsi" w:hAnsiTheme="minorHAnsi" w:cs="Arial"/>
                <w:color w:val="000000" w:themeColor="text1"/>
              </w:rPr>
              <w:t xml:space="preserve">on average </w:t>
            </w:r>
            <w:r>
              <w:rPr>
                <w:rFonts w:asciiTheme="minorHAnsi" w:hAnsiTheme="minorHAnsi" w:cs="Arial"/>
                <w:color w:val="000000" w:themeColor="text1"/>
              </w:rPr>
              <w:t>students are rated highly in the CPI category of Safety on the first and second clinicals</w:t>
            </w:r>
            <w:r w:rsidR="00967614">
              <w:rPr>
                <w:rFonts w:asciiTheme="minorHAnsi" w:hAnsiTheme="minorHAnsi" w:cs="Arial"/>
                <w:color w:val="000000" w:themeColor="text1"/>
              </w:rPr>
              <w:t xml:space="preserve"> (Figure </w:t>
            </w:r>
            <w:hyperlink w:anchor="Fig31" w:history="1">
              <w:r w:rsidR="00967614" w:rsidRPr="00780208">
                <w:rPr>
                  <w:rStyle w:val="Hyperlink"/>
                  <w:rFonts w:asciiTheme="minorHAnsi" w:hAnsiTheme="minorHAnsi" w:cs="Arial"/>
                </w:rPr>
                <w:t>31</w:t>
              </w:r>
            </w:hyperlink>
            <w:r w:rsidR="00967614">
              <w:rPr>
                <w:rFonts w:asciiTheme="minorHAnsi" w:hAnsiTheme="minorHAnsi" w:cs="Arial"/>
                <w:color w:val="000000" w:themeColor="text1"/>
              </w:rPr>
              <w:t xml:space="preserve"> &amp; </w:t>
            </w:r>
            <w:hyperlink w:anchor="Fig32" w:history="1">
              <w:r w:rsidR="00967614" w:rsidRPr="00780208">
                <w:rPr>
                  <w:rStyle w:val="Hyperlink"/>
                  <w:rFonts w:asciiTheme="minorHAnsi" w:hAnsiTheme="minorHAnsi" w:cs="Arial"/>
                </w:rPr>
                <w:t>32</w:t>
              </w:r>
            </w:hyperlink>
            <w:r w:rsidR="00967614">
              <w:rPr>
                <w:rFonts w:asciiTheme="minorHAnsi" w:hAnsiTheme="minorHAnsi" w:cs="Arial"/>
                <w:color w:val="000000" w:themeColor="text1"/>
              </w:rPr>
              <w:t>)</w:t>
            </w:r>
            <w:r>
              <w:rPr>
                <w:rFonts w:asciiTheme="minorHAnsi" w:hAnsiTheme="minorHAnsi" w:cs="Arial"/>
                <w:color w:val="000000" w:themeColor="text1"/>
              </w:rPr>
              <w:t>.  In regard to interventions, students are rated lower in these CPI categories on the first clinical</w:t>
            </w:r>
            <w:r w:rsidR="00967614">
              <w:rPr>
                <w:rFonts w:asciiTheme="minorHAnsi" w:hAnsiTheme="minorHAnsi" w:cs="Arial"/>
                <w:color w:val="000000" w:themeColor="text1"/>
              </w:rPr>
              <w:t xml:space="preserve"> (Figure </w:t>
            </w:r>
            <w:hyperlink w:anchor="Fig31" w:history="1">
              <w:r w:rsidR="00967614" w:rsidRPr="00780208">
                <w:rPr>
                  <w:rStyle w:val="Hyperlink"/>
                  <w:rFonts w:asciiTheme="minorHAnsi" w:hAnsiTheme="minorHAnsi" w:cs="Arial"/>
                </w:rPr>
                <w:t>31</w:t>
              </w:r>
            </w:hyperlink>
            <w:r w:rsidR="00967614">
              <w:rPr>
                <w:rFonts w:asciiTheme="minorHAnsi" w:hAnsiTheme="minorHAnsi" w:cs="Arial"/>
                <w:color w:val="000000" w:themeColor="text1"/>
              </w:rPr>
              <w:t>)</w:t>
            </w:r>
            <w:r w:rsidR="00BD351F">
              <w:rPr>
                <w:rFonts w:asciiTheme="minorHAnsi" w:hAnsiTheme="minorHAnsi" w:cs="Arial"/>
                <w:color w:val="000000" w:themeColor="text1"/>
              </w:rPr>
              <w:t xml:space="preserve">.  On the second clinical, their scores close the gap between the other categories, but still fall just shy of the other categories </w:t>
            </w:r>
            <w:r w:rsidR="00100CAB">
              <w:rPr>
                <w:rFonts w:asciiTheme="minorHAnsi" w:hAnsiTheme="minorHAnsi" w:cs="Arial"/>
                <w:color w:val="000000" w:themeColor="text1"/>
              </w:rPr>
              <w:t>when comparing</w:t>
            </w:r>
            <w:r w:rsidR="00BD351F">
              <w:rPr>
                <w:rFonts w:asciiTheme="minorHAnsi" w:hAnsiTheme="minorHAnsi" w:cs="Arial"/>
                <w:color w:val="000000" w:themeColor="text1"/>
              </w:rPr>
              <w:t xml:space="preserve"> of average scores</w:t>
            </w:r>
            <w:r w:rsidR="00967614">
              <w:rPr>
                <w:rFonts w:asciiTheme="minorHAnsi" w:hAnsiTheme="minorHAnsi" w:cs="Arial"/>
                <w:color w:val="000000" w:themeColor="text1"/>
              </w:rPr>
              <w:t xml:space="preserve"> (Figure </w:t>
            </w:r>
            <w:hyperlink w:anchor="Fig32" w:history="1">
              <w:r w:rsidR="00967614" w:rsidRPr="00780208">
                <w:rPr>
                  <w:rStyle w:val="Hyperlink"/>
                  <w:rFonts w:asciiTheme="minorHAnsi" w:hAnsiTheme="minorHAnsi" w:cs="Arial"/>
                </w:rPr>
                <w:t>32</w:t>
              </w:r>
            </w:hyperlink>
            <w:r w:rsidR="00967614">
              <w:rPr>
                <w:rFonts w:asciiTheme="minorHAnsi" w:hAnsiTheme="minorHAnsi" w:cs="Arial"/>
                <w:color w:val="000000" w:themeColor="text1"/>
              </w:rPr>
              <w:t>)</w:t>
            </w:r>
            <w:r w:rsidR="00BD351F">
              <w:rPr>
                <w:rFonts w:asciiTheme="minorHAnsi" w:hAnsiTheme="minorHAnsi" w:cs="Arial"/>
                <w:color w:val="000000" w:themeColor="text1"/>
              </w:rPr>
              <w:t>.  The two lowest scoring Interventions categories at the final assessment of the second clinical are the Electrotherapeutic Modalities and the Physical Agents and Mechanical Modalities</w:t>
            </w:r>
            <w:r w:rsidR="00967614">
              <w:rPr>
                <w:rFonts w:asciiTheme="minorHAnsi" w:hAnsiTheme="minorHAnsi" w:cs="Arial"/>
                <w:color w:val="000000" w:themeColor="text1"/>
              </w:rPr>
              <w:t xml:space="preserve"> (Figure </w:t>
            </w:r>
            <w:hyperlink w:anchor="Fig32" w:history="1">
              <w:r w:rsidR="00967614" w:rsidRPr="00780208">
                <w:rPr>
                  <w:rStyle w:val="Hyperlink"/>
                  <w:rFonts w:asciiTheme="minorHAnsi" w:hAnsiTheme="minorHAnsi" w:cs="Arial"/>
                </w:rPr>
                <w:t>32</w:t>
              </w:r>
            </w:hyperlink>
            <w:r w:rsidR="00967614">
              <w:rPr>
                <w:rFonts w:asciiTheme="minorHAnsi" w:hAnsiTheme="minorHAnsi" w:cs="Arial"/>
                <w:color w:val="000000" w:themeColor="text1"/>
              </w:rPr>
              <w:t>)</w:t>
            </w:r>
            <w:r w:rsidR="00BD351F">
              <w:rPr>
                <w:rFonts w:asciiTheme="minorHAnsi" w:hAnsiTheme="minorHAnsi" w:cs="Arial"/>
                <w:color w:val="000000" w:themeColor="text1"/>
              </w:rPr>
              <w:t>.  These topics are covered in the same course and it is a course the program has struggled with for some time.  The issue is determining how in-depth the material should be to fit the needs of a working PTA.  This course is being given special consideration as the program faculty develop the new 65-credit hour curriculum.</w:t>
            </w:r>
            <w:r w:rsidR="00F03B73">
              <w:rPr>
                <w:rFonts w:asciiTheme="minorHAnsi" w:hAnsiTheme="minorHAnsi" w:cs="Arial"/>
                <w:color w:val="000000" w:themeColor="text1"/>
              </w:rPr>
              <w:t xml:space="preserve">  Every Intervention CPI category shows average final scores on the first clinical as increasing between 2012 </w:t>
            </w:r>
            <w:r w:rsidR="00F03B73">
              <w:rPr>
                <w:rFonts w:asciiTheme="minorHAnsi" w:hAnsiTheme="minorHAnsi" w:cs="Arial"/>
                <w:color w:val="000000" w:themeColor="text1"/>
              </w:rPr>
              <w:lastRenderedPageBreak/>
              <w:t xml:space="preserve">and 2014 (Figure </w:t>
            </w:r>
            <w:hyperlink w:anchor="Fig9" w:history="1">
              <w:r w:rsidR="00F03B73" w:rsidRPr="00780208">
                <w:rPr>
                  <w:rStyle w:val="Hyperlink"/>
                  <w:rFonts w:asciiTheme="minorHAnsi" w:hAnsiTheme="minorHAnsi" w:cs="Arial"/>
                </w:rPr>
                <w:t>9</w:t>
              </w:r>
            </w:hyperlink>
            <w:r w:rsidR="00F03B73">
              <w:rPr>
                <w:rFonts w:asciiTheme="minorHAnsi" w:hAnsiTheme="minorHAnsi" w:cs="Arial"/>
                <w:color w:val="000000" w:themeColor="text1"/>
              </w:rPr>
              <w:t>, 11, 13, 15, &amp; 17).  However, in all of the same categories, there is an overall decrease in the average final scores on the second clinical for the same time frame (Figure 10, 12, 14, 16, &amp; 18).</w:t>
            </w:r>
          </w:p>
        </w:tc>
      </w:tr>
    </w:tbl>
    <w:p w:rsidR="002E6B01" w:rsidRDefault="002E6B01">
      <w:pPr>
        <w:spacing w:after="200" w:line="276" w:lineRule="auto"/>
        <w:rPr>
          <w:rFonts w:ascii="Arial" w:hAnsi="Arial" w:cs="Arial"/>
          <w:b/>
          <w:color w:val="000000" w:themeColor="text1"/>
        </w:rPr>
        <w:sectPr w:rsidR="002E6B01" w:rsidSect="00EF15CD">
          <w:pgSz w:w="15840" w:h="12240" w:orient="landscape"/>
          <w:pgMar w:top="1440" w:right="1152" w:bottom="1440" w:left="1152" w:header="720" w:footer="288" w:gutter="0"/>
          <w:cols w:space="720"/>
          <w:docGrid w:linePitch="360"/>
        </w:sectPr>
      </w:pPr>
    </w:p>
    <w:p w:rsidR="001A2E6B" w:rsidRDefault="001A2E6B" w:rsidP="00D100D1">
      <w:pPr>
        <w:pStyle w:val="ListParagraph"/>
        <w:tabs>
          <w:tab w:val="left" w:pos="5040"/>
        </w:tabs>
        <w:ind w:left="0"/>
        <w:rPr>
          <w:rFonts w:ascii="Arial" w:hAnsi="Arial" w:cs="Arial"/>
          <w:color w:val="000000" w:themeColor="text1"/>
        </w:rPr>
      </w:pPr>
    </w:p>
    <w:p w:rsidR="00A201E2" w:rsidRDefault="00A201E2">
      <w:pPr>
        <w:spacing w:after="200" w:line="276" w:lineRule="auto"/>
        <w:rPr>
          <w:rFonts w:ascii="Arial" w:hAnsi="Arial" w:cs="Arial"/>
          <w:color w:val="000000" w:themeColor="text1"/>
        </w:rPr>
      </w:pPr>
    </w:p>
    <w:tbl>
      <w:tblPr>
        <w:tblStyle w:val="TableGrid"/>
        <w:tblW w:w="13275" w:type="dxa"/>
        <w:tblLayout w:type="fixed"/>
        <w:tblCellMar>
          <w:left w:w="115" w:type="dxa"/>
          <w:right w:w="115" w:type="dxa"/>
        </w:tblCellMar>
        <w:tblLook w:val="04A0" w:firstRow="1" w:lastRow="0" w:firstColumn="1" w:lastColumn="0" w:noHBand="0" w:noVBand="1"/>
      </w:tblPr>
      <w:tblGrid>
        <w:gridCol w:w="3741"/>
        <w:gridCol w:w="9534"/>
      </w:tblGrid>
      <w:tr w:rsidR="00E7096B" w:rsidTr="00E7096B">
        <w:trPr>
          <w:trHeight w:val="72"/>
        </w:trPr>
        <w:tc>
          <w:tcPr>
            <w:tcW w:w="370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rsidR="00E7096B" w:rsidRDefault="00E7096B">
            <w:pPr>
              <w:tabs>
                <w:tab w:val="left" w:pos="5040"/>
              </w:tabs>
              <w:rPr>
                <w:rFonts w:ascii="Arial" w:hAnsi="Arial" w:cs="Arial"/>
                <w:b/>
                <w:color w:val="000000" w:themeColor="text1"/>
              </w:rPr>
            </w:pPr>
            <w:r>
              <w:rPr>
                <w:rFonts w:ascii="Arial" w:hAnsi="Arial" w:cs="Arial"/>
                <w:b/>
                <w:color w:val="000000" w:themeColor="text1"/>
              </w:rPr>
              <w:t xml:space="preserve">Are changes planned as a result of the assessment of program outcomes?  If so, what are those changes? </w:t>
            </w:r>
          </w:p>
          <w:p w:rsidR="00E7096B" w:rsidRDefault="00E7096B">
            <w:pPr>
              <w:rPr>
                <w:rFonts w:ascii="Calibri" w:hAnsi="Calibri" w:cs="Calibri"/>
                <w:color w:val="000000"/>
                <w:sz w:val="22"/>
                <w:szCs w:val="22"/>
              </w:rPr>
            </w:pPr>
          </w:p>
        </w:tc>
        <w:tc>
          <w:tcPr>
            <w:tcW w:w="94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rsidR="00E7096B" w:rsidRDefault="00017E7C">
            <w:pPr>
              <w:pStyle w:val="ListParagraph"/>
              <w:tabs>
                <w:tab w:val="left" w:pos="5040"/>
              </w:tabs>
              <w:ind w:left="0"/>
              <w:rPr>
                <w:rFonts w:ascii="Arial" w:hAnsi="Arial" w:cs="Arial"/>
                <w:color w:val="000000" w:themeColor="text1"/>
              </w:rPr>
            </w:pPr>
            <w:r>
              <w:rPr>
                <w:rFonts w:ascii="Arial" w:hAnsi="Arial" w:cs="Arial"/>
                <w:color w:val="000000" w:themeColor="text1"/>
              </w:rPr>
              <w:t>Many changes will be occurring with the new 65-credit hour curriculum.  Among them are the following:</w:t>
            </w:r>
          </w:p>
          <w:p w:rsidR="00017E7C" w:rsidRDefault="00017E7C" w:rsidP="00017E7C">
            <w:pPr>
              <w:pStyle w:val="ListParagraph"/>
              <w:numPr>
                <w:ilvl w:val="0"/>
                <w:numId w:val="20"/>
              </w:numPr>
              <w:tabs>
                <w:tab w:val="left" w:pos="5040"/>
              </w:tabs>
              <w:rPr>
                <w:rFonts w:ascii="Arial" w:hAnsi="Arial" w:cs="Arial"/>
                <w:color w:val="000000" w:themeColor="text1"/>
              </w:rPr>
            </w:pPr>
            <w:r>
              <w:rPr>
                <w:rFonts w:ascii="Arial" w:hAnsi="Arial" w:cs="Arial"/>
                <w:color w:val="000000" w:themeColor="text1"/>
              </w:rPr>
              <w:t>Increased student exposure and use of electronic documentation.</w:t>
            </w:r>
          </w:p>
          <w:p w:rsidR="00017E7C" w:rsidRDefault="00017E7C" w:rsidP="00F7013F">
            <w:pPr>
              <w:pStyle w:val="ListParagraph"/>
              <w:numPr>
                <w:ilvl w:val="0"/>
                <w:numId w:val="20"/>
              </w:numPr>
              <w:tabs>
                <w:tab w:val="left" w:pos="5040"/>
              </w:tabs>
              <w:rPr>
                <w:rFonts w:ascii="Arial" w:hAnsi="Arial" w:cs="Arial"/>
                <w:color w:val="000000" w:themeColor="text1"/>
              </w:rPr>
            </w:pPr>
            <w:r>
              <w:rPr>
                <w:rFonts w:ascii="Arial" w:hAnsi="Arial" w:cs="Arial"/>
                <w:color w:val="000000" w:themeColor="text1"/>
              </w:rPr>
              <w:t xml:space="preserve">Currently, the only courses students take between their first and second clinical are lecture courses (Professional Issues II and Practice Management).  </w:t>
            </w:r>
            <w:r w:rsidR="00F7013F">
              <w:rPr>
                <w:rFonts w:ascii="Arial" w:hAnsi="Arial" w:cs="Arial"/>
                <w:color w:val="000000" w:themeColor="text1"/>
              </w:rPr>
              <w:t>The CPI data shows</w:t>
            </w:r>
            <w:r>
              <w:rPr>
                <w:rFonts w:ascii="Arial" w:hAnsi="Arial" w:cs="Arial"/>
                <w:color w:val="000000" w:themeColor="text1"/>
              </w:rPr>
              <w:t xml:space="preserve"> a decrease in </w:t>
            </w:r>
            <w:r w:rsidR="00F7013F">
              <w:rPr>
                <w:rFonts w:ascii="Arial" w:hAnsi="Arial" w:cs="Arial"/>
                <w:color w:val="000000" w:themeColor="text1"/>
              </w:rPr>
              <w:t xml:space="preserve">average </w:t>
            </w:r>
            <w:r>
              <w:rPr>
                <w:rFonts w:ascii="Arial" w:hAnsi="Arial" w:cs="Arial"/>
                <w:color w:val="000000" w:themeColor="text1"/>
              </w:rPr>
              <w:t xml:space="preserve">scores during the second clinical in the areas of </w:t>
            </w:r>
            <w:r w:rsidR="00F7013F">
              <w:rPr>
                <w:rFonts w:ascii="Arial" w:hAnsi="Arial" w:cs="Arial"/>
                <w:color w:val="000000" w:themeColor="text1"/>
              </w:rPr>
              <w:t>Documentation, Resource Management, Accountability, and all of the Intervention categories.  It would seem the program needs to seriously consider whether one of the curricular changes includes a lab course between the two clinicals, two clinicals that occur back to back, or some other option that requires students to continue to hone their clinical skills in between clinical experiences.  This change would benefit Clinical Problem Solving as well.</w:t>
            </w:r>
          </w:p>
          <w:p w:rsidR="00F7013F" w:rsidRDefault="00F7013F" w:rsidP="00F7013F">
            <w:pPr>
              <w:pStyle w:val="ListParagraph"/>
              <w:tabs>
                <w:tab w:val="left" w:pos="5040"/>
              </w:tabs>
              <w:rPr>
                <w:rFonts w:ascii="Arial" w:hAnsi="Arial" w:cs="Arial"/>
                <w:color w:val="000000" w:themeColor="text1"/>
              </w:rPr>
            </w:pPr>
          </w:p>
        </w:tc>
      </w:tr>
      <w:tr w:rsidR="00E7096B" w:rsidTr="00E7096B">
        <w:trPr>
          <w:trHeight w:val="72"/>
        </w:trPr>
        <w:tc>
          <w:tcPr>
            <w:tcW w:w="370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rsidR="00E7096B" w:rsidRDefault="00E7096B">
            <w:pPr>
              <w:tabs>
                <w:tab w:val="left" w:pos="5040"/>
              </w:tabs>
              <w:rPr>
                <w:rFonts w:ascii="Arial" w:hAnsi="Arial" w:cs="Arial"/>
                <w:b/>
                <w:color w:val="000000" w:themeColor="text1"/>
              </w:rPr>
            </w:pPr>
            <w:r>
              <w:rPr>
                <w:rFonts w:ascii="Arial" w:hAnsi="Arial" w:cs="Arial"/>
                <w:b/>
                <w:color w:val="000000" w:themeColor="text1"/>
              </w:rPr>
              <w:t xml:space="preserve">How will you determine whether those changes had an impact? </w:t>
            </w:r>
          </w:p>
          <w:p w:rsidR="00E7096B" w:rsidRDefault="00E7096B">
            <w:pPr>
              <w:rPr>
                <w:rFonts w:ascii="Calibri" w:hAnsi="Calibri" w:cs="Calibri"/>
                <w:color w:val="000000"/>
                <w:sz w:val="22"/>
                <w:szCs w:val="22"/>
              </w:rPr>
            </w:pPr>
          </w:p>
        </w:tc>
        <w:tc>
          <w:tcPr>
            <w:tcW w:w="94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rsidR="00E7096B" w:rsidRDefault="00F7013F">
            <w:pPr>
              <w:pStyle w:val="ListParagraph"/>
              <w:tabs>
                <w:tab w:val="left" w:pos="5040"/>
              </w:tabs>
              <w:ind w:left="0"/>
              <w:rPr>
                <w:rFonts w:ascii="Arial" w:hAnsi="Arial" w:cs="Arial"/>
                <w:color w:val="000000" w:themeColor="text1"/>
              </w:rPr>
            </w:pPr>
            <w:r>
              <w:rPr>
                <w:rFonts w:ascii="Arial" w:hAnsi="Arial" w:cs="Arial"/>
                <w:color w:val="000000" w:themeColor="text1"/>
              </w:rPr>
              <w:t>Continued tracking and analysis of Graduate Surveys, CPI data, graduation rate</w:t>
            </w:r>
            <w:r w:rsidR="00100CAB">
              <w:rPr>
                <w:rFonts w:ascii="Arial" w:hAnsi="Arial" w:cs="Arial"/>
                <w:color w:val="000000" w:themeColor="text1"/>
              </w:rPr>
              <w:t>s</w:t>
            </w:r>
            <w:r>
              <w:rPr>
                <w:rFonts w:ascii="Arial" w:hAnsi="Arial" w:cs="Arial"/>
                <w:color w:val="000000" w:themeColor="text1"/>
              </w:rPr>
              <w:t>, and licensure passage rate</w:t>
            </w:r>
            <w:r w:rsidR="00100CAB">
              <w:rPr>
                <w:rFonts w:ascii="Arial" w:hAnsi="Arial" w:cs="Arial"/>
                <w:color w:val="000000" w:themeColor="text1"/>
              </w:rPr>
              <w:t>s</w:t>
            </w:r>
            <w:r>
              <w:rPr>
                <w:rFonts w:ascii="Arial" w:hAnsi="Arial" w:cs="Arial"/>
                <w:color w:val="000000" w:themeColor="text1"/>
              </w:rPr>
              <w:t xml:space="preserve"> will be used to determine whether these changes had an impact.</w:t>
            </w:r>
          </w:p>
        </w:tc>
      </w:tr>
    </w:tbl>
    <w:p w:rsidR="004D531F" w:rsidRDefault="004D531F" w:rsidP="00FA24D1">
      <w:pPr>
        <w:pStyle w:val="ListParagraph"/>
        <w:tabs>
          <w:tab w:val="left" w:pos="5040"/>
        </w:tabs>
        <w:rPr>
          <w:rFonts w:ascii="Arial" w:hAnsi="Arial" w:cs="Arial"/>
          <w:b/>
          <w:color w:val="000000" w:themeColor="text1"/>
        </w:rPr>
        <w:sectPr w:rsidR="004D531F" w:rsidSect="00E7096B">
          <w:pgSz w:w="15840" w:h="12240" w:orient="landscape"/>
          <w:pgMar w:top="1440" w:right="1152" w:bottom="1440" w:left="1152" w:header="720" w:footer="288" w:gutter="0"/>
          <w:cols w:space="720"/>
          <w:docGrid w:linePitch="360"/>
        </w:sectPr>
      </w:pPr>
    </w:p>
    <w:p w:rsidR="00847243" w:rsidRDefault="00174C4B" w:rsidP="00FA24D1">
      <w:pPr>
        <w:pStyle w:val="ListParagraph"/>
        <w:tabs>
          <w:tab w:val="left" w:pos="5040"/>
        </w:tabs>
        <w:rPr>
          <w:rFonts w:ascii="Arial" w:hAnsi="Arial" w:cs="Arial"/>
          <w:b/>
          <w:color w:val="000000" w:themeColor="text1"/>
        </w:rPr>
      </w:pPr>
      <w:r w:rsidRPr="00174C4B">
        <w:rPr>
          <w:rFonts w:ascii="Arial" w:hAnsi="Arial" w:cs="Arial"/>
          <w:b/>
          <w:color w:val="000000" w:themeColor="text1"/>
        </w:rPr>
        <w:lastRenderedPageBreak/>
        <w:t>APPENDIX – PROGRAM COMPLETION AND SUCCESS RATE DATA</w:t>
      </w:r>
    </w:p>
    <w:p w:rsidR="00174C4B" w:rsidRDefault="00174C4B" w:rsidP="00FA24D1">
      <w:pPr>
        <w:pStyle w:val="ListParagraph"/>
        <w:tabs>
          <w:tab w:val="left" w:pos="5040"/>
        </w:tabs>
        <w:rPr>
          <w:rFonts w:ascii="Arial" w:hAnsi="Arial" w:cs="Arial"/>
          <w:b/>
          <w:color w:val="000000" w:themeColor="text1"/>
        </w:rPr>
      </w:pPr>
    </w:p>
    <w:p w:rsidR="00174C4B" w:rsidRDefault="00174C4B" w:rsidP="00174C4B">
      <w:pPr>
        <w:rPr>
          <w:rFonts w:ascii="Arial" w:hAnsi="Arial" w:cs="Arial"/>
          <w:color w:val="000000" w:themeColor="text1"/>
        </w:rPr>
      </w:pPr>
    </w:p>
    <w:p w:rsidR="00174C4B" w:rsidRPr="00174C4B" w:rsidRDefault="00174C4B" w:rsidP="00174C4B">
      <w:pPr>
        <w:rPr>
          <w:rFonts w:ascii="Arial" w:hAnsi="Arial" w:cs="Arial"/>
          <w:b/>
          <w:color w:val="000000" w:themeColor="text1"/>
        </w:rPr>
      </w:pPr>
      <w:r w:rsidRPr="00174C4B">
        <w:rPr>
          <w:rFonts w:ascii="Arial" w:hAnsi="Arial" w:cs="Arial"/>
          <w:b/>
          <w:color w:val="000000" w:themeColor="text1"/>
        </w:rPr>
        <w:t>Degree and Certificate Completion</w:t>
      </w:r>
    </w:p>
    <w:p w:rsidR="004D531F" w:rsidRDefault="004D531F" w:rsidP="00B61D81">
      <w:pPr>
        <w:rPr>
          <w:rFonts w:ascii="Arial" w:hAnsi="Arial" w:cs="Arial"/>
          <w:b/>
          <w:color w:val="000000" w:themeColor="text1"/>
        </w:rPr>
      </w:pPr>
    </w:p>
    <w:tbl>
      <w:tblPr>
        <w:tblW w:w="13060" w:type="dxa"/>
        <w:tblInd w:w="108" w:type="dxa"/>
        <w:tblLook w:val="04A0" w:firstRow="1" w:lastRow="0" w:firstColumn="1" w:lastColumn="0" w:noHBand="0" w:noVBand="1"/>
      </w:tblPr>
      <w:tblGrid>
        <w:gridCol w:w="960"/>
        <w:gridCol w:w="1307"/>
        <w:gridCol w:w="3220"/>
        <w:gridCol w:w="2320"/>
        <w:gridCol w:w="760"/>
        <w:gridCol w:w="760"/>
        <w:gridCol w:w="760"/>
        <w:gridCol w:w="760"/>
        <w:gridCol w:w="760"/>
        <w:gridCol w:w="760"/>
        <w:gridCol w:w="760"/>
      </w:tblGrid>
      <w:tr w:rsidR="00DF401A" w:rsidRPr="00DF401A" w:rsidTr="00DF401A">
        <w:trPr>
          <w:trHeight w:val="600"/>
        </w:trPr>
        <w:tc>
          <w:tcPr>
            <w:tcW w:w="960" w:type="dxa"/>
            <w:tcBorders>
              <w:top w:val="nil"/>
              <w:left w:val="nil"/>
              <w:bottom w:val="nil"/>
              <w:right w:val="nil"/>
            </w:tcBorders>
            <w:shd w:val="clear" w:color="auto" w:fill="auto"/>
            <w:noWrap/>
            <w:hideMark/>
          </w:tcPr>
          <w:p w:rsidR="00DF401A" w:rsidRPr="00DF401A" w:rsidRDefault="00DF401A" w:rsidP="00DF401A">
            <w:pPr>
              <w:rPr>
                <w:rFonts w:ascii="Calibri" w:hAnsi="Calibri"/>
                <w:color w:val="000000"/>
                <w:sz w:val="22"/>
                <w:szCs w:val="22"/>
              </w:rPr>
            </w:pPr>
            <w:r w:rsidRPr="00DF401A">
              <w:rPr>
                <w:rFonts w:ascii="Calibri" w:hAnsi="Calibri"/>
                <w:color w:val="000000"/>
                <w:sz w:val="22"/>
                <w:szCs w:val="22"/>
              </w:rPr>
              <w:t>Division</w:t>
            </w:r>
          </w:p>
        </w:tc>
        <w:tc>
          <w:tcPr>
            <w:tcW w:w="1240" w:type="dxa"/>
            <w:tcBorders>
              <w:top w:val="nil"/>
              <w:left w:val="nil"/>
              <w:bottom w:val="nil"/>
              <w:right w:val="nil"/>
            </w:tcBorders>
            <w:shd w:val="clear" w:color="auto" w:fill="auto"/>
            <w:noWrap/>
            <w:hideMark/>
          </w:tcPr>
          <w:p w:rsidR="00DF401A" w:rsidRPr="00DF401A" w:rsidRDefault="00DF401A" w:rsidP="00DF401A">
            <w:pPr>
              <w:rPr>
                <w:rFonts w:ascii="Calibri" w:hAnsi="Calibri"/>
                <w:color w:val="000000"/>
                <w:sz w:val="22"/>
                <w:szCs w:val="22"/>
              </w:rPr>
            </w:pPr>
            <w:r w:rsidRPr="00DF401A">
              <w:rPr>
                <w:rFonts w:ascii="Calibri" w:hAnsi="Calibri"/>
                <w:color w:val="000000"/>
                <w:sz w:val="22"/>
                <w:szCs w:val="22"/>
              </w:rPr>
              <w:t>Department</w:t>
            </w:r>
          </w:p>
        </w:tc>
        <w:tc>
          <w:tcPr>
            <w:tcW w:w="3220" w:type="dxa"/>
            <w:tcBorders>
              <w:top w:val="nil"/>
              <w:left w:val="nil"/>
              <w:bottom w:val="nil"/>
              <w:right w:val="nil"/>
            </w:tcBorders>
            <w:shd w:val="clear" w:color="auto" w:fill="auto"/>
            <w:noWrap/>
            <w:hideMark/>
          </w:tcPr>
          <w:p w:rsidR="00DF401A" w:rsidRPr="00DF401A" w:rsidRDefault="00DF401A" w:rsidP="00DF401A">
            <w:pPr>
              <w:rPr>
                <w:rFonts w:ascii="Calibri" w:hAnsi="Calibri"/>
                <w:color w:val="000000"/>
                <w:sz w:val="22"/>
                <w:szCs w:val="22"/>
              </w:rPr>
            </w:pPr>
            <w:r w:rsidRPr="00DF401A">
              <w:rPr>
                <w:rFonts w:ascii="Calibri" w:hAnsi="Calibri"/>
                <w:color w:val="000000"/>
                <w:sz w:val="22"/>
                <w:szCs w:val="22"/>
              </w:rPr>
              <w:t>Department Name</w:t>
            </w:r>
          </w:p>
        </w:tc>
        <w:tc>
          <w:tcPr>
            <w:tcW w:w="2320" w:type="dxa"/>
            <w:tcBorders>
              <w:top w:val="nil"/>
              <w:left w:val="nil"/>
              <w:bottom w:val="nil"/>
              <w:right w:val="nil"/>
            </w:tcBorders>
            <w:shd w:val="clear" w:color="auto" w:fill="auto"/>
            <w:noWrap/>
            <w:hideMark/>
          </w:tcPr>
          <w:p w:rsidR="00DF401A" w:rsidRPr="00DF401A" w:rsidRDefault="00DF401A" w:rsidP="00DF401A">
            <w:pPr>
              <w:rPr>
                <w:rFonts w:ascii="Calibri" w:hAnsi="Calibri"/>
                <w:color w:val="000000"/>
                <w:sz w:val="22"/>
                <w:szCs w:val="22"/>
              </w:rPr>
            </w:pPr>
            <w:r w:rsidRPr="00DF401A">
              <w:rPr>
                <w:rFonts w:ascii="Calibri" w:hAnsi="Calibri"/>
                <w:color w:val="000000"/>
                <w:sz w:val="22"/>
                <w:szCs w:val="22"/>
              </w:rPr>
              <w:t>Program</w:t>
            </w:r>
          </w:p>
        </w:tc>
        <w:tc>
          <w:tcPr>
            <w:tcW w:w="760" w:type="dxa"/>
            <w:tcBorders>
              <w:top w:val="nil"/>
              <w:left w:val="nil"/>
              <w:bottom w:val="nil"/>
              <w:right w:val="nil"/>
            </w:tcBorders>
            <w:shd w:val="clear" w:color="auto" w:fill="auto"/>
            <w:hideMark/>
          </w:tcPr>
          <w:p w:rsidR="00DF401A" w:rsidRPr="00DF401A" w:rsidRDefault="00DF401A" w:rsidP="00DF401A">
            <w:pPr>
              <w:jc w:val="center"/>
              <w:rPr>
                <w:rFonts w:ascii="Calibri" w:hAnsi="Calibri"/>
                <w:color w:val="000000"/>
                <w:sz w:val="22"/>
                <w:szCs w:val="22"/>
              </w:rPr>
            </w:pPr>
            <w:r w:rsidRPr="00DF401A">
              <w:rPr>
                <w:rFonts w:ascii="Calibri" w:hAnsi="Calibri"/>
                <w:color w:val="000000"/>
                <w:sz w:val="22"/>
                <w:szCs w:val="22"/>
              </w:rPr>
              <w:t>FY 07-08</w:t>
            </w:r>
          </w:p>
        </w:tc>
        <w:tc>
          <w:tcPr>
            <w:tcW w:w="760" w:type="dxa"/>
            <w:tcBorders>
              <w:top w:val="nil"/>
              <w:left w:val="nil"/>
              <w:bottom w:val="nil"/>
              <w:right w:val="nil"/>
            </w:tcBorders>
            <w:shd w:val="clear" w:color="auto" w:fill="auto"/>
            <w:hideMark/>
          </w:tcPr>
          <w:p w:rsidR="00DF401A" w:rsidRPr="00DF401A" w:rsidRDefault="00DF401A" w:rsidP="00DF401A">
            <w:pPr>
              <w:jc w:val="center"/>
              <w:rPr>
                <w:rFonts w:ascii="Calibri" w:hAnsi="Calibri"/>
                <w:color w:val="000000"/>
                <w:sz w:val="22"/>
                <w:szCs w:val="22"/>
              </w:rPr>
            </w:pPr>
            <w:r w:rsidRPr="00DF401A">
              <w:rPr>
                <w:rFonts w:ascii="Calibri" w:hAnsi="Calibri"/>
                <w:color w:val="000000"/>
                <w:sz w:val="22"/>
                <w:szCs w:val="22"/>
              </w:rPr>
              <w:t>FY 08-09</w:t>
            </w:r>
          </w:p>
        </w:tc>
        <w:tc>
          <w:tcPr>
            <w:tcW w:w="760" w:type="dxa"/>
            <w:tcBorders>
              <w:top w:val="nil"/>
              <w:left w:val="nil"/>
              <w:bottom w:val="nil"/>
              <w:right w:val="nil"/>
            </w:tcBorders>
            <w:shd w:val="clear" w:color="auto" w:fill="auto"/>
            <w:hideMark/>
          </w:tcPr>
          <w:p w:rsidR="00DF401A" w:rsidRPr="00DF401A" w:rsidRDefault="00DF401A" w:rsidP="00DF401A">
            <w:pPr>
              <w:jc w:val="center"/>
              <w:rPr>
                <w:rFonts w:ascii="Calibri" w:hAnsi="Calibri"/>
                <w:color w:val="000000"/>
                <w:sz w:val="22"/>
                <w:szCs w:val="22"/>
              </w:rPr>
            </w:pPr>
            <w:r w:rsidRPr="00DF401A">
              <w:rPr>
                <w:rFonts w:ascii="Calibri" w:hAnsi="Calibri"/>
                <w:color w:val="000000"/>
                <w:sz w:val="22"/>
                <w:szCs w:val="22"/>
              </w:rPr>
              <w:t>FY 09-10</w:t>
            </w:r>
          </w:p>
        </w:tc>
        <w:tc>
          <w:tcPr>
            <w:tcW w:w="760" w:type="dxa"/>
            <w:tcBorders>
              <w:top w:val="nil"/>
              <w:left w:val="nil"/>
              <w:bottom w:val="nil"/>
              <w:right w:val="nil"/>
            </w:tcBorders>
            <w:shd w:val="clear" w:color="auto" w:fill="auto"/>
            <w:hideMark/>
          </w:tcPr>
          <w:p w:rsidR="00DF401A" w:rsidRPr="00DF401A" w:rsidRDefault="00DF401A" w:rsidP="00DF401A">
            <w:pPr>
              <w:jc w:val="center"/>
              <w:rPr>
                <w:rFonts w:ascii="Calibri" w:hAnsi="Calibri"/>
                <w:color w:val="000000"/>
                <w:sz w:val="22"/>
                <w:szCs w:val="22"/>
              </w:rPr>
            </w:pPr>
            <w:r w:rsidRPr="00DF401A">
              <w:rPr>
                <w:rFonts w:ascii="Calibri" w:hAnsi="Calibri"/>
                <w:color w:val="000000"/>
                <w:sz w:val="22"/>
                <w:szCs w:val="22"/>
              </w:rPr>
              <w:t>FY 10-11</w:t>
            </w:r>
          </w:p>
        </w:tc>
        <w:tc>
          <w:tcPr>
            <w:tcW w:w="760" w:type="dxa"/>
            <w:tcBorders>
              <w:top w:val="nil"/>
              <w:left w:val="nil"/>
              <w:bottom w:val="nil"/>
              <w:right w:val="nil"/>
            </w:tcBorders>
            <w:shd w:val="clear" w:color="auto" w:fill="auto"/>
            <w:hideMark/>
          </w:tcPr>
          <w:p w:rsidR="00DF401A" w:rsidRPr="00DF401A" w:rsidRDefault="00DF401A" w:rsidP="00DF401A">
            <w:pPr>
              <w:jc w:val="center"/>
              <w:rPr>
                <w:rFonts w:ascii="Calibri" w:hAnsi="Calibri"/>
                <w:color w:val="000000"/>
                <w:sz w:val="22"/>
                <w:szCs w:val="22"/>
              </w:rPr>
            </w:pPr>
            <w:r w:rsidRPr="00DF401A">
              <w:rPr>
                <w:rFonts w:ascii="Calibri" w:hAnsi="Calibri"/>
                <w:color w:val="000000"/>
                <w:sz w:val="22"/>
                <w:szCs w:val="22"/>
              </w:rPr>
              <w:t>FY 11-12</w:t>
            </w:r>
          </w:p>
        </w:tc>
        <w:tc>
          <w:tcPr>
            <w:tcW w:w="760" w:type="dxa"/>
            <w:tcBorders>
              <w:top w:val="nil"/>
              <w:left w:val="nil"/>
              <w:bottom w:val="nil"/>
              <w:right w:val="nil"/>
            </w:tcBorders>
            <w:shd w:val="clear" w:color="auto" w:fill="auto"/>
            <w:hideMark/>
          </w:tcPr>
          <w:p w:rsidR="00DF401A" w:rsidRPr="00DF401A" w:rsidRDefault="00DF401A" w:rsidP="00DF401A">
            <w:pPr>
              <w:jc w:val="center"/>
              <w:rPr>
                <w:rFonts w:ascii="Calibri" w:hAnsi="Calibri"/>
                <w:color w:val="000000"/>
                <w:sz w:val="22"/>
                <w:szCs w:val="22"/>
              </w:rPr>
            </w:pPr>
            <w:r w:rsidRPr="00DF401A">
              <w:rPr>
                <w:rFonts w:ascii="Calibri" w:hAnsi="Calibri"/>
                <w:color w:val="000000"/>
                <w:sz w:val="22"/>
                <w:szCs w:val="22"/>
              </w:rPr>
              <w:t>FY 12-13</w:t>
            </w:r>
          </w:p>
        </w:tc>
        <w:tc>
          <w:tcPr>
            <w:tcW w:w="760" w:type="dxa"/>
            <w:tcBorders>
              <w:top w:val="nil"/>
              <w:left w:val="nil"/>
              <w:bottom w:val="nil"/>
              <w:right w:val="nil"/>
            </w:tcBorders>
            <w:shd w:val="clear" w:color="auto" w:fill="auto"/>
            <w:hideMark/>
          </w:tcPr>
          <w:p w:rsidR="00DF401A" w:rsidRPr="00DF401A" w:rsidRDefault="00DF401A" w:rsidP="00DF401A">
            <w:pPr>
              <w:jc w:val="center"/>
              <w:rPr>
                <w:rFonts w:ascii="Calibri" w:hAnsi="Calibri"/>
                <w:color w:val="000000"/>
                <w:sz w:val="22"/>
                <w:szCs w:val="22"/>
              </w:rPr>
            </w:pPr>
            <w:r w:rsidRPr="00DF401A">
              <w:rPr>
                <w:rFonts w:ascii="Calibri" w:hAnsi="Calibri"/>
                <w:color w:val="000000"/>
                <w:sz w:val="22"/>
                <w:szCs w:val="22"/>
              </w:rPr>
              <w:t>FY 13-14</w:t>
            </w:r>
          </w:p>
        </w:tc>
      </w:tr>
      <w:tr w:rsidR="00DF401A" w:rsidRPr="00DF401A" w:rsidTr="00DF401A">
        <w:trPr>
          <w:trHeight w:val="300"/>
        </w:trPr>
        <w:tc>
          <w:tcPr>
            <w:tcW w:w="960" w:type="dxa"/>
            <w:tcBorders>
              <w:top w:val="nil"/>
              <w:left w:val="nil"/>
              <w:bottom w:val="nil"/>
              <w:right w:val="nil"/>
            </w:tcBorders>
            <w:shd w:val="clear" w:color="auto" w:fill="auto"/>
            <w:noWrap/>
            <w:vAlign w:val="bottom"/>
            <w:hideMark/>
          </w:tcPr>
          <w:p w:rsidR="00DF401A" w:rsidRPr="00DF401A" w:rsidRDefault="00DF401A" w:rsidP="00DF401A">
            <w:pPr>
              <w:rPr>
                <w:rFonts w:ascii="Calibri" w:hAnsi="Calibri"/>
                <w:color w:val="000000"/>
                <w:sz w:val="22"/>
                <w:szCs w:val="22"/>
              </w:rPr>
            </w:pPr>
            <w:r w:rsidRPr="00DF401A">
              <w:rPr>
                <w:rFonts w:ascii="Calibri" w:hAnsi="Calibri"/>
                <w:color w:val="000000"/>
                <w:sz w:val="22"/>
                <w:szCs w:val="22"/>
              </w:rPr>
              <w:t>HS</w:t>
            </w:r>
          </w:p>
        </w:tc>
        <w:tc>
          <w:tcPr>
            <w:tcW w:w="1240" w:type="dxa"/>
            <w:tcBorders>
              <w:top w:val="nil"/>
              <w:left w:val="nil"/>
              <w:bottom w:val="nil"/>
              <w:right w:val="nil"/>
            </w:tcBorders>
            <w:shd w:val="clear" w:color="auto" w:fill="auto"/>
            <w:noWrap/>
            <w:vAlign w:val="bottom"/>
            <w:hideMark/>
          </w:tcPr>
          <w:p w:rsidR="00DF401A" w:rsidRPr="00DF401A" w:rsidRDefault="00DF401A" w:rsidP="00DF401A">
            <w:pPr>
              <w:rPr>
                <w:rFonts w:ascii="Calibri" w:hAnsi="Calibri"/>
                <w:color w:val="000000"/>
                <w:sz w:val="22"/>
                <w:szCs w:val="22"/>
              </w:rPr>
            </w:pPr>
            <w:r w:rsidRPr="00DF401A">
              <w:rPr>
                <w:rFonts w:ascii="Calibri" w:hAnsi="Calibri"/>
                <w:color w:val="000000"/>
                <w:sz w:val="22"/>
                <w:szCs w:val="22"/>
              </w:rPr>
              <w:t>0681</w:t>
            </w:r>
          </w:p>
        </w:tc>
        <w:tc>
          <w:tcPr>
            <w:tcW w:w="3220" w:type="dxa"/>
            <w:tcBorders>
              <w:top w:val="nil"/>
              <w:left w:val="nil"/>
              <w:bottom w:val="nil"/>
              <w:right w:val="nil"/>
            </w:tcBorders>
            <w:shd w:val="clear" w:color="auto" w:fill="auto"/>
            <w:noWrap/>
            <w:vAlign w:val="bottom"/>
            <w:hideMark/>
          </w:tcPr>
          <w:p w:rsidR="00DF401A" w:rsidRPr="00DF401A" w:rsidRDefault="00DF401A" w:rsidP="00DF401A">
            <w:pPr>
              <w:rPr>
                <w:rFonts w:ascii="Calibri" w:hAnsi="Calibri"/>
                <w:color w:val="000000"/>
                <w:sz w:val="22"/>
                <w:szCs w:val="22"/>
              </w:rPr>
            </w:pPr>
            <w:r w:rsidRPr="00DF401A">
              <w:rPr>
                <w:rFonts w:ascii="Calibri" w:hAnsi="Calibri"/>
                <w:color w:val="000000"/>
                <w:sz w:val="22"/>
                <w:szCs w:val="22"/>
              </w:rPr>
              <w:t>Physical Therapist Assistant</w:t>
            </w:r>
          </w:p>
        </w:tc>
        <w:tc>
          <w:tcPr>
            <w:tcW w:w="2320" w:type="dxa"/>
            <w:tcBorders>
              <w:top w:val="nil"/>
              <w:left w:val="nil"/>
              <w:bottom w:val="nil"/>
              <w:right w:val="nil"/>
            </w:tcBorders>
            <w:shd w:val="clear" w:color="auto" w:fill="auto"/>
            <w:noWrap/>
            <w:vAlign w:val="bottom"/>
            <w:hideMark/>
          </w:tcPr>
          <w:p w:rsidR="00DF401A" w:rsidRPr="00DF401A" w:rsidRDefault="00DF401A" w:rsidP="00DF401A">
            <w:pPr>
              <w:rPr>
                <w:rFonts w:ascii="Calibri" w:hAnsi="Calibri"/>
                <w:color w:val="000000"/>
                <w:sz w:val="22"/>
                <w:szCs w:val="22"/>
              </w:rPr>
            </w:pPr>
            <w:r w:rsidRPr="00DF401A">
              <w:rPr>
                <w:rFonts w:ascii="Calibri" w:hAnsi="Calibri"/>
                <w:color w:val="000000"/>
                <w:sz w:val="22"/>
                <w:szCs w:val="22"/>
              </w:rPr>
              <w:t>PTA.AAS</w:t>
            </w:r>
          </w:p>
        </w:tc>
        <w:tc>
          <w:tcPr>
            <w:tcW w:w="760" w:type="dxa"/>
            <w:tcBorders>
              <w:top w:val="nil"/>
              <w:left w:val="nil"/>
              <w:bottom w:val="nil"/>
              <w:right w:val="nil"/>
            </w:tcBorders>
            <w:shd w:val="clear" w:color="auto" w:fill="auto"/>
            <w:noWrap/>
            <w:vAlign w:val="bottom"/>
            <w:hideMark/>
          </w:tcPr>
          <w:p w:rsidR="00DF401A" w:rsidRPr="00DF401A" w:rsidRDefault="00DF401A" w:rsidP="00DF401A">
            <w:pPr>
              <w:jc w:val="right"/>
              <w:rPr>
                <w:rFonts w:ascii="Calibri" w:hAnsi="Calibri"/>
                <w:color w:val="000000"/>
                <w:sz w:val="22"/>
                <w:szCs w:val="22"/>
              </w:rPr>
            </w:pPr>
            <w:r w:rsidRPr="00DF401A">
              <w:rPr>
                <w:rFonts w:ascii="Calibri" w:hAnsi="Calibri"/>
                <w:color w:val="000000"/>
                <w:sz w:val="22"/>
                <w:szCs w:val="22"/>
              </w:rPr>
              <w:t>24</w:t>
            </w:r>
          </w:p>
        </w:tc>
        <w:tc>
          <w:tcPr>
            <w:tcW w:w="760" w:type="dxa"/>
            <w:tcBorders>
              <w:top w:val="nil"/>
              <w:left w:val="nil"/>
              <w:bottom w:val="nil"/>
              <w:right w:val="nil"/>
            </w:tcBorders>
            <w:shd w:val="clear" w:color="auto" w:fill="auto"/>
            <w:noWrap/>
            <w:vAlign w:val="bottom"/>
            <w:hideMark/>
          </w:tcPr>
          <w:p w:rsidR="00DF401A" w:rsidRPr="00DF401A" w:rsidRDefault="00DF401A" w:rsidP="00DF401A">
            <w:pPr>
              <w:jc w:val="right"/>
              <w:rPr>
                <w:rFonts w:ascii="Calibri" w:hAnsi="Calibri"/>
                <w:color w:val="000000"/>
                <w:sz w:val="22"/>
                <w:szCs w:val="22"/>
              </w:rPr>
            </w:pPr>
            <w:r w:rsidRPr="00DF401A">
              <w:rPr>
                <w:rFonts w:ascii="Calibri" w:hAnsi="Calibri"/>
                <w:color w:val="000000"/>
                <w:sz w:val="22"/>
                <w:szCs w:val="22"/>
              </w:rPr>
              <w:t>22</w:t>
            </w:r>
          </w:p>
        </w:tc>
        <w:tc>
          <w:tcPr>
            <w:tcW w:w="760" w:type="dxa"/>
            <w:tcBorders>
              <w:top w:val="nil"/>
              <w:left w:val="nil"/>
              <w:bottom w:val="nil"/>
              <w:right w:val="nil"/>
            </w:tcBorders>
            <w:shd w:val="clear" w:color="auto" w:fill="auto"/>
            <w:noWrap/>
            <w:vAlign w:val="bottom"/>
            <w:hideMark/>
          </w:tcPr>
          <w:p w:rsidR="00DF401A" w:rsidRPr="00DF401A" w:rsidRDefault="00DF401A" w:rsidP="00DF401A">
            <w:pPr>
              <w:jc w:val="right"/>
              <w:rPr>
                <w:rFonts w:ascii="Calibri" w:hAnsi="Calibri"/>
                <w:color w:val="000000"/>
                <w:sz w:val="22"/>
                <w:szCs w:val="22"/>
              </w:rPr>
            </w:pPr>
            <w:r w:rsidRPr="00DF401A">
              <w:rPr>
                <w:rFonts w:ascii="Calibri" w:hAnsi="Calibri"/>
                <w:color w:val="000000"/>
                <w:sz w:val="22"/>
                <w:szCs w:val="22"/>
              </w:rPr>
              <w:t>20</w:t>
            </w:r>
          </w:p>
        </w:tc>
        <w:tc>
          <w:tcPr>
            <w:tcW w:w="760" w:type="dxa"/>
            <w:tcBorders>
              <w:top w:val="nil"/>
              <w:left w:val="nil"/>
              <w:bottom w:val="nil"/>
              <w:right w:val="nil"/>
            </w:tcBorders>
            <w:shd w:val="clear" w:color="auto" w:fill="auto"/>
            <w:noWrap/>
            <w:vAlign w:val="bottom"/>
            <w:hideMark/>
          </w:tcPr>
          <w:p w:rsidR="00DF401A" w:rsidRPr="00DF401A" w:rsidRDefault="00DF401A" w:rsidP="00DF401A">
            <w:pPr>
              <w:jc w:val="right"/>
              <w:rPr>
                <w:rFonts w:ascii="Calibri" w:hAnsi="Calibri"/>
                <w:color w:val="000000"/>
                <w:sz w:val="22"/>
                <w:szCs w:val="22"/>
              </w:rPr>
            </w:pPr>
            <w:r w:rsidRPr="00DF401A">
              <w:rPr>
                <w:rFonts w:ascii="Calibri" w:hAnsi="Calibri"/>
                <w:color w:val="000000"/>
                <w:sz w:val="22"/>
                <w:szCs w:val="22"/>
              </w:rPr>
              <w:t>26</w:t>
            </w:r>
          </w:p>
        </w:tc>
        <w:tc>
          <w:tcPr>
            <w:tcW w:w="760" w:type="dxa"/>
            <w:tcBorders>
              <w:top w:val="nil"/>
              <w:left w:val="nil"/>
              <w:bottom w:val="nil"/>
              <w:right w:val="nil"/>
            </w:tcBorders>
            <w:shd w:val="clear" w:color="auto" w:fill="auto"/>
            <w:noWrap/>
            <w:vAlign w:val="bottom"/>
            <w:hideMark/>
          </w:tcPr>
          <w:p w:rsidR="00DF401A" w:rsidRPr="00DF401A" w:rsidRDefault="00DF401A" w:rsidP="00DF401A">
            <w:pPr>
              <w:jc w:val="right"/>
              <w:rPr>
                <w:rFonts w:ascii="Calibri" w:hAnsi="Calibri"/>
                <w:color w:val="000000"/>
                <w:sz w:val="22"/>
                <w:szCs w:val="22"/>
              </w:rPr>
            </w:pPr>
            <w:r w:rsidRPr="00DF401A">
              <w:rPr>
                <w:rFonts w:ascii="Calibri" w:hAnsi="Calibri"/>
                <w:color w:val="000000"/>
                <w:sz w:val="22"/>
                <w:szCs w:val="22"/>
              </w:rPr>
              <w:t>19</w:t>
            </w:r>
          </w:p>
        </w:tc>
        <w:tc>
          <w:tcPr>
            <w:tcW w:w="760" w:type="dxa"/>
            <w:tcBorders>
              <w:top w:val="nil"/>
              <w:left w:val="nil"/>
              <w:bottom w:val="nil"/>
              <w:right w:val="nil"/>
            </w:tcBorders>
            <w:shd w:val="clear" w:color="auto" w:fill="auto"/>
            <w:noWrap/>
            <w:vAlign w:val="bottom"/>
            <w:hideMark/>
          </w:tcPr>
          <w:p w:rsidR="00DF401A" w:rsidRPr="00DF401A" w:rsidRDefault="00DF401A" w:rsidP="00DF401A">
            <w:pPr>
              <w:jc w:val="right"/>
              <w:rPr>
                <w:rFonts w:ascii="Calibri" w:hAnsi="Calibri"/>
                <w:color w:val="000000"/>
                <w:sz w:val="22"/>
                <w:szCs w:val="22"/>
              </w:rPr>
            </w:pPr>
            <w:r w:rsidRPr="00DF401A">
              <w:rPr>
                <w:rFonts w:ascii="Calibri" w:hAnsi="Calibri"/>
                <w:color w:val="000000"/>
                <w:sz w:val="22"/>
                <w:szCs w:val="22"/>
              </w:rPr>
              <w:t>2</w:t>
            </w:r>
          </w:p>
        </w:tc>
        <w:tc>
          <w:tcPr>
            <w:tcW w:w="760" w:type="dxa"/>
            <w:tcBorders>
              <w:top w:val="nil"/>
              <w:left w:val="nil"/>
              <w:bottom w:val="nil"/>
              <w:right w:val="nil"/>
            </w:tcBorders>
            <w:shd w:val="clear" w:color="auto" w:fill="auto"/>
            <w:noWrap/>
            <w:vAlign w:val="bottom"/>
            <w:hideMark/>
          </w:tcPr>
          <w:p w:rsidR="00DF401A" w:rsidRPr="00DF401A" w:rsidRDefault="00DF401A" w:rsidP="00DF401A">
            <w:pPr>
              <w:jc w:val="right"/>
              <w:rPr>
                <w:rFonts w:ascii="Calibri" w:hAnsi="Calibri"/>
                <w:color w:val="000000"/>
                <w:sz w:val="22"/>
                <w:szCs w:val="22"/>
              </w:rPr>
            </w:pPr>
            <w:r w:rsidRPr="00DF401A">
              <w:rPr>
                <w:rFonts w:ascii="Calibri" w:hAnsi="Calibri"/>
                <w:color w:val="000000"/>
                <w:sz w:val="22"/>
                <w:szCs w:val="22"/>
              </w:rPr>
              <w:t>.</w:t>
            </w:r>
          </w:p>
        </w:tc>
      </w:tr>
      <w:tr w:rsidR="00DF401A" w:rsidRPr="00DF401A" w:rsidTr="00DF401A">
        <w:trPr>
          <w:trHeight w:val="300"/>
        </w:trPr>
        <w:tc>
          <w:tcPr>
            <w:tcW w:w="960" w:type="dxa"/>
            <w:tcBorders>
              <w:top w:val="nil"/>
              <w:left w:val="nil"/>
              <w:bottom w:val="nil"/>
              <w:right w:val="nil"/>
            </w:tcBorders>
            <w:shd w:val="clear" w:color="000000" w:fill="D9D9D9"/>
            <w:noWrap/>
            <w:vAlign w:val="bottom"/>
            <w:hideMark/>
          </w:tcPr>
          <w:p w:rsidR="00DF401A" w:rsidRPr="00DF401A" w:rsidRDefault="00DF401A" w:rsidP="00DF401A">
            <w:pPr>
              <w:rPr>
                <w:rFonts w:ascii="Calibri" w:hAnsi="Calibri"/>
                <w:color w:val="000000"/>
                <w:sz w:val="22"/>
                <w:szCs w:val="22"/>
              </w:rPr>
            </w:pPr>
            <w:r w:rsidRPr="00DF401A">
              <w:rPr>
                <w:rFonts w:ascii="Calibri" w:hAnsi="Calibri"/>
                <w:color w:val="000000"/>
                <w:sz w:val="22"/>
                <w:szCs w:val="22"/>
              </w:rPr>
              <w:t>HS</w:t>
            </w:r>
          </w:p>
        </w:tc>
        <w:tc>
          <w:tcPr>
            <w:tcW w:w="1240" w:type="dxa"/>
            <w:tcBorders>
              <w:top w:val="nil"/>
              <w:left w:val="nil"/>
              <w:bottom w:val="nil"/>
              <w:right w:val="nil"/>
            </w:tcBorders>
            <w:shd w:val="clear" w:color="000000" w:fill="D9D9D9"/>
            <w:noWrap/>
            <w:vAlign w:val="bottom"/>
            <w:hideMark/>
          </w:tcPr>
          <w:p w:rsidR="00DF401A" w:rsidRPr="00DF401A" w:rsidRDefault="00DF401A" w:rsidP="00DF401A">
            <w:pPr>
              <w:rPr>
                <w:rFonts w:ascii="Calibri" w:hAnsi="Calibri"/>
                <w:color w:val="000000"/>
                <w:sz w:val="22"/>
                <w:szCs w:val="22"/>
              </w:rPr>
            </w:pPr>
            <w:r w:rsidRPr="00DF401A">
              <w:rPr>
                <w:rFonts w:ascii="Calibri" w:hAnsi="Calibri"/>
                <w:color w:val="000000"/>
                <w:sz w:val="22"/>
                <w:szCs w:val="22"/>
              </w:rPr>
              <w:t>0681</w:t>
            </w:r>
          </w:p>
        </w:tc>
        <w:tc>
          <w:tcPr>
            <w:tcW w:w="3220" w:type="dxa"/>
            <w:tcBorders>
              <w:top w:val="nil"/>
              <w:left w:val="nil"/>
              <w:bottom w:val="nil"/>
              <w:right w:val="nil"/>
            </w:tcBorders>
            <w:shd w:val="clear" w:color="000000" w:fill="D9D9D9"/>
            <w:noWrap/>
            <w:vAlign w:val="bottom"/>
            <w:hideMark/>
          </w:tcPr>
          <w:p w:rsidR="00DF401A" w:rsidRPr="00DF401A" w:rsidRDefault="00DF401A" w:rsidP="00DF401A">
            <w:pPr>
              <w:rPr>
                <w:rFonts w:ascii="Calibri" w:hAnsi="Calibri"/>
                <w:color w:val="000000"/>
                <w:sz w:val="22"/>
                <w:szCs w:val="22"/>
              </w:rPr>
            </w:pPr>
            <w:r w:rsidRPr="00DF401A">
              <w:rPr>
                <w:rFonts w:ascii="Calibri" w:hAnsi="Calibri"/>
                <w:color w:val="000000"/>
                <w:sz w:val="22"/>
                <w:szCs w:val="22"/>
              </w:rPr>
              <w:t>Physical Therapist Assistant</w:t>
            </w:r>
          </w:p>
        </w:tc>
        <w:tc>
          <w:tcPr>
            <w:tcW w:w="2320" w:type="dxa"/>
            <w:tcBorders>
              <w:top w:val="nil"/>
              <w:left w:val="nil"/>
              <w:bottom w:val="nil"/>
              <w:right w:val="nil"/>
            </w:tcBorders>
            <w:shd w:val="clear" w:color="000000" w:fill="D9D9D9"/>
            <w:noWrap/>
            <w:vAlign w:val="bottom"/>
            <w:hideMark/>
          </w:tcPr>
          <w:p w:rsidR="00DF401A" w:rsidRPr="00DF401A" w:rsidRDefault="00DF401A" w:rsidP="00DF401A">
            <w:pPr>
              <w:rPr>
                <w:rFonts w:ascii="Calibri" w:hAnsi="Calibri"/>
                <w:color w:val="000000"/>
                <w:sz w:val="22"/>
                <w:szCs w:val="22"/>
              </w:rPr>
            </w:pPr>
            <w:r w:rsidRPr="00DF401A">
              <w:rPr>
                <w:rFonts w:ascii="Calibri" w:hAnsi="Calibri"/>
                <w:color w:val="000000"/>
                <w:sz w:val="22"/>
                <w:szCs w:val="22"/>
              </w:rPr>
              <w:t>PTA.S.AAS</w:t>
            </w:r>
          </w:p>
        </w:tc>
        <w:tc>
          <w:tcPr>
            <w:tcW w:w="760" w:type="dxa"/>
            <w:tcBorders>
              <w:top w:val="nil"/>
              <w:left w:val="nil"/>
              <w:bottom w:val="nil"/>
              <w:right w:val="nil"/>
            </w:tcBorders>
            <w:shd w:val="clear" w:color="000000" w:fill="D9D9D9"/>
            <w:noWrap/>
            <w:vAlign w:val="bottom"/>
            <w:hideMark/>
          </w:tcPr>
          <w:p w:rsidR="00DF401A" w:rsidRPr="00DF401A" w:rsidRDefault="00DF401A" w:rsidP="00DF401A">
            <w:pPr>
              <w:jc w:val="right"/>
              <w:rPr>
                <w:rFonts w:ascii="Calibri" w:hAnsi="Calibri"/>
                <w:color w:val="000000"/>
                <w:sz w:val="22"/>
                <w:szCs w:val="22"/>
              </w:rPr>
            </w:pPr>
            <w:r w:rsidRPr="00DF401A">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DF401A" w:rsidRPr="00DF401A" w:rsidRDefault="00DF401A" w:rsidP="00DF401A">
            <w:pPr>
              <w:jc w:val="right"/>
              <w:rPr>
                <w:rFonts w:ascii="Calibri" w:hAnsi="Calibri"/>
                <w:color w:val="000000"/>
                <w:sz w:val="22"/>
                <w:szCs w:val="22"/>
              </w:rPr>
            </w:pPr>
            <w:r w:rsidRPr="00DF401A">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DF401A" w:rsidRPr="00DF401A" w:rsidRDefault="00DF401A" w:rsidP="00DF401A">
            <w:pPr>
              <w:jc w:val="right"/>
              <w:rPr>
                <w:rFonts w:ascii="Calibri" w:hAnsi="Calibri"/>
                <w:color w:val="000000"/>
                <w:sz w:val="22"/>
                <w:szCs w:val="22"/>
              </w:rPr>
            </w:pPr>
            <w:r w:rsidRPr="00DF401A">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DF401A" w:rsidRPr="00DF401A" w:rsidRDefault="00DF401A" w:rsidP="00DF401A">
            <w:pPr>
              <w:jc w:val="right"/>
              <w:rPr>
                <w:rFonts w:ascii="Calibri" w:hAnsi="Calibri"/>
                <w:color w:val="000000"/>
                <w:sz w:val="22"/>
                <w:szCs w:val="22"/>
              </w:rPr>
            </w:pPr>
            <w:r w:rsidRPr="00DF401A">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DF401A" w:rsidRPr="00DF401A" w:rsidRDefault="00DF401A" w:rsidP="00DF401A">
            <w:pPr>
              <w:jc w:val="right"/>
              <w:rPr>
                <w:rFonts w:ascii="Calibri" w:hAnsi="Calibri"/>
                <w:color w:val="000000"/>
                <w:sz w:val="22"/>
                <w:szCs w:val="22"/>
              </w:rPr>
            </w:pPr>
            <w:r w:rsidRPr="00DF401A">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DF401A" w:rsidRPr="00DF401A" w:rsidRDefault="00DF401A" w:rsidP="00DF401A">
            <w:pPr>
              <w:jc w:val="right"/>
              <w:rPr>
                <w:rFonts w:ascii="Calibri" w:hAnsi="Calibri"/>
                <w:color w:val="000000"/>
                <w:sz w:val="22"/>
                <w:szCs w:val="22"/>
              </w:rPr>
            </w:pPr>
            <w:r w:rsidRPr="00DF401A">
              <w:rPr>
                <w:rFonts w:ascii="Calibri" w:hAnsi="Calibri"/>
                <w:color w:val="000000"/>
                <w:sz w:val="22"/>
                <w:szCs w:val="22"/>
              </w:rPr>
              <w:t>29</w:t>
            </w:r>
          </w:p>
        </w:tc>
        <w:tc>
          <w:tcPr>
            <w:tcW w:w="760" w:type="dxa"/>
            <w:tcBorders>
              <w:top w:val="nil"/>
              <w:left w:val="nil"/>
              <w:bottom w:val="nil"/>
              <w:right w:val="nil"/>
            </w:tcBorders>
            <w:shd w:val="clear" w:color="000000" w:fill="D9D9D9"/>
            <w:noWrap/>
            <w:vAlign w:val="bottom"/>
            <w:hideMark/>
          </w:tcPr>
          <w:p w:rsidR="00DF401A" w:rsidRPr="00DF401A" w:rsidRDefault="00DF401A" w:rsidP="00DF401A">
            <w:pPr>
              <w:jc w:val="right"/>
              <w:rPr>
                <w:rFonts w:ascii="Calibri" w:hAnsi="Calibri"/>
                <w:color w:val="000000"/>
                <w:sz w:val="22"/>
                <w:szCs w:val="22"/>
              </w:rPr>
            </w:pPr>
            <w:r w:rsidRPr="00DF401A">
              <w:rPr>
                <w:rFonts w:ascii="Calibri" w:hAnsi="Calibri"/>
                <w:color w:val="000000"/>
                <w:sz w:val="22"/>
                <w:szCs w:val="22"/>
              </w:rPr>
              <w:t>25</w:t>
            </w:r>
          </w:p>
        </w:tc>
      </w:tr>
    </w:tbl>
    <w:p w:rsidR="00DF401A" w:rsidRDefault="00DF401A" w:rsidP="00B61D81">
      <w:pPr>
        <w:rPr>
          <w:rFonts w:ascii="Arial" w:hAnsi="Arial" w:cs="Arial"/>
          <w:b/>
          <w:color w:val="000000" w:themeColor="text1"/>
        </w:rPr>
      </w:pPr>
    </w:p>
    <w:p w:rsidR="00DF401A" w:rsidRDefault="00DF401A" w:rsidP="00B61D81">
      <w:pPr>
        <w:rPr>
          <w:rFonts w:ascii="Arial" w:hAnsi="Arial" w:cs="Arial"/>
          <w:b/>
          <w:color w:val="000000" w:themeColor="text1"/>
        </w:rPr>
      </w:pPr>
    </w:p>
    <w:p w:rsidR="004D531F" w:rsidRDefault="004D531F">
      <w:pPr>
        <w:spacing w:after="200" w:line="276" w:lineRule="auto"/>
        <w:rPr>
          <w:rFonts w:ascii="Arial" w:hAnsi="Arial" w:cs="Arial"/>
          <w:b/>
          <w:color w:val="000000" w:themeColor="text1"/>
        </w:rPr>
      </w:pPr>
    </w:p>
    <w:p w:rsidR="00B61D81" w:rsidRDefault="00B61D81" w:rsidP="00225B53">
      <w:pPr>
        <w:spacing w:after="200" w:line="276" w:lineRule="auto"/>
        <w:rPr>
          <w:rFonts w:ascii="Arial" w:hAnsi="Arial" w:cs="Arial"/>
          <w:b/>
          <w:color w:val="000000" w:themeColor="text1"/>
        </w:rPr>
      </w:pPr>
      <w:r w:rsidRPr="00B61D81">
        <w:rPr>
          <w:rFonts w:ascii="Arial" w:hAnsi="Arial" w:cs="Arial"/>
          <w:b/>
          <w:color w:val="000000" w:themeColor="text1"/>
        </w:rPr>
        <w:t>Course Success Rates</w:t>
      </w:r>
    </w:p>
    <w:tbl>
      <w:tblPr>
        <w:tblW w:w="13440" w:type="dxa"/>
        <w:tblInd w:w="108" w:type="dxa"/>
        <w:tblLook w:val="04A0" w:firstRow="1" w:lastRow="0" w:firstColumn="1" w:lastColumn="0" w:noHBand="0" w:noVBand="1"/>
      </w:tblPr>
      <w:tblGrid>
        <w:gridCol w:w="1420"/>
        <w:gridCol w:w="3220"/>
        <w:gridCol w:w="1760"/>
        <w:gridCol w:w="460"/>
        <w:gridCol w:w="940"/>
        <w:gridCol w:w="940"/>
        <w:gridCol w:w="940"/>
        <w:gridCol w:w="940"/>
        <w:gridCol w:w="940"/>
        <w:gridCol w:w="940"/>
        <w:gridCol w:w="940"/>
      </w:tblGrid>
      <w:tr w:rsidR="00007970" w:rsidRPr="00007970" w:rsidTr="00007970">
        <w:trPr>
          <w:trHeight w:val="300"/>
        </w:trPr>
        <w:tc>
          <w:tcPr>
            <w:tcW w:w="1420" w:type="dxa"/>
            <w:tcBorders>
              <w:top w:val="nil"/>
              <w:left w:val="nil"/>
              <w:bottom w:val="nil"/>
              <w:right w:val="nil"/>
            </w:tcBorders>
            <w:shd w:val="clear" w:color="auto" w:fill="auto"/>
            <w:hideMark/>
          </w:tcPr>
          <w:p w:rsidR="00007970" w:rsidRPr="00007970" w:rsidRDefault="00007970" w:rsidP="00007970">
            <w:pPr>
              <w:rPr>
                <w:rFonts w:ascii="Calibri" w:hAnsi="Calibri"/>
                <w:b/>
                <w:bCs/>
                <w:color w:val="000000"/>
                <w:sz w:val="22"/>
                <w:szCs w:val="22"/>
              </w:rPr>
            </w:pPr>
            <w:r w:rsidRPr="00007970">
              <w:rPr>
                <w:rFonts w:ascii="Calibri" w:hAnsi="Calibri"/>
                <w:b/>
                <w:bCs/>
                <w:color w:val="000000"/>
                <w:sz w:val="22"/>
                <w:szCs w:val="22"/>
              </w:rPr>
              <w:t>Department</w:t>
            </w:r>
          </w:p>
        </w:tc>
        <w:tc>
          <w:tcPr>
            <w:tcW w:w="3220" w:type="dxa"/>
            <w:tcBorders>
              <w:top w:val="nil"/>
              <w:left w:val="nil"/>
              <w:bottom w:val="nil"/>
              <w:right w:val="nil"/>
            </w:tcBorders>
            <w:shd w:val="clear" w:color="auto" w:fill="auto"/>
            <w:hideMark/>
          </w:tcPr>
          <w:p w:rsidR="00007970" w:rsidRPr="00007970" w:rsidRDefault="00007970" w:rsidP="00007970">
            <w:pPr>
              <w:rPr>
                <w:rFonts w:ascii="Calibri" w:hAnsi="Calibri"/>
                <w:b/>
                <w:bCs/>
                <w:color w:val="000000"/>
                <w:sz w:val="22"/>
                <w:szCs w:val="22"/>
              </w:rPr>
            </w:pPr>
            <w:r w:rsidRPr="00007970">
              <w:rPr>
                <w:rFonts w:ascii="Calibri" w:hAnsi="Calibri"/>
                <w:b/>
                <w:bCs/>
                <w:color w:val="000000"/>
                <w:sz w:val="22"/>
                <w:szCs w:val="22"/>
              </w:rPr>
              <w:t>Department Name</w:t>
            </w:r>
          </w:p>
        </w:tc>
        <w:tc>
          <w:tcPr>
            <w:tcW w:w="1760" w:type="dxa"/>
            <w:tcBorders>
              <w:top w:val="nil"/>
              <w:left w:val="nil"/>
              <w:bottom w:val="nil"/>
              <w:right w:val="nil"/>
            </w:tcBorders>
            <w:shd w:val="clear" w:color="auto" w:fill="auto"/>
            <w:hideMark/>
          </w:tcPr>
          <w:p w:rsidR="00007970" w:rsidRPr="00007970" w:rsidRDefault="00007970" w:rsidP="00007970">
            <w:pPr>
              <w:rPr>
                <w:rFonts w:ascii="Calibri" w:hAnsi="Calibri"/>
                <w:b/>
                <w:bCs/>
                <w:color w:val="000000"/>
                <w:sz w:val="22"/>
                <w:szCs w:val="22"/>
              </w:rPr>
            </w:pPr>
            <w:r w:rsidRPr="00007970">
              <w:rPr>
                <w:rFonts w:ascii="Calibri" w:hAnsi="Calibri"/>
                <w:b/>
                <w:bCs/>
                <w:color w:val="000000"/>
                <w:sz w:val="22"/>
                <w:szCs w:val="22"/>
              </w:rPr>
              <w:t>Course</w:t>
            </w:r>
          </w:p>
        </w:tc>
        <w:tc>
          <w:tcPr>
            <w:tcW w:w="460" w:type="dxa"/>
            <w:tcBorders>
              <w:top w:val="nil"/>
              <w:left w:val="nil"/>
              <w:bottom w:val="nil"/>
              <w:right w:val="nil"/>
            </w:tcBorders>
            <w:shd w:val="clear" w:color="auto" w:fill="auto"/>
            <w:hideMark/>
          </w:tcPr>
          <w:p w:rsidR="00007970" w:rsidRPr="00007970" w:rsidRDefault="00007970" w:rsidP="00007970">
            <w:pPr>
              <w:rPr>
                <w:rFonts w:ascii="Calibri" w:hAnsi="Calibri"/>
                <w:b/>
                <w:bCs/>
                <w:color w:val="000000"/>
                <w:sz w:val="22"/>
                <w:szCs w:val="22"/>
              </w:rPr>
            </w:pPr>
          </w:p>
        </w:tc>
        <w:tc>
          <w:tcPr>
            <w:tcW w:w="940" w:type="dxa"/>
            <w:tcBorders>
              <w:top w:val="nil"/>
              <w:left w:val="nil"/>
              <w:bottom w:val="nil"/>
              <w:right w:val="nil"/>
            </w:tcBorders>
            <w:shd w:val="clear" w:color="auto" w:fill="auto"/>
            <w:hideMark/>
          </w:tcPr>
          <w:p w:rsidR="00007970" w:rsidRPr="00007970" w:rsidRDefault="00007970" w:rsidP="00007970">
            <w:pPr>
              <w:jc w:val="center"/>
              <w:rPr>
                <w:rFonts w:ascii="Calibri" w:hAnsi="Calibri"/>
                <w:b/>
                <w:bCs/>
                <w:color w:val="000000"/>
                <w:sz w:val="22"/>
                <w:szCs w:val="22"/>
              </w:rPr>
            </w:pPr>
            <w:r w:rsidRPr="00007970">
              <w:rPr>
                <w:rFonts w:ascii="Calibri" w:hAnsi="Calibri"/>
                <w:b/>
                <w:bCs/>
                <w:color w:val="000000"/>
                <w:sz w:val="22"/>
                <w:szCs w:val="22"/>
              </w:rPr>
              <w:t>FY 07-08</w:t>
            </w:r>
          </w:p>
        </w:tc>
        <w:tc>
          <w:tcPr>
            <w:tcW w:w="940" w:type="dxa"/>
            <w:tcBorders>
              <w:top w:val="nil"/>
              <w:left w:val="nil"/>
              <w:bottom w:val="nil"/>
              <w:right w:val="nil"/>
            </w:tcBorders>
            <w:shd w:val="clear" w:color="auto" w:fill="auto"/>
            <w:hideMark/>
          </w:tcPr>
          <w:p w:rsidR="00007970" w:rsidRPr="00007970" w:rsidRDefault="00007970" w:rsidP="00007970">
            <w:pPr>
              <w:jc w:val="center"/>
              <w:rPr>
                <w:rFonts w:ascii="Calibri" w:hAnsi="Calibri"/>
                <w:b/>
                <w:bCs/>
                <w:color w:val="000000"/>
                <w:sz w:val="22"/>
                <w:szCs w:val="22"/>
              </w:rPr>
            </w:pPr>
            <w:r w:rsidRPr="00007970">
              <w:rPr>
                <w:rFonts w:ascii="Calibri" w:hAnsi="Calibri"/>
                <w:b/>
                <w:bCs/>
                <w:color w:val="000000"/>
                <w:sz w:val="22"/>
                <w:szCs w:val="22"/>
              </w:rPr>
              <w:t>FY 08-09</w:t>
            </w:r>
          </w:p>
        </w:tc>
        <w:tc>
          <w:tcPr>
            <w:tcW w:w="940" w:type="dxa"/>
            <w:tcBorders>
              <w:top w:val="nil"/>
              <w:left w:val="nil"/>
              <w:bottom w:val="nil"/>
              <w:right w:val="nil"/>
            </w:tcBorders>
            <w:shd w:val="clear" w:color="auto" w:fill="auto"/>
            <w:hideMark/>
          </w:tcPr>
          <w:p w:rsidR="00007970" w:rsidRPr="00007970" w:rsidRDefault="00007970" w:rsidP="00007970">
            <w:pPr>
              <w:jc w:val="center"/>
              <w:rPr>
                <w:rFonts w:ascii="Calibri" w:hAnsi="Calibri"/>
                <w:b/>
                <w:bCs/>
                <w:color w:val="000000"/>
                <w:sz w:val="22"/>
                <w:szCs w:val="22"/>
              </w:rPr>
            </w:pPr>
            <w:r w:rsidRPr="00007970">
              <w:rPr>
                <w:rFonts w:ascii="Calibri" w:hAnsi="Calibri"/>
                <w:b/>
                <w:bCs/>
                <w:color w:val="000000"/>
                <w:sz w:val="22"/>
                <w:szCs w:val="22"/>
              </w:rPr>
              <w:t>FY 09-10</w:t>
            </w:r>
          </w:p>
        </w:tc>
        <w:tc>
          <w:tcPr>
            <w:tcW w:w="940" w:type="dxa"/>
            <w:tcBorders>
              <w:top w:val="nil"/>
              <w:left w:val="nil"/>
              <w:bottom w:val="nil"/>
              <w:right w:val="nil"/>
            </w:tcBorders>
            <w:shd w:val="clear" w:color="auto" w:fill="auto"/>
            <w:hideMark/>
          </w:tcPr>
          <w:p w:rsidR="00007970" w:rsidRPr="00007970" w:rsidRDefault="00007970" w:rsidP="00007970">
            <w:pPr>
              <w:jc w:val="center"/>
              <w:rPr>
                <w:rFonts w:ascii="Calibri" w:hAnsi="Calibri"/>
                <w:b/>
                <w:bCs/>
                <w:color w:val="000000"/>
                <w:sz w:val="22"/>
                <w:szCs w:val="22"/>
              </w:rPr>
            </w:pPr>
            <w:r w:rsidRPr="00007970">
              <w:rPr>
                <w:rFonts w:ascii="Calibri" w:hAnsi="Calibri"/>
                <w:b/>
                <w:bCs/>
                <w:color w:val="000000"/>
                <w:sz w:val="22"/>
                <w:szCs w:val="22"/>
              </w:rPr>
              <w:t>FY 10-11</w:t>
            </w:r>
          </w:p>
        </w:tc>
        <w:tc>
          <w:tcPr>
            <w:tcW w:w="940" w:type="dxa"/>
            <w:tcBorders>
              <w:top w:val="nil"/>
              <w:left w:val="nil"/>
              <w:bottom w:val="nil"/>
              <w:right w:val="nil"/>
            </w:tcBorders>
            <w:shd w:val="clear" w:color="auto" w:fill="auto"/>
            <w:hideMark/>
          </w:tcPr>
          <w:p w:rsidR="00007970" w:rsidRPr="00007970" w:rsidRDefault="00007970" w:rsidP="00007970">
            <w:pPr>
              <w:jc w:val="center"/>
              <w:rPr>
                <w:rFonts w:ascii="Calibri" w:hAnsi="Calibri"/>
                <w:b/>
                <w:bCs/>
                <w:color w:val="000000"/>
                <w:sz w:val="22"/>
                <w:szCs w:val="22"/>
              </w:rPr>
            </w:pPr>
            <w:r w:rsidRPr="00007970">
              <w:rPr>
                <w:rFonts w:ascii="Calibri" w:hAnsi="Calibri"/>
                <w:b/>
                <w:bCs/>
                <w:color w:val="000000"/>
                <w:sz w:val="22"/>
                <w:szCs w:val="22"/>
              </w:rPr>
              <w:t>FY 11-12</w:t>
            </w:r>
          </w:p>
        </w:tc>
        <w:tc>
          <w:tcPr>
            <w:tcW w:w="940" w:type="dxa"/>
            <w:tcBorders>
              <w:top w:val="nil"/>
              <w:left w:val="nil"/>
              <w:bottom w:val="nil"/>
              <w:right w:val="nil"/>
            </w:tcBorders>
            <w:shd w:val="clear" w:color="auto" w:fill="auto"/>
            <w:hideMark/>
          </w:tcPr>
          <w:p w:rsidR="00007970" w:rsidRPr="00007970" w:rsidRDefault="00007970" w:rsidP="00007970">
            <w:pPr>
              <w:jc w:val="center"/>
              <w:rPr>
                <w:rFonts w:ascii="Calibri" w:hAnsi="Calibri"/>
                <w:b/>
                <w:bCs/>
                <w:color w:val="000000"/>
                <w:sz w:val="22"/>
                <w:szCs w:val="22"/>
              </w:rPr>
            </w:pPr>
            <w:r w:rsidRPr="00007970">
              <w:rPr>
                <w:rFonts w:ascii="Calibri" w:hAnsi="Calibri"/>
                <w:b/>
                <w:bCs/>
                <w:color w:val="000000"/>
                <w:sz w:val="22"/>
                <w:szCs w:val="22"/>
              </w:rPr>
              <w:t>FY 12-13</w:t>
            </w:r>
          </w:p>
        </w:tc>
        <w:tc>
          <w:tcPr>
            <w:tcW w:w="940" w:type="dxa"/>
            <w:tcBorders>
              <w:top w:val="nil"/>
              <w:left w:val="nil"/>
              <w:bottom w:val="nil"/>
              <w:right w:val="nil"/>
            </w:tcBorders>
            <w:shd w:val="clear" w:color="auto" w:fill="auto"/>
            <w:hideMark/>
          </w:tcPr>
          <w:p w:rsidR="00007970" w:rsidRPr="00007970" w:rsidRDefault="00007970" w:rsidP="00007970">
            <w:pPr>
              <w:jc w:val="center"/>
              <w:rPr>
                <w:rFonts w:ascii="Calibri" w:hAnsi="Calibri"/>
                <w:b/>
                <w:bCs/>
                <w:color w:val="000000"/>
                <w:sz w:val="22"/>
                <w:szCs w:val="22"/>
              </w:rPr>
            </w:pPr>
            <w:r w:rsidRPr="00007970">
              <w:rPr>
                <w:rFonts w:ascii="Calibri" w:hAnsi="Calibri"/>
                <w:b/>
                <w:bCs/>
                <w:color w:val="000000"/>
                <w:sz w:val="22"/>
                <w:szCs w:val="22"/>
              </w:rPr>
              <w:t>FY 13-14</w:t>
            </w:r>
          </w:p>
        </w:tc>
      </w:tr>
      <w:tr w:rsidR="00007970" w:rsidRPr="00007970" w:rsidTr="00007970">
        <w:trPr>
          <w:trHeight w:val="300"/>
        </w:trPr>
        <w:tc>
          <w:tcPr>
            <w:tcW w:w="1420" w:type="dxa"/>
            <w:tcBorders>
              <w:top w:val="nil"/>
              <w:left w:val="nil"/>
              <w:bottom w:val="nil"/>
              <w:right w:val="nil"/>
            </w:tcBorders>
            <w:shd w:val="clear" w:color="auto" w:fill="auto"/>
            <w:noWrap/>
            <w:vAlign w:val="bottom"/>
            <w:hideMark/>
          </w:tcPr>
          <w:p w:rsidR="00007970" w:rsidRPr="00007970" w:rsidRDefault="00007970" w:rsidP="00007970">
            <w:pPr>
              <w:rPr>
                <w:rFonts w:ascii="Calibri" w:hAnsi="Calibri"/>
                <w:color w:val="000000"/>
                <w:sz w:val="22"/>
                <w:szCs w:val="22"/>
              </w:rPr>
            </w:pPr>
            <w:r w:rsidRPr="00007970">
              <w:rPr>
                <w:rFonts w:ascii="Calibri" w:hAnsi="Calibri"/>
                <w:color w:val="000000"/>
                <w:sz w:val="22"/>
                <w:szCs w:val="22"/>
              </w:rPr>
              <w:t>0681</w:t>
            </w:r>
          </w:p>
        </w:tc>
        <w:tc>
          <w:tcPr>
            <w:tcW w:w="3220" w:type="dxa"/>
            <w:tcBorders>
              <w:top w:val="nil"/>
              <w:left w:val="nil"/>
              <w:bottom w:val="nil"/>
              <w:right w:val="nil"/>
            </w:tcBorders>
            <w:shd w:val="clear" w:color="auto" w:fill="auto"/>
            <w:noWrap/>
            <w:vAlign w:val="bottom"/>
            <w:hideMark/>
          </w:tcPr>
          <w:p w:rsidR="00007970" w:rsidRPr="00007970" w:rsidRDefault="00007970" w:rsidP="00007970">
            <w:pPr>
              <w:rPr>
                <w:rFonts w:ascii="Calibri" w:hAnsi="Calibri"/>
                <w:color w:val="000000"/>
                <w:sz w:val="22"/>
                <w:szCs w:val="22"/>
              </w:rPr>
            </w:pPr>
            <w:r w:rsidRPr="00007970">
              <w:rPr>
                <w:rFonts w:ascii="Calibri" w:hAnsi="Calibri"/>
                <w:color w:val="000000"/>
                <w:sz w:val="22"/>
                <w:szCs w:val="22"/>
              </w:rPr>
              <w:t>Physical Therapist Assistant</w:t>
            </w:r>
          </w:p>
        </w:tc>
        <w:tc>
          <w:tcPr>
            <w:tcW w:w="1760" w:type="dxa"/>
            <w:tcBorders>
              <w:top w:val="nil"/>
              <w:left w:val="nil"/>
              <w:bottom w:val="nil"/>
              <w:right w:val="nil"/>
            </w:tcBorders>
            <w:shd w:val="clear" w:color="auto" w:fill="auto"/>
            <w:noWrap/>
            <w:vAlign w:val="bottom"/>
            <w:hideMark/>
          </w:tcPr>
          <w:p w:rsidR="00007970" w:rsidRPr="00007970" w:rsidRDefault="00007970" w:rsidP="00007970">
            <w:pPr>
              <w:rPr>
                <w:rFonts w:ascii="Calibri" w:hAnsi="Calibri"/>
                <w:color w:val="000000"/>
                <w:sz w:val="22"/>
                <w:szCs w:val="22"/>
              </w:rPr>
            </w:pPr>
            <w:r w:rsidRPr="00007970">
              <w:rPr>
                <w:rFonts w:ascii="Calibri" w:hAnsi="Calibri"/>
                <w:color w:val="000000"/>
                <w:sz w:val="22"/>
                <w:szCs w:val="22"/>
              </w:rPr>
              <w:t>PTA-106</w:t>
            </w:r>
          </w:p>
        </w:tc>
        <w:tc>
          <w:tcPr>
            <w:tcW w:w="460" w:type="dxa"/>
            <w:tcBorders>
              <w:top w:val="nil"/>
              <w:left w:val="nil"/>
              <w:bottom w:val="nil"/>
              <w:right w:val="nil"/>
            </w:tcBorders>
            <w:shd w:val="clear" w:color="auto" w:fill="auto"/>
            <w:noWrap/>
            <w:vAlign w:val="bottom"/>
            <w:hideMark/>
          </w:tcPr>
          <w:p w:rsidR="00007970" w:rsidRPr="00007970" w:rsidRDefault="00007970" w:rsidP="00007970">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rsidR="00007970" w:rsidRPr="00007970" w:rsidRDefault="00007970" w:rsidP="00007970">
            <w:pPr>
              <w:jc w:val="right"/>
              <w:rPr>
                <w:rFonts w:ascii="Calibri" w:hAnsi="Calibri"/>
                <w:color w:val="000000"/>
                <w:sz w:val="22"/>
                <w:szCs w:val="22"/>
              </w:rPr>
            </w:pPr>
            <w:r w:rsidRPr="00007970">
              <w:rPr>
                <w:rFonts w:ascii="Calibri" w:hAnsi="Calibri"/>
                <w:color w:val="000000"/>
                <w:sz w:val="22"/>
                <w:szCs w:val="22"/>
              </w:rPr>
              <w:t>56.0%</w:t>
            </w:r>
          </w:p>
        </w:tc>
        <w:tc>
          <w:tcPr>
            <w:tcW w:w="940" w:type="dxa"/>
            <w:tcBorders>
              <w:top w:val="nil"/>
              <w:left w:val="nil"/>
              <w:bottom w:val="nil"/>
              <w:right w:val="nil"/>
            </w:tcBorders>
            <w:shd w:val="clear" w:color="auto" w:fill="auto"/>
            <w:noWrap/>
            <w:vAlign w:val="bottom"/>
            <w:hideMark/>
          </w:tcPr>
          <w:p w:rsidR="00007970" w:rsidRPr="00007970" w:rsidRDefault="00007970" w:rsidP="00007970">
            <w:pPr>
              <w:jc w:val="right"/>
              <w:rPr>
                <w:rFonts w:ascii="Calibri" w:hAnsi="Calibri"/>
                <w:color w:val="000000"/>
                <w:sz w:val="22"/>
                <w:szCs w:val="22"/>
              </w:rPr>
            </w:pPr>
            <w:r w:rsidRPr="00007970">
              <w:rPr>
                <w:rFonts w:ascii="Calibri" w:hAnsi="Calibri"/>
                <w:color w:val="000000"/>
                <w:sz w:val="22"/>
                <w:szCs w:val="22"/>
              </w:rPr>
              <w:t>64.2%</w:t>
            </w:r>
          </w:p>
        </w:tc>
        <w:tc>
          <w:tcPr>
            <w:tcW w:w="940" w:type="dxa"/>
            <w:tcBorders>
              <w:top w:val="nil"/>
              <w:left w:val="nil"/>
              <w:bottom w:val="nil"/>
              <w:right w:val="nil"/>
            </w:tcBorders>
            <w:shd w:val="clear" w:color="auto" w:fill="auto"/>
            <w:noWrap/>
            <w:vAlign w:val="bottom"/>
            <w:hideMark/>
          </w:tcPr>
          <w:p w:rsidR="00007970" w:rsidRPr="00007970" w:rsidRDefault="00007970" w:rsidP="00007970">
            <w:pPr>
              <w:jc w:val="right"/>
              <w:rPr>
                <w:rFonts w:ascii="Calibri" w:hAnsi="Calibri"/>
                <w:color w:val="000000"/>
                <w:sz w:val="22"/>
                <w:szCs w:val="22"/>
              </w:rPr>
            </w:pPr>
            <w:r w:rsidRPr="00007970">
              <w:rPr>
                <w:rFonts w:ascii="Calibri" w:hAnsi="Calibri"/>
                <w:color w:val="000000"/>
                <w:sz w:val="22"/>
                <w:szCs w:val="22"/>
              </w:rPr>
              <w:t>53.4%</w:t>
            </w:r>
          </w:p>
        </w:tc>
        <w:tc>
          <w:tcPr>
            <w:tcW w:w="940" w:type="dxa"/>
            <w:tcBorders>
              <w:top w:val="nil"/>
              <w:left w:val="nil"/>
              <w:bottom w:val="nil"/>
              <w:right w:val="nil"/>
            </w:tcBorders>
            <w:shd w:val="clear" w:color="auto" w:fill="auto"/>
            <w:noWrap/>
            <w:vAlign w:val="bottom"/>
            <w:hideMark/>
          </w:tcPr>
          <w:p w:rsidR="00007970" w:rsidRPr="00007970" w:rsidRDefault="00007970" w:rsidP="00007970">
            <w:pPr>
              <w:jc w:val="right"/>
              <w:rPr>
                <w:rFonts w:ascii="Calibri" w:hAnsi="Calibri"/>
                <w:color w:val="000000"/>
                <w:sz w:val="22"/>
                <w:szCs w:val="22"/>
              </w:rPr>
            </w:pPr>
            <w:r w:rsidRPr="00007970">
              <w:rPr>
                <w:rFonts w:ascii="Calibri" w:hAnsi="Calibri"/>
                <w:color w:val="000000"/>
                <w:sz w:val="22"/>
                <w:szCs w:val="22"/>
              </w:rPr>
              <w:t>63.1%</w:t>
            </w:r>
          </w:p>
        </w:tc>
        <w:tc>
          <w:tcPr>
            <w:tcW w:w="940" w:type="dxa"/>
            <w:tcBorders>
              <w:top w:val="nil"/>
              <w:left w:val="nil"/>
              <w:bottom w:val="nil"/>
              <w:right w:val="nil"/>
            </w:tcBorders>
            <w:shd w:val="clear" w:color="auto" w:fill="auto"/>
            <w:noWrap/>
            <w:vAlign w:val="bottom"/>
            <w:hideMark/>
          </w:tcPr>
          <w:p w:rsidR="00007970" w:rsidRPr="00007970" w:rsidRDefault="00007970" w:rsidP="00007970">
            <w:pPr>
              <w:jc w:val="right"/>
              <w:rPr>
                <w:rFonts w:ascii="Calibri" w:hAnsi="Calibri"/>
                <w:color w:val="000000"/>
                <w:sz w:val="22"/>
                <w:szCs w:val="22"/>
              </w:rPr>
            </w:pPr>
            <w:r w:rsidRPr="00007970">
              <w:rPr>
                <w:rFonts w:ascii="Calibri" w:hAnsi="Calibri"/>
                <w:color w:val="000000"/>
                <w:sz w:val="22"/>
                <w:szCs w:val="22"/>
              </w:rPr>
              <w:t>64.3%</w:t>
            </w:r>
          </w:p>
        </w:tc>
        <w:tc>
          <w:tcPr>
            <w:tcW w:w="940" w:type="dxa"/>
            <w:tcBorders>
              <w:top w:val="nil"/>
              <w:left w:val="nil"/>
              <w:bottom w:val="nil"/>
              <w:right w:val="nil"/>
            </w:tcBorders>
            <w:shd w:val="clear" w:color="auto" w:fill="auto"/>
            <w:noWrap/>
            <w:vAlign w:val="bottom"/>
            <w:hideMark/>
          </w:tcPr>
          <w:p w:rsidR="00007970" w:rsidRPr="00007970" w:rsidRDefault="00007970" w:rsidP="00007970">
            <w:pPr>
              <w:jc w:val="right"/>
              <w:rPr>
                <w:rFonts w:ascii="Calibri" w:hAnsi="Calibri"/>
                <w:color w:val="000000"/>
                <w:sz w:val="22"/>
                <w:szCs w:val="22"/>
              </w:rPr>
            </w:pPr>
            <w:r w:rsidRPr="00007970">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007970" w:rsidRPr="00007970" w:rsidRDefault="00007970" w:rsidP="00007970">
            <w:pPr>
              <w:jc w:val="right"/>
              <w:rPr>
                <w:rFonts w:ascii="Calibri" w:hAnsi="Calibri"/>
                <w:color w:val="000000"/>
                <w:sz w:val="22"/>
                <w:szCs w:val="22"/>
              </w:rPr>
            </w:pPr>
            <w:r w:rsidRPr="00007970">
              <w:rPr>
                <w:rFonts w:ascii="Calibri" w:hAnsi="Calibri"/>
                <w:color w:val="000000"/>
                <w:sz w:val="22"/>
                <w:szCs w:val="22"/>
              </w:rPr>
              <w:t>.</w:t>
            </w:r>
          </w:p>
        </w:tc>
      </w:tr>
      <w:tr w:rsidR="00007970" w:rsidRPr="00007970" w:rsidTr="00007970">
        <w:trPr>
          <w:trHeight w:val="300"/>
        </w:trPr>
        <w:tc>
          <w:tcPr>
            <w:tcW w:w="1420" w:type="dxa"/>
            <w:tcBorders>
              <w:top w:val="nil"/>
              <w:left w:val="nil"/>
              <w:bottom w:val="nil"/>
              <w:right w:val="nil"/>
            </w:tcBorders>
            <w:shd w:val="clear" w:color="000000" w:fill="D9D9D9"/>
            <w:noWrap/>
            <w:vAlign w:val="bottom"/>
            <w:hideMark/>
          </w:tcPr>
          <w:p w:rsidR="00007970" w:rsidRPr="00007970" w:rsidRDefault="00007970" w:rsidP="00007970">
            <w:pPr>
              <w:rPr>
                <w:rFonts w:ascii="Calibri" w:hAnsi="Calibri"/>
                <w:color w:val="000000"/>
                <w:sz w:val="22"/>
                <w:szCs w:val="22"/>
              </w:rPr>
            </w:pPr>
            <w:r w:rsidRPr="00007970">
              <w:rPr>
                <w:rFonts w:ascii="Calibri" w:hAnsi="Calibri"/>
                <w:color w:val="000000"/>
                <w:sz w:val="22"/>
                <w:szCs w:val="22"/>
              </w:rPr>
              <w:t>0681</w:t>
            </w:r>
          </w:p>
        </w:tc>
        <w:tc>
          <w:tcPr>
            <w:tcW w:w="3220" w:type="dxa"/>
            <w:tcBorders>
              <w:top w:val="nil"/>
              <w:left w:val="nil"/>
              <w:bottom w:val="nil"/>
              <w:right w:val="nil"/>
            </w:tcBorders>
            <w:shd w:val="clear" w:color="000000" w:fill="D9D9D9"/>
            <w:noWrap/>
            <w:vAlign w:val="bottom"/>
            <w:hideMark/>
          </w:tcPr>
          <w:p w:rsidR="00007970" w:rsidRPr="00007970" w:rsidRDefault="00007970" w:rsidP="00007970">
            <w:pPr>
              <w:rPr>
                <w:rFonts w:ascii="Calibri" w:hAnsi="Calibri"/>
                <w:color w:val="000000"/>
                <w:sz w:val="22"/>
                <w:szCs w:val="22"/>
              </w:rPr>
            </w:pPr>
            <w:r w:rsidRPr="00007970">
              <w:rPr>
                <w:rFonts w:ascii="Calibri" w:hAnsi="Calibri"/>
                <w:color w:val="000000"/>
                <w:sz w:val="22"/>
                <w:szCs w:val="22"/>
              </w:rPr>
              <w:t>Physical Therapist Assistant</w:t>
            </w:r>
          </w:p>
        </w:tc>
        <w:tc>
          <w:tcPr>
            <w:tcW w:w="1760" w:type="dxa"/>
            <w:tcBorders>
              <w:top w:val="nil"/>
              <w:left w:val="nil"/>
              <w:bottom w:val="nil"/>
              <w:right w:val="nil"/>
            </w:tcBorders>
            <w:shd w:val="clear" w:color="000000" w:fill="D9D9D9"/>
            <w:noWrap/>
            <w:vAlign w:val="bottom"/>
            <w:hideMark/>
          </w:tcPr>
          <w:p w:rsidR="00007970" w:rsidRPr="00007970" w:rsidRDefault="00007970" w:rsidP="00007970">
            <w:pPr>
              <w:rPr>
                <w:rFonts w:ascii="Calibri" w:hAnsi="Calibri"/>
                <w:color w:val="000000"/>
                <w:sz w:val="22"/>
                <w:szCs w:val="22"/>
              </w:rPr>
            </w:pPr>
            <w:r w:rsidRPr="00007970">
              <w:rPr>
                <w:rFonts w:ascii="Calibri" w:hAnsi="Calibri"/>
                <w:color w:val="000000"/>
                <w:sz w:val="22"/>
                <w:szCs w:val="22"/>
              </w:rPr>
              <w:t>PTA-107</w:t>
            </w:r>
          </w:p>
        </w:tc>
        <w:tc>
          <w:tcPr>
            <w:tcW w:w="460" w:type="dxa"/>
            <w:tcBorders>
              <w:top w:val="nil"/>
              <w:left w:val="nil"/>
              <w:bottom w:val="nil"/>
              <w:right w:val="nil"/>
            </w:tcBorders>
            <w:shd w:val="clear" w:color="000000" w:fill="D9D9D9"/>
            <w:noWrap/>
            <w:vAlign w:val="bottom"/>
            <w:hideMark/>
          </w:tcPr>
          <w:p w:rsidR="00007970" w:rsidRPr="00007970" w:rsidRDefault="00007970" w:rsidP="00007970">
            <w:pPr>
              <w:rPr>
                <w:rFonts w:ascii="Calibri" w:hAnsi="Calibri"/>
                <w:color w:val="000000"/>
                <w:sz w:val="22"/>
                <w:szCs w:val="22"/>
              </w:rPr>
            </w:pPr>
            <w:r w:rsidRPr="00007970">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007970" w:rsidRPr="00007970" w:rsidRDefault="00007970" w:rsidP="00007970">
            <w:pPr>
              <w:jc w:val="right"/>
              <w:rPr>
                <w:rFonts w:ascii="Calibri" w:hAnsi="Calibri"/>
                <w:color w:val="000000"/>
                <w:sz w:val="22"/>
                <w:szCs w:val="22"/>
              </w:rPr>
            </w:pPr>
            <w:r w:rsidRPr="00007970">
              <w:rPr>
                <w:rFonts w:ascii="Calibri" w:hAnsi="Calibri"/>
                <w:color w:val="000000"/>
                <w:sz w:val="22"/>
                <w:szCs w:val="22"/>
              </w:rPr>
              <w:t>87.9%</w:t>
            </w:r>
          </w:p>
        </w:tc>
        <w:tc>
          <w:tcPr>
            <w:tcW w:w="940" w:type="dxa"/>
            <w:tcBorders>
              <w:top w:val="nil"/>
              <w:left w:val="nil"/>
              <w:bottom w:val="nil"/>
              <w:right w:val="nil"/>
            </w:tcBorders>
            <w:shd w:val="clear" w:color="000000" w:fill="D9D9D9"/>
            <w:noWrap/>
            <w:vAlign w:val="bottom"/>
            <w:hideMark/>
          </w:tcPr>
          <w:p w:rsidR="00007970" w:rsidRPr="00007970" w:rsidRDefault="00007970" w:rsidP="00007970">
            <w:pPr>
              <w:jc w:val="right"/>
              <w:rPr>
                <w:rFonts w:ascii="Calibri" w:hAnsi="Calibri"/>
                <w:color w:val="000000"/>
                <w:sz w:val="22"/>
                <w:szCs w:val="22"/>
              </w:rPr>
            </w:pPr>
            <w:r w:rsidRPr="00007970">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007970" w:rsidRPr="00007970" w:rsidRDefault="00007970" w:rsidP="00007970">
            <w:pPr>
              <w:jc w:val="right"/>
              <w:rPr>
                <w:rFonts w:ascii="Calibri" w:hAnsi="Calibri"/>
                <w:color w:val="000000"/>
                <w:sz w:val="22"/>
                <w:szCs w:val="22"/>
              </w:rPr>
            </w:pPr>
            <w:r w:rsidRPr="00007970">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007970" w:rsidRPr="00007970" w:rsidRDefault="00007970" w:rsidP="00007970">
            <w:pPr>
              <w:jc w:val="right"/>
              <w:rPr>
                <w:rFonts w:ascii="Calibri" w:hAnsi="Calibri"/>
                <w:color w:val="000000"/>
                <w:sz w:val="22"/>
                <w:szCs w:val="22"/>
              </w:rPr>
            </w:pPr>
            <w:r w:rsidRPr="00007970">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007970" w:rsidRPr="00007970" w:rsidRDefault="00007970" w:rsidP="00007970">
            <w:pPr>
              <w:jc w:val="right"/>
              <w:rPr>
                <w:rFonts w:ascii="Calibri" w:hAnsi="Calibri"/>
                <w:color w:val="000000"/>
                <w:sz w:val="22"/>
                <w:szCs w:val="22"/>
              </w:rPr>
            </w:pPr>
            <w:r w:rsidRPr="00007970">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007970" w:rsidRPr="00007970" w:rsidRDefault="00007970" w:rsidP="00007970">
            <w:pPr>
              <w:jc w:val="right"/>
              <w:rPr>
                <w:rFonts w:ascii="Calibri" w:hAnsi="Calibri"/>
                <w:color w:val="000000"/>
                <w:sz w:val="22"/>
                <w:szCs w:val="22"/>
              </w:rPr>
            </w:pPr>
            <w:r w:rsidRPr="00007970">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007970" w:rsidRPr="00007970" w:rsidRDefault="00007970" w:rsidP="00007970">
            <w:pPr>
              <w:jc w:val="right"/>
              <w:rPr>
                <w:rFonts w:ascii="Calibri" w:hAnsi="Calibri"/>
                <w:color w:val="000000"/>
                <w:sz w:val="22"/>
                <w:szCs w:val="22"/>
              </w:rPr>
            </w:pPr>
            <w:r w:rsidRPr="00007970">
              <w:rPr>
                <w:rFonts w:ascii="Calibri" w:hAnsi="Calibri"/>
                <w:color w:val="000000"/>
                <w:sz w:val="22"/>
                <w:szCs w:val="22"/>
              </w:rPr>
              <w:t>.</w:t>
            </w:r>
          </w:p>
        </w:tc>
      </w:tr>
      <w:tr w:rsidR="00007970" w:rsidRPr="00007970" w:rsidTr="00007970">
        <w:trPr>
          <w:trHeight w:val="300"/>
        </w:trPr>
        <w:tc>
          <w:tcPr>
            <w:tcW w:w="1420" w:type="dxa"/>
            <w:tcBorders>
              <w:top w:val="nil"/>
              <w:left w:val="nil"/>
              <w:bottom w:val="nil"/>
              <w:right w:val="nil"/>
            </w:tcBorders>
            <w:shd w:val="clear" w:color="auto" w:fill="auto"/>
            <w:noWrap/>
            <w:vAlign w:val="bottom"/>
            <w:hideMark/>
          </w:tcPr>
          <w:p w:rsidR="00007970" w:rsidRPr="00007970" w:rsidRDefault="00007970" w:rsidP="00007970">
            <w:pPr>
              <w:rPr>
                <w:rFonts w:ascii="Calibri" w:hAnsi="Calibri"/>
                <w:color w:val="000000"/>
                <w:sz w:val="22"/>
                <w:szCs w:val="22"/>
              </w:rPr>
            </w:pPr>
            <w:r w:rsidRPr="00007970">
              <w:rPr>
                <w:rFonts w:ascii="Calibri" w:hAnsi="Calibri"/>
                <w:color w:val="000000"/>
                <w:sz w:val="22"/>
                <w:szCs w:val="22"/>
              </w:rPr>
              <w:t>0681</w:t>
            </w:r>
          </w:p>
        </w:tc>
        <w:tc>
          <w:tcPr>
            <w:tcW w:w="3220" w:type="dxa"/>
            <w:tcBorders>
              <w:top w:val="nil"/>
              <w:left w:val="nil"/>
              <w:bottom w:val="nil"/>
              <w:right w:val="nil"/>
            </w:tcBorders>
            <w:shd w:val="clear" w:color="auto" w:fill="auto"/>
            <w:noWrap/>
            <w:vAlign w:val="bottom"/>
            <w:hideMark/>
          </w:tcPr>
          <w:p w:rsidR="00007970" w:rsidRPr="00007970" w:rsidRDefault="00007970" w:rsidP="00007970">
            <w:pPr>
              <w:rPr>
                <w:rFonts w:ascii="Calibri" w:hAnsi="Calibri"/>
                <w:color w:val="000000"/>
                <w:sz w:val="22"/>
                <w:szCs w:val="22"/>
              </w:rPr>
            </w:pPr>
            <w:r w:rsidRPr="00007970">
              <w:rPr>
                <w:rFonts w:ascii="Calibri" w:hAnsi="Calibri"/>
                <w:color w:val="000000"/>
                <w:sz w:val="22"/>
                <w:szCs w:val="22"/>
              </w:rPr>
              <w:t>Physical Therapist Assistant</w:t>
            </w:r>
          </w:p>
        </w:tc>
        <w:tc>
          <w:tcPr>
            <w:tcW w:w="1760" w:type="dxa"/>
            <w:tcBorders>
              <w:top w:val="nil"/>
              <w:left w:val="nil"/>
              <w:bottom w:val="nil"/>
              <w:right w:val="nil"/>
            </w:tcBorders>
            <w:shd w:val="clear" w:color="auto" w:fill="auto"/>
            <w:noWrap/>
            <w:vAlign w:val="bottom"/>
            <w:hideMark/>
          </w:tcPr>
          <w:p w:rsidR="00007970" w:rsidRPr="00007970" w:rsidRDefault="00007970" w:rsidP="00007970">
            <w:pPr>
              <w:rPr>
                <w:rFonts w:ascii="Calibri" w:hAnsi="Calibri"/>
                <w:color w:val="000000"/>
                <w:sz w:val="22"/>
                <w:szCs w:val="22"/>
              </w:rPr>
            </w:pPr>
            <w:r w:rsidRPr="00007970">
              <w:rPr>
                <w:rFonts w:ascii="Calibri" w:hAnsi="Calibri"/>
                <w:color w:val="000000"/>
                <w:sz w:val="22"/>
                <w:szCs w:val="22"/>
              </w:rPr>
              <w:t>PTA-110</w:t>
            </w:r>
          </w:p>
        </w:tc>
        <w:tc>
          <w:tcPr>
            <w:tcW w:w="460" w:type="dxa"/>
            <w:tcBorders>
              <w:top w:val="nil"/>
              <w:left w:val="nil"/>
              <w:bottom w:val="nil"/>
              <w:right w:val="nil"/>
            </w:tcBorders>
            <w:shd w:val="clear" w:color="auto" w:fill="auto"/>
            <w:noWrap/>
            <w:vAlign w:val="bottom"/>
            <w:hideMark/>
          </w:tcPr>
          <w:p w:rsidR="00007970" w:rsidRPr="00007970" w:rsidRDefault="00007970" w:rsidP="00007970">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rsidR="00007970" w:rsidRPr="00007970" w:rsidRDefault="00007970" w:rsidP="00007970">
            <w:pPr>
              <w:jc w:val="right"/>
              <w:rPr>
                <w:rFonts w:ascii="Calibri" w:hAnsi="Calibri"/>
                <w:color w:val="000000"/>
                <w:sz w:val="22"/>
                <w:szCs w:val="22"/>
              </w:rPr>
            </w:pPr>
            <w:r w:rsidRPr="00007970">
              <w:rPr>
                <w:rFonts w:ascii="Calibri" w:hAnsi="Calibri"/>
                <w:color w:val="000000"/>
                <w:sz w:val="22"/>
                <w:szCs w:val="22"/>
              </w:rPr>
              <w:t>96.4%</w:t>
            </w:r>
          </w:p>
        </w:tc>
        <w:tc>
          <w:tcPr>
            <w:tcW w:w="940" w:type="dxa"/>
            <w:tcBorders>
              <w:top w:val="nil"/>
              <w:left w:val="nil"/>
              <w:bottom w:val="nil"/>
              <w:right w:val="nil"/>
            </w:tcBorders>
            <w:shd w:val="clear" w:color="auto" w:fill="auto"/>
            <w:noWrap/>
            <w:vAlign w:val="bottom"/>
            <w:hideMark/>
          </w:tcPr>
          <w:p w:rsidR="00007970" w:rsidRPr="00007970" w:rsidRDefault="00007970" w:rsidP="00007970">
            <w:pPr>
              <w:jc w:val="right"/>
              <w:rPr>
                <w:rFonts w:ascii="Calibri" w:hAnsi="Calibri"/>
                <w:color w:val="000000"/>
                <w:sz w:val="22"/>
                <w:szCs w:val="22"/>
              </w:rPr>
            </w:pPr>
            <w:r w:rsidRPr="00007970">
              <w:rPr>
                <w:rFonts w:ascii="Calibri" w:hAnsi="Calibri"/>
                <w:color w:val="000000"/>
                <w:sz w:val="22"/>
                <w:szCs w:val="22"/>
              </w:rPr>
              <w:t>100.0%</w:t>
            </w:r>
          </w:p>
        </w:tc>
        <w:tc>
          <w:tcPr>
            <w:tcW w:w="940" w:type="dxa"/>
            <w:tcBorders>
              <w:top w:val="nil"/>
              <w:left w:val="nil"/>
              <w:bottom w:val="nil"/>
              <w:right w:val="nil"/>
            </w:tcBorders>
            <w:shd w:val="clear" w:color="auto" w:fill="auto"/>
            <w:noWrap/>
            <w:vAlign w:val="bottom"/>
            <w:hideMark/>
          </w:tcPr>
          <w:p w:rsidR="00007970" w:rsidRPr="00007970" w:rsidRDefault="00007970" w:rsidP="00007970">
            <w:pPr>
              <w:jc w:val="right"/>
              <w:rPr>
                <w:rFonts w:ascii="Calibri" w:hAnsi="Calibri"/>
                <w:color w:val="000000"/>
                <w:sz w:val="22"/>
                <w:szCs w:val="22"/>
              </w:rPr>
            </w:pPr>
            <w:r w:rsidRPr="00007970">
              <w:rPr>
                <w:rFonts w:ascii="Calibri" w:hAnsi="Calibri"/>
                <w:color w:val="000000"/>
                <w:sz w:val="22"/>
                <w:szCs w:val="22"/>
              </w:rPr>
              <w:t>96.7%</w:t>
            </w:r>
          </w:p>
        </w:tc>
        <w:tc>
          <w:tcPr>
            <w:tcW w:w="940" w:type="dxa"/>
            <w:tcBorders>
              <w:top w:val="nil"/>
              <w:left w:val="nil"/>
              <w:bottom w:val="nil"/>
              <w:right w:val="nil"/>
            </w:tcBorders>
            <w:shd w:val="clear" w:color="auto" w:fill="auto"/>
            <w:noWrap/>
            <w:vAlign w:val="bottom"/>
            <w:hideMark/>
          </w:tcPr>
          <w:p w:rsidR="00007970" w:rsidRPr="00007970" w:rsidRDefault="00007970" w:rsidP="00007970">
            <w:pPr>
              <w:jc w:val="right"/>
              <w:rPr>
                <w:rFonts w:ascii="Calibri" w:hAnsi="Calibri"/>
                <w:color w:val="000000"/>
                <w:sz w:val="22"/>
                <w:szCs w:val="22"/>
              </w:rPr>
            </w:pPr>
            <w:r w:rsidRPr="00007970">
              <w:rPr>
                <w:rFonts w:ascii="Calibri" w:hAnsi="Calibri"/>
                <w:color w:val="000000"/>
                <w:sz w:val="22"/>
                <w:szCs w:val="22"/>
              </w:rPr>
              <w:t>93.5%</w:t>
            </w:r>
          </w:p>
        </w:tc>
        <w:tc>
          <w:tcPr>
            <w:tcW w:w="940" w:type="dxa"/>
            <w:tcBorders>
              <w:top w:val="nil"/>
              <w:left w:val="nil"/>
              <w:bottom w:val="nil"/>
              <w:right w:val="nil"/>
            </w:tcBorders>
            <w:shd w:val="clear" w:color="auto" w:fill="auto"/>
            <w:noWrap/>
            <w:vAlign w:val="bottom"/>
            <w:hideMark/>
          </w:tcPr>
          <w:p w:rsidR="00007970" w:rsidRPr="00007970" w:rsidRDefault="00007970" w:rsidP="00007970">
            <w:pPr>
              <w:jc w:val="right"/>
              <w:rPr>
                <w:rFonts w:ascii="Calibri" w:hAnsi="Calibri"/>
                <w:color w:val="000000"/>
                <w:sz w:val="22"/>
                <w:szCs w:val="22"/>
              </w:rPr>
            </w:pPr>
            <w:r w:rsidRPr="00007970">
              <w:rPr>
                <w:rFonts w:ascii="Calibri" w:hAnsi="Calibri"/>
                <w:color w:val="000000"/>
                <w:sz w:val="22"/>
                <w:szCs w:val="22"/>
              </w:rPr>
              <w:t>86.0%</w:t>
            </w:r>
          </w:p>
        </w:tc>
        <w:tc>
          <w:tcPr>
            <w:tcW w:w="940" w:type="dxa"/>
            <w:tcBorders>
              <w:top w:val="nil"/>
              <w:left w:val="nil"/>
              <w:bottom w:val="nil"/>
              <w:right w:val="nil"/>
            </w:tcBorders>
            <w:shd w:val="clear" w:color="auto" w:fill="auto"/>
            <w:noWrap/>
            <w:vAlign w:val="bottom"/>
            <w:hideMark/>
          </w:tcPr>
          <w:p w:rsidR="00007970" w:rsidRPr="00007970" w:rsidRDefault="00007970" w:rsidP="00007970">
            <w:pPr>
              <w:jc w:val="right"/>
              <w:rPr>
                <w:rFonts w:ascii="Calibri" w:hAnsi="Calibri"/>
                <w:color w:val="000000"/>
                <w:sz w:val="22"/>
                <w:szCs w:val="22"/>
              </w:rPr>
            </w:pPr>
            <w:r w:rsidRPr="00007970">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007970" w:rsidRPr="00007970" w:rsidRDefault="00007970" w:rsidP="00007970">
            <w:pPr>
              <w:jc w:val="right"/>
              <w:rPr>
                <w:rFonts w:ascii="Calibri" w:hAnsi="Calibri"/>
                <w:color w:val="000000"/>
                <w:sz w:val="22"/>
                <w:szCs w:val="22"/>
              </w:rPr>
            </w:pPr>
            <w:r w:rsidRPr="00007970">
              <w:rPr>
                <w:rFonts w:ascii="Calibri" w:hAnsi="Calibri"/>
                <w:color w:val="000000"/>
                <w:sz w:val="22"/>
                <w:szCs w:val="22"/>
              </w:rPr>
              <w:t>.</w:t>
            </w:r>
          </w:p>
        </w:tc>
      </w:tr>
      <w:tr w:rsidR="00007970" w:rsidRPr="00007970" w:rsidTr="00007970">
        <w:trPr>
          <w:trHeight w:val="300"/>
        </w:trPr>
        <w:tc>
          <w:tcPr>
            <w:tcW w:w="1420" w:type="dxa"/>
            <w:tcBorders>
              <w:top w:val="nil"/>
              <w:left w:val="nil"/>
              <w:bottom w:val="nil"/>
              <w:right w:val="nil"/>
            </w:tcBorders>
            <w:shd w:val="clear" w:color="000000" w:fill="D9D9D9"/>
            <w:noWrap/>
            <w:vAlign w:val="bottom"/>
            <w:hideMark/>
          </w:tcPr>
          <w:p w:rsidR="00007970" w:rsidRPr="00007970" w:rsidRDefault="00007970" w:rsidP="00007970">
            <w:pPr>
              <w:rPr>
                <w:rFonts w:ascii="Calibri" w:hAnsi="Calibri"/>
                <w:color w:val="000000"/>
                <w:sz w:val="22"/>
                <w:szCs w:val="22"/>
              </w:rPr>
            </w:pPr>
            <w:r w:rsidRPr="00007970">
              <w:rPr>
                <w:rFonts w:ascii="Calibri" w:hAnsi="Calibri"/>
                <w:color w:val="000000"/>
                <w:sz w:val="22"/>
                <w:szCs w:val="22"/>
              </w:rPr>
              <w:t>0681</w:t>
            </w:r>
          </w:p>
        </w:tc>
        <w:tc>
          <w:tcPr>
            <w:tcW w:w="3220" w:type="dxa"/>
            <w:tcBorders>
              <w:top w:val="nil"/>
              <w:left w:val="nil"/>
              <w:bottom w:val="nil"/>
              <w:right w:val="nil"/>
            </w:tcBorders>
            <w:shd w:val="clear" w:color="000000" w:fill="D9D9D9"/>
            <w:noWrap/>
            <w:vAlign w:val="bottom"/>
            <w:hideMark/>
          </w:tcPr>
          <w:p w:rsidR="00007970" w:rsidRPr="00007970" w:rsidRDefault="00007970" w:rsidP="00007970">
            <w:pPr>
              <w:rPr>
                <w:rFonts w:ascii="Calibri" w:hAnsi="Calibri"/>
                <w:color w:val="000000"/>
                <w:sz w:val="22"/>
                <w:szCs w:val="22"/>
              </w:rPr>
            </w:pPr>
            <w:r w:rsidRPr="00007970">
              <w:rPr>
                <w:rFonts w:ascii="Calibri" w:hAnsi="Calibri"/>
                <w:color w:val="000000"/>
                <w:sz w:val="22"/>
                <w:szCs w:val="22"/>
              </w:rPr>
              <w:t>Physical Therapist Assistant</w:t>
            </w:r>
          </w:p>
        </w:tc>
        <w:tc>
          <w:tcPr>
            <w:tcW w:w="1760" w:type="dxa"/>
            <w:tcBorders>
              <w:top w:val="nil"/>
              <w:left w:val="nil"/>
              <w:bottom w:val="nil"/>
              <w:right w:val="nil"/>
            </w:tcBorders>
            <w:shd w:val="clear" w:color="000000" w:fill="D9D9D9"/>
            <w:noWrap/>
            <w:vAlign w:val="bottom"/>
            <w:hideMark/>
          </w:tcPr>
          <w:p w:rsidR="00007970" w:rsidRPr="00007970" w:rsidRDefault="00007970" w:rsidP="00007970">
            <w:pPr>
              <w:rPr>
                <w:rFonts w:ascii="Calibri" w:hAnsi="Calibri"/>
                <w:color w:val="000000"/>
                <w:sz w:val="22"/>
                <w:szCs w:val="22"/>
              </w:rPr>
            </w:pPr>
            <w:r w:rsidRPr="00007970">
              <w:rPr>
                <w:rFonts w:ascii="Calibri" w:hAnsi="Calibri"/>
                <w:color w:val="000000"/>
                <w:sz w:val="22"/>
                <w:szCs w:val="22"/>
              </w:rPr>
              <w:t>PTA-1106</w:t>
            </w:r>
          </w:p>
        </w:tc>
        <w:tc>
          <w:tcPr>
            <w:tcW w:w="460" w:type="dxa"/>
            <w:tcBorders>
              <w:top w:val="nil"/>
              <w:left w:val="nil"/>
              <w:bottom w:val="nil"/>
              <w:right w:val="nil"/>
            </w:tcBorders>
            <w:shd w:val="clear" w:color="000000" w:fill="D9D9D9"/>
            <w:noWrap/>
            <w:vAlign w:val="bottom"/>
            <w:hideMark/>
          </w:tcPr>
          <w:p w:rsidR="00007970" w:rsidRPr="00007970" w:rsidRDefault="00007970" w:rsidP="00007970">
            <w:pPr>
              <w:rPr>
                <w:rFonts w:ascii="Calibri" w:hAnsi="Calibri"/>
                <w:color w:val="000000"/>
                <w:sz w:val="22"/>
                <w:szCs w:val="22"/>
              </w:rPr>
            </w:pPr>
            <w:r w:rsidRPr="00007970">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007970" w:rsidRPr="00007970" w:rsidRDefault="00007970" w:rsidP="00007970">
            <w:pPr>
              <w:jc w:val="right"/>
              <w:rPr>
                <w:rFonts w:ascii="Calibri" w:hAnsi="Calibri"/>
                <w:color w:val="000000"/>
                <w:sz w:val="22"/>
                <w:szCs w:val="22"/>
              </w:rPr>
            </w:pPr>
            <w:r w:rsidRPr="00007970">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007970" w:rsidRPr="00007970" w:rsidRDefault="00007970" w:rsidP="00007970">
            <w:pPr>
              <w:jc w:val="right"/>
              <w:rPr>
                <w:rFonts w:ascii="Calibri" w:hAnsi="Calibri"/>
                <w:color w:val="000000"/>
                <w:sz w:val="22"/>
                <w:szCs w:val="22"/>
              </w:rPr>
            </w:pPr>
            <w:r w:rsidRPr="00007970">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007970" w:rsidRPr="00007970" w:rsidRDefault="00007970" w:rsidP="00007970">
            <w:pPr>
              <w:jc w:val="right"/>
              <w:rPr>
                <w:rFonts w:ascii="Calibri" w:hAnsi="Calibri"/>
                <w:color w:val="000000"/>
                <w:sz w:val="22"/>
                <w:szCs w:val="22"/>
              </w:rPr>
            </w:pPr>
            <w:r w:rsidRPr="00007970">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007970" w:rsidRPr="00007970" w:rsidRDefault="00007970" w:rsidP="00007970">
            <w:pPr>
              <w:jc w:val="right"/>
              <w:rPr>
                <w:rFonts w:ascii="Calibri" w:hAnsi="Calibri"/>
                <w:color w:val="000000"/>
                <w:sz w:val="22"/>
                <w:szCs w:val="22"/>
              </w:rPr>
            </w:pPr>
            <w:r w:rsidRPr="00007970">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007970" w:rsidRPr="00007970" w:rsidRDefault="00007970" w:rsidP="00007970">
            <w:pPr>
              <w:jc w:val="right"/>
              <w:rPr>
                <w:rFonts w:ascii="Calibri" w:hAnsi="Calibri"/>
                <w:color w:val="000000"/>
                <w:sz w:val="22"/>
                <w:szCs w:val="22"/>
              </w:rPr>
            </w:pPr>
            <w:r w:rsidRPr="00007970">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007970" w:rsidRPr="00007970" w:rsidRDefault="00007970" w:rsidP="00007970">
            <w:pPr>
              <w:jc w:val="right"/>
              <w:rPr>
                <w:rFonts w:ascii="Calibri" w:hAnsi="Calibri"/>
                <w:color w:val="000000"/>
                <w:sz w:val="22"/>
                <w:szCs w:val="22"/>
              </w:rPr>
            </w:pPr>
            <w:r w:rsidRPr="00007970">
              <w:rPr>
                <w:rFonts w:ascii="Calibri" w:hAnsi="Calibri"/>
                <w:color w:val="000000"/>
                <w:sz w:val="22"/>
                <w:szCs w:val="22"/>
              </w:rPr>
              <w:t>68.2%</w:t>
            </w:r>
          </w:p>
        </w:tc>
        <w:tc>
          <w:tcPr>
            <w:tcW w:w="940" w:type="dxa"/>
            <w:tcBorders>
              <w:top w:val="nil"/>
              <w:left w:val="nil"/>
              <w:bottom w:val="nil"/>
              <w:right w:val="nil"/>
            </w:tcBorders>
            <w:shd w:val="clear" w:color="000000" w:fill="D9D9D9"/>
            <w:noWrap/>
            <w:vAlign w:val="bottom"/>
            <w:hideMark/>
          </w:tcPr>
          <w:p w:rsidR="00007970" w:rsidRPr="00007970" w:rsidRDefault="00007970" w:rsidP="00007970">
            <w:pPr>
              <w:jc w:val="right"/>
              <w:rPr>
                <w:rFonts w:ascii="Calibri" w:hAnsi="Calibri"/>
                <w:color w:val="000000"/>
                <w:sz w:val="22"/>
                <w:szCs w:val="22"/>
              </w:rPr>
            </w:pPr>
            <w:r w:rsidRPr="00007970">
              <w:rPr>
                <w:rFonts w:ascii="Calibri" w:hAnsi="Calibri"/>
                <w:color w:val="000000"/>
                <w:sz w:val="22"/>
                <w:szCs w:val="22"/>
              </w:rPr>
              <w:t>69.7%</w:t>
            </w:r>
          </w:p>
        </w:tc>
      </w:tr>
      <w:tr w:rsidR="00007970" w:rsidRPr="00007970" w:rsidTr="00007970">
        <w:trPr>
          <w:trHeight w:val="300"/>
        </w:trPr>
        <w:tc>
          <w:tcPr>
            <w:tcW w:w="1420" w:type="dxa"/>
            <w:tcBorders>
              <w:top w:val="nil"/>
              <w:left w:val="nil"/>
              <w:bottom w:val="nil"/>
              <w:right w:val="nil"/>
            </w:tcBorders>
            <w:shd w:val="clear" w:color="auto" w:fill="auto"/>
            <w:noWrap/>
            <w:vAlign w:val="bottom"/>
            <w:hideMark/>
          </w:tcPr>
          <w:p w:rsidR="00007970" w:rsidRPr="00007970" w:rsidRDefault="00007970" w:rsidP="00007970">
            <w:pPr>
              <w:rPr>
                <w:rFonts w:ascii="Calibri" w:hAnsi="Calibri"/>
                <w:color w:val="000000"/>
                <w:sz w:val="22"/>
                <w:szCs w:val="22"/>
              </w:rPr>
            </w:pPr>
            <w:r w:rsidRPr="00007970">
              <w:rPr>
                <w:rFonts w:ascii="Calibri" w:hAnsi="Calibri"/>
                <w:color w:val="000000"/>
                <w:sz w:val="22"/>
                <w:szCs w:val="22"/>
              </w:rPr>
              <w:t>0681</w:t>
            </w:r>
          </w:p>
        </w:tc>
        <w:tc>
          <w:tcPr>
            <w:tcW w:w="3220" w:type="dxa"/>
            <w:tcBorders>
              <w:top w:val="nil"/>
              <w:left w:val="nil"/>
              <w:bottom w:val="nil"/>
              <w:right w:val="nil"/>
            </w:tcBorders>
            <w:shd w:val="clear" w:color="auto" w:fill="auto"/>
            <w:noWrap/>
            <w:vAlign w:val="bottom"/>
            <w:hideMark/>
          </w:tcPr>
          <w:p w:rsidR="00007970" w:rsidRPr="00007970" w:rsidRDefault="00007970" w:rsidP="00007970">
            <w:pPr>
              <w:rPr>
                <w:rFonts w:ascii="Calibri" w:hAnsi="Calibri"/>
                <w:color w:val="000000"/>
                <w:sz w:val="22"/>
                <w:szCs w:val="22"/>
              </w:rPr>
            </w:pPr>
            <w:r w:rsidRPr="00007970">
              <w:rPr>
                <w:rFonts w:ascii="Calibri" w:hAnsi="Calibri"/>
                <w:color w:val="000000"/>
                <w:sz w:val="22"/>
                <w:szCs w:val="22"/>
              </w:rPr>
              <w:t>Physical Therapist Assistant</w:t>
            </w:r>
          </w:p>
        </w:tc>
        <w:tc>
          <w:tcPr>
            <w:tcW w:w="1760" w:type="dxa"/>
            <w:tcBorders>
              <w:top w:val="nil"/>
              <w:left w:val="nil"/>
              <w:bottom w:val="nil"/>
              <w:right w:val="nil"/>
            </w:tcBorders>
            <w:shd w:val="clear" w:color="auto" w:fill="auto"/>
            <w:noWrap/>
            <w:vAlign w:val="bottom"/>
            <w:hideMark/>
          </w:tcPr>
          <w:p w:rsidR="00007970" w:rsidRPr="00007970" w:rsidRDefault="00007970" w:rsidP="00007970">
            <w:pPr>
              <w:rPr>
                <w:rFonts w:ascii="Calibri" w:hAnsi="Calibri"/>
                <w:color w:val="000000"/>
                <w:sz w:val="22"/>
                <w:szCs w:val="22"/>
              </w:rPr>
            </w:pPr>
            <w:r w:rsidRPr="00007970">
              <w:rPr>
                <w:rFonts w:ascii="Calibri" w:hAnsi="Calibri"/>
                <w:color w:val="000000"/>
                <w:sz w:val="22"/>
                <w:szCs w:val="22"/>
              </w:rPr>
              <w:t>PTA-1110</w:t>
            </w:r>
          </w:p>
        </w:tc>
        <w:tc>
          <w:tcPr>
            <w:tcW w:w="460" w:type="dxa"/>
            <w:tcBorders>
              <w:top w:val="nil"/>
              <w:left w:val="nil"/>
              <w:bottom w:val="nil"/>
              <w:right w:val="nil"/>
            </w:tcBorders>
            <w:shd w:val="clear" w:color="auto" w:fill="auto"/>
            <w:noWrap/>
            <w:vAlign w:val="bottom"/>
            <w:hideMark/>
          </w:tcPr>
          <w:p w:rsidR="00007970" w:rsidRPr="00007970" w:rsidRDefault="00007970" w:rsidP="00007970">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rsidR="00007970" w:rsidRPr="00007970" w:rsidRDefault="00007970" w:rsidP="00007970">
            <w:pPr>
              <w:jc w:val="right"/>
              <w:rPr>
                <w:rFonts w:ascii="Calibri" w:hAnsi="Calibri"/>
                <w:color w:val="000000"/>
                <w:sz w:val="22"/>
                <w:szCs w:val="22"/>
              </w:rPr>
            </w:pPr>
            <w:r w:rsidRPr="00007970">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007970" w:rsidRPr="00007970" w:rsidRDefault="00007970" w:rsidP="00007970">
            <w:pPr>
              <w:jc w:val="right"/>
              <w:rPr>
                <w:rFonts w:ascii="Calibri" w:hAnsi="Calibri"/>
                <w:color w:val="000000"/>
                <w:sz w:val="22"/>
                <w:szCs w:val="22"/>
              </w:rPr>
            </w:pPr>
            <w:r w:rsidRPr="00007970">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007970" w:rsidRPr="00007970" w:rsidRDefault="00007970" w:rsidP="00007970">
            <w:pPr>
              <w:jc w:val="right"/>
              <w:rPr>
                <w:rFonts w:ascii="Calibri" w:hAnsi="Calibri"/>
                <w:color w:val="000000"/>
                <w:sz w:val="22"/>
                <w:szCs w:val="22"/>
              </w:rPr>
            </w:pPr>
            <w:r w:rsidRPr="00007970">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007970" w:rsidRPr="00007970" w:rsidRDefault="00007970" w:rsidP="00007970">
            <w:pPr>
              <w:jc w:val="right"/>
              <w:rPr>
                <w:rFonts w:ascii="Calibri" w:hAnsi="Calibri"/>
                <w:color w:val="000000"/>
                <w:sz w:val="22"/>
                <w:szCs w:val="22"/>
              </w:rPr>
            </w:pPr>
            <w:r w:rsidRPr="00007970">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007970" w:rsidRPr="00007970" w:rsidRDefault="00007970" w:rsidP="00007970">
            <w:pPr>
              <w:jc w:val="right"/>
              <w:rPr>
                <w:rFonts w:ascii="Calibri" w:hAnsi="Calibri"/>
                <w:color w:val="000000"/>
                <w:sz w:val="22"/>
                <w:szCs w:val="22"/>
              </w:rPr>
            </w:pPr>
            <w:r w:rsidRPr="00007970">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007970" w:rsidRPr="00007970" w:rsidRDefault="00007970" w:rsidP="00007970">
            <w:pPr>
              <w:jc w:val="right"/>
              <w:rPr>
                <w:rFonts w:ascii="Calibri" w:hAnsi="Calibri"/>
                <w:color w:val="000000"/>
                <w:sz w:val="22"/>
                <w:szCs w:val="22"/>
              </w:rPr>
            </w:pPr>
            <w:r w:rsidRPr="00007970">
              <w:rPr>
                <w:rFonts w:ascii="Calibri" w:hAnsi="Calibri"/>
                <w:color w:val="000000"/>
                <w:sz w:val="22"/>
                <w:szCs w:val="22"/>
              </w:rPr>
              <w:t>86.0%</w:t>
            </w:r>
          </w:p>
        </w:tc>
        <w:tc>
          <w:tcPr>
            <w:tcW w:w="940" w:type="dxa"/>
            <w:tcBorders>
              <w:top w:val="nil"/>
              <w:left w:val="nil"/>
              <w:bottom w:val="nil"/>
              <w:right w:val="nil"/>
            </w:tcBorders>
            <w:shd w:val="clear" w:color="auto" w:fill="auto"/>
            <w:noWrap/>
            <w:vAlign w:val="bottom"/>
            <w:hideMark/>
          </w:tcPr>
          <w:p w:rsidR="00007970" w:rsidRPr="00007970" w:rsidRDefault="00007970" w:rsidP="00007970">
            <w:pPr>
              <w:jc w:val="right"/>
              <w:rPr>
                <w:rFonts w:ascii="Calibri" w:hAnsi="Calibri"/>
                <w:color w:val="000000"/>
                <w:sz w:val="22"/>
                <w:szCs w:val="22"/>
              </w:rPr>
            </w:pPr>
            <w:r w:rsidRPr="00007970">
              <w:rPr>
                <w:rFonts w:ascii="Calibri" w:hAnsi="Calibri"/>
                <w:color w:val="000000"/>
                <w:sz w:val="22"/>
                <w:szCs w:val="22"/>
              </w:rPr>
              <w:t>97.9%</w:t>
            </w:r>
          </w:p>
        </w:tc>
      </w:tr>
      <w:tr w:rsidR="00007970" w:rsidRPr="00007970" w:rsidTr="00007970">
        <w:trPr>
          <w:trHeight w:val="300"/>
        </w:trPr>
        <w:tc>
          <w:tcPr>
            <w:tcW w:w="1420" w:type="dxa"/>
            <w:tcBorders>
              <w:top w:val="nil"/>
              <w:left w:val="nil"/>
              <w:bottom w:val="nil"/>
              <w:right w:val="nil"/>
            </w:tcBorders>
            <w:shd w:val="clear" w:color="000000" w:fill="D9D9D9"/>
            <w:noWrap/>
            <w:vAlign w:val="bottom"/>
            <w:hideMark/>
          </w:tcPr>
          <w:p w:rsidR="00007970" w:rsidRPr="00007970" w:rsidRDefault="00007970" w:rsidP="00007970">
            <w:pPr>
              <w:rPr>
                <w:rFonts w:ascii="Calibri" w:hAnsi="Calibri"/>
                <w:color w:val="000000"/>
                <w:sz w:val="22"/>
                <w:szCs w:val="22"/>
              </w:rPr>
            </w:pPr>
            <w:r w:rsidRPr="00007970">
              <w:rPr>
                <w:rFonts w:ascii="Calibri" w:hAnsi="Calibri"/>
                <w:color w:val="000000"/>
                <w:sz w:val="22"/>
                <w:szCs w:val="22"/>
              </w:rPr>
              <w:t>0681</w:t>
            </w:r>
          </w:p>
        </w:tc>
        <w:tc>
          <w:tcPr>
            <w:tcW w:w="3220" w:type="dxa"/>
            <w:tcBorders>
              <w:top w:val="nil"/>
              <w:left w:val="nil"/>
              <w:bottom w:val="nil"/>
              <w:right w:val="nil"/>
            </w:tcBorders>
            <w:shd w:val="clear" w:color="000000" w:fill="D9D9D9"/>
            <w:noWrap/>
            <w:vAlign w:val="bottom"/>
            <w:hideMark/>
          </w:tcPr>
          <w:p w:rsidR="00007970" w:rsidRPr="00007970" w:rsidRDefault="00007970" w:rsidP="00007970">
            <w:pPr>
              <w:rPr>
                <w:rFonts w:ascii="Calibri" w:hAnsi="Calibri"/>
                <w:color w:val="000000"/>
                <w:sz w:val="22"/>
                <w:szCs w:val="22"/>
              </w:rPr>
            </w:pPr>
            <w:r w:rsidRPr="00007970">
              <w:rPr>
                <w:rFonts w:ascii="Calibri" w:hAnsi="Calibri"/>
                <w:color w:val="000000"/>
                <w:sz w:val="22"/>
                <w:szCs w:val="22"/>
              </w:rPr>
              <w:t>Physical Therapist Assistant</w:t>
            </w:r>
          </w:p>
        </w:tc>
        <w:tc>
          <w:tcPr>
            <w:tcW w:w="1760" w:type="dxa"/>
            <w:tcBorders>
              <w:top w:val="nil"/>
              <w:left w:val="nil"/>
              <w:bottom w:val="nil"/>
              <w:right w:val="nil"/>
            </w:tcBorders>
            <w:shd w:val="clear" w:color="000000" w:fill="D9D9D9"/>
            <w:noWrap/>
            <w:vAlign w:val="bottom"/>
            <w:hideMark/>
          </w:tcPr>
          <w:p w:rsidR="00007970" w:rsidRPr="00007970" w:rsidRDefault="00007970" w:rsidP="00007970">
            <w:pPr>
              <w:rPr>
                <w:rFonts w:ascii="Calibri" w:hAnsi="Calibri"/>
                <w:color w:val="000000"/>
                <w:sz w:val="22"/>
                <w:szCs w:val="22"/>
              </w:rPr>
            </w:pPr>
            <w:r w:rsidRPr="00007970">
              <w:rPr>
                <w:rFonts w:ascii="Calibri" w:hAnsi="Calibri"/>
                <w:color w:val="000000"/>
                <w:sz w:val="22"/>
                <w:szCs w:val="22"/>
              </w:rPr>
              <w:t>PTA-1112</w:t>
            </w:r>
          </w:p>
        </w:tc>
        <w:tc>
          <w:tcPr>
            <w:tcW w:w="460" w:type="dxa"/>
            <w:tcBorders>
              <w:top w:val="nil"/>
              <w:left w:val="nil"/>
              <w:bottom w:val="nil"/>
              <w:right w:val="nil"/>
            </w:tcBorders>
            <w:shd w:val="clear" w:color="000000" w:fill="D9D9D9"/>
            <w:noWrap/>
            <w:vAlign w:val="bottom"/>
            <w:hideMark/>
          </w:tcPr>
          <w:p w:rsidR="00007970" w:rsidRPr="00007970" w:rsidRDefault="00007970" w:rsidP="00007970">
            <w:pPr>
              <w:rPr>
                <w:rFonts w:ascii="Calibri" w:hAnsi="Calibri"/>
                <w:color w:val="000000"/>
                <w:sz w:val="22"/>
                <w:szCs w:val="22"/>
              </w:rPr>
            </w:pPr>
            <w:r w:rsidRPr="00007970">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007970" w:rsidRPr="00007970" w:rsidRDefault="00007970" w:rsidP="00007970">
            <w:pPr>
              <w:jc w:val="right"/>
              <w:rPr>
                <w:rFonts w:ascii="Calibri" w:hAnsi="Calibri"/>
                <w:color w:val="000000"/>
                <w:sz w:val="22"/>
                <w:szCs w:val="22"/>
              </w:rPr>
            </w:pPr>
            <w:r w:rsidRPr="00007970">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007970" w:rsidRPr="00007970" w:rsidRDefault="00007970" w:rsidP="00007970">
            <w:pPr>
              <w:jc w:val="right"/>
              <w:rPr>
                <w:rFonts w:ascii="Calibri" w:hAnsi="Calibri"/>
                <w:color w:val="000000"/>
                <w:sz w:val="22"/>
                <w:szCs w:val="22"/>
              </w:rPr>
            </w:pPr>
            <w:r w:rsidRPr="00007970">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007970" w:rsidRPr="00007970" w:rsidRDefault="00007970" w:rsidP="00007970">
            <w:pPr>
              <w:jc w:val="right"/>
              <w:rPr>
                <w:rFonts w:ascii="Calibri" w:hAnsi="Calibri"/>
                <w:color w:val="000000"/>
                <w:sz w:val="22"/>
                <w:szCs w:val="22"/>
              </w:rPr>
            </w:pPr>
            <w:r w:rsidRPr="00007970">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007970" w:rsidRPr="00007970" w:rsidRDefault="00007970" w:rsidP="00007970">
            <w:pPr>
              <w:jc w:val="right"/>
              <w:rPr>
                <w:rFonts w:ascii="Calibri" w:hAnsi="Calibri"/>
                <w:color w:val="000000"/>
                <w:sz w:val="22"/>
                <w:szCs w:val="22"/>
              </w:rPr>
            </w:pPr>
            <w:r w:rsidRPr="00007970">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007970" w:rsidRPr="00007970" w:rsidRDefault="00007970" w:rsidP="00007970">
            <w:pPr>
              <w:jc w:val="right"/>
              <w:rPr>
                <w:rFonts w:ascii="Calibri" w:hAnsi="Calibri"/>
                <w:color w:val="000000"/>
                <w:sz w:val="22"/>
                <w:szCs w:val="22"/>
              </w:rPr>
            </w:pPr>
            <w:r w:rsidRPr="00007970">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007970" w:rsidRPr="00007970" w:rsidRDefault="00007970" w:rsidP="00007970">
            <w:pPr>
              <w:jc w:val="right"/>
              <w:rPr>
                <w:rFonts w:ascii="Calibri" w:hAnsi="Calibri"/>
                <w:color w:val="000000"/>
                <w:sz w:val="22"/>
                <w:szCs w:val="22"/>
              </w:rPr>
            </w:pPr>
            <w:r w:rsidRPr="00007970">
              <w:rPr>
                <w:rFonts w:ascii="Calibri" w:hAnsi="Calibri"/>
                <w:color w:val="000000"/>
                <w:sz w:val="22"/>
                <w:szCs w:val="22"/>
              </w:rPr>
              <w:t>89.4%</w:t>
            </w:r>
          </w:p>
        </w:tc>
        <w:tc>
          <w:tcPr>
            <w:tcW w:w="940" w:type="dxa"/>
            <w:tcBorders>
              <w:top w:val="nil"/>
              <w:left w:val="nil"/>
              <w:bottom w:val="nil"/>
              <w:right w:val="nil"/>
            </w:tcBorders>
            <w:shd w:val="clear" w:color="000000" w:fill="D9D9D9"/>
            <w:noWrap/>
            <w:vAlign w:val="bottom"/>
            <w:hideMark/>
          </w:tcPr>
          <w:p w:rsidR="00007970" w:rsidRPr="00007970" w:rsidRDefault="00007970" w:rsidP="00007970">
            <w:pPr>
              <w:jc w:val="right"/>
              <w:rPr>
                <w:rFonts w:ascii="Calibri" w:hAnsi="Calibri"/>
                <w:color w:val="000000"/>
                <w:sz w:val="22"/>
                <w:szCs w:val="22"/>
              </w:rPr>
            </w:pPr>
            <w:r w:rsidRPr="00007970">
              <w:rPr>
                <w:rFonts w:ascii="Calibri" w:hAnsi="Calibri"/>
                <w:color w:val="000000"/>
                <w:sz w:val="22"/>
                <w:szCs w:val="22"/>
              </w:rPr>
              <w:t>98.0%</w:t>
            </w:r>
          </w:p>
        </w:tc>
      </w:tr>
      <w:tr w:rsidR="00007970" w:rsidRPr="00007970" w:rsidTr="00007970">
        <w:trPr>
          <w:trHeight w:val="300"/>
        </w:trPr>
        <w:tc>
          <w:tcPr>
            <w:tcW w:w="1420" w:type="dxa"/>
            <w:tcBorders>
              <w:top w:val="nil"/>
              <w:left w:val="nil"/>
              <w:bottom w:val="nil"/>
              <w:right w:val="nil"/>
            </w:tcBorders>
            <w:shd w:val="clear" w:color="auto" w:fill="auto"/>
            <w:noWrap/>
            <w:vAlign w:val="bottom"/>
            <w:hideMark/>
          </w:tcPr>
          <w:p w:rsidR="00007970" w:rsidRPr="00007970" w:rsidRDefault="00007970" w:rsidP="00007970">
            <w:pPr>
              <w:rPr>
                <w:rFonts w:ascii="Calibri" w:hAnsi="Calibri"/>
                <w:color w:val="000000"/>
                <w:sz w:val="22"/>
                <w:szCs w:val="22"/>
              </w:rPr>
            </w:pPr>
            <w:r w:rsidRPr="00007970">
              <w:rPr>
                <w:rFonts w:ascii="Calibri" w:hAnsi="Calibri"/>
                <w:color w:val="000000"/>
                <w:sz w:val="22"/>
                <w:szCs w:val="22"/>
              </w:rPr>
              <w:t>0681</w:t>
            </w:r>
          </w:p>
        </w:tc>
        <w:tc>
          <w:tcPr>
            <w:tcW w:w="3220" w:type="dxa"/>
            <w:tcBorders>
              <w:top w:val="nil"/>
              <w:left w:val="nil"/>
              <w:bottom w:val="nil"/>
              <w:right w:val="nil"/>
            </w:tcBorders>
            <w:shd w:val="clear" w:color="auto" w:fill="auto"/>
            <w:noWrap/>
            <w:vAlign w:val="bottom"/>
            <w:hideMark/>
          </w:tcPr>
          <w:p w:rsidR="00007970" w:rsidRPr="00007970" w:rsidRDefault="00007970" w:rsidP="00007970">
            <w:pPr>
              <w:rPr>
                <w:rFonts w:ascii="Calibri" w:hAnsi="Calibri"/>
                <w:color w:val="000000"/>
                <w:sz w:val="22"/>
                <w:szCs w:val="22"/>
              </w:rPr>
            </w:pPr>
            <w:r w:rsidRPr="00007970">
              <w:rPr>
                <w:rFonts w:ascii="Calibri" w:hAnsi="Calibri"/>
                <w:color w:val="000000"/>
                <w:sz w:val="22"/>
                <w:szCs w:val="22"/>
              </w:rPr>
              <w:t>Physical Therapist Assistant</w:t>
            </w:r>
          </w:p>
        </w:tc>
        <w:tc>
          <w:tcPr>
            <w:tcW w:w="1760" w:type="dxa"/>
            <w:tcBorders>
              <w:top w:val="nil"/>
              <w:left w:val="nil"/>
              <w:bottom w:val="nil"/>
              <w:right w:val="nil"/>
            </w:tcBorders>
            <w:shd w:val="clear" w:color="auto" w:fill="auto"/>
            <w:noWrap/>
            <w:vAlign w:val="bottom"/>
            <w:hideMark/>
          </w:tcPr>
          <w:p w:rsidR="00007970" w:rsidRPr="00007970" w:rsidRDefault="00007970" w:rsidP="00007970">
            <w:pPr>
              <w:rPr>
                <w:rFonts w:ascii="Calibri" w:hAnsi="Calibri"/>
                <w:color w:val="000000"/>
                <w:sz w:val="22"/>
                <w:szCs w:val="22"/>
              </w:rPr>
            </w:pPr>
            <w:r w:rsidRPr="00007970">
              <w:rPr>
                <w:rFonts w:ascii="Calibri" w:hAnsi="Calibri"/>
                <w:color w:val="000000"/>
                <w:sz w:val="22"/>
                <w:szCs w:val="22"/>
              </w:rPr>
              <w:t>PTA-1115</w:t>
            </w:r>
          </w:p>
        </w:tc>
        <w:tc>
          <w:tcPr>
            <w:tcW w:w="460" w:type="dxa"/>
            <w:tcBorders>
              <w:top w:val="nil"/>
              <w:left w:val="nil"/>
              <w:bottom w:val="nil"/>
              <w:right w:val="nil"/>
            </w:tcBorders>
            <w:shd w:val="clear" w:color="auto" w:fill="auto"/>
            <w:noWrap/>
            <w:vAlign w:val="bottom"/>
            <w:hideMark/>
          </w:tcPr>
          <w:p w:rsidR="00007970" w:rsidRPr="00007970" w:rsidRDefault="00007970" w:rsidP="00007970">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rsidR="00007970" w:rsidRPr="00007970" w:rsidRDefault="00007970" w:rsidP="00007970">
            <w:pPr>
              <w:jc w:val="right"/>
              <w:rPr>
                <w:rFonts w:ascii="Calibri" w:hAnsi="Calibri"/>
                <w:color w:val="000000"/>
                <w:sz w:val="22"/>
                <w:szCs w:val="22"/>
              </w:rPr>
            </w:pPr>
            <w:r w:rsidRPr="00007970">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007970" w:rsidRPr="00007970" w:rsidRDefault="00007970" w:rsidP="00007970">
            <w:pPr>
              <w:jc w:val="right"/>
              <w:rPr>
                <w:rFonts w:ascii="Calibri" w:hAnsi="Calibri"/>
                <w:color w:val="000000"/>
                <w:sz w:val="22"/>
                <w:szCs w:val="22"/>
              </w:rPr>
            </w:pPr>
            <w:r w:rsidRPr="00007970">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007970" w:rsidRPr="00007970" w:rsidRDefault="00007970" w:rsidP="00007970">
            <w:pPr>
              <w:jc w:val="right"/>
              <w:rPr>
                <w:rFonts w:ascii="Calibri" w:hAnsi="Calibri"/>
                <w:color w:val="000000"/>
                <w:sz w:val="22"/>
                <w:szCs w:val="22"/>
              </w:rPr>
            </w:pPr>
            <w:r w:rsidRPr="00007970">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007970" w:rsidRPr="00007970" w:rsidRDefault="00007970" w:rsidP="00007970">
            <w:pPr>
              <w:jc w:val="right"/>
              <w:rPr>
                <w:rFonts w:ascii="Calibri" w:hAnsi="Calibri"/>
                <w:color w:val="000000"/>
                <w:sz w:val="22"/>
                <w:szCs w:val="22"/>
              </w:rPr>
            </w:pPr>
            <w:r w:rsidRPr="00007970">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007970" w:rsidRPr="00007970" w:rsidRDefault="00007970" w:rsidP="00007970">
            <w:pPr>
              <w:jc w:val="right"/>
              <w:rPr>
                <w:rFonts w:ascii="Calibri" w:hAnsi="Calibri"/>
                <w:color w:val="000000"/>
                <w:sz w:val="22"/>
                <w:szCs w:val="22"/>
              </w:rPr>
            </w:pPr>
            <w:r w:rsidRPr="00007970">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007970" w:rsidRPr="00007970" w:rsidRDefault="00007970" w:rsidP="00007970">
            <w:pPr>
              <w:jc w:val="right"/>
              <w:rPr>
                <w:rFonts w:ascii="Calibri" w:hAnsi="Calibri"/>
                <w:color w:val="000000"/>
                <w:sz w:val="22"/>
                <w:szCs w:val="22"/>
              </w:rPr>
            </w:pPr>
            <w:r w:rsidRPr="00007970">
              <w:rPr>
                <w:rFonts w:ascii="Calibri" w:hAnsi="Calibri"/>
                <w:color w:val="000000"/>
                <w:sz w:val="22"/>
                <w:szCs w:val="22"/>
              </w:rPr>
              <w:t>100.0%</w:t>
            </w:r>
          </w:p>
        </w:tc>
        <w:tc>
          <w:tcPr>
            <w:tcW w:w="940" w:type="dxa"/>
            <w:tcBorders>
              <w:top w:val="nil"/>
              <w:left w:val="nil"/>
              <w:bottom w:val="nil"/>
              <w:right w:val="nil"/>
            </w:tcBorders>
            <w:shd w:val="clear" w:color="auto" w:fill="auto"/>
            <w:noWrap/>
            <w:vAlign w:val="bottom"/>
            <w:hideMark/>
          </w:tcPr>
          <w:p w:rsidR="00007970" w:rsidRPr="00007970" w:rsidRDefault="00007970" w:rsidP="00007970">
            <w:pPr>
              <w:jc w:val="right"/>
              <w:rPr>
                <w:rFonts w:ascii="Calibri" w:hAnsi="Calibri"/>
                <w:color w:val="000000"/>
                <w:sz w:val="22"/>
                <w:szCs w:val="22"/>
              </w:rPr>
            </w:pPr>
            <w:r w:rsidRPr="00007970">
              <w:rPr>
                <w:rFonts w:ascii="Calibri" w:hAnsi="Calibri"/>
                <w:color w:val="000000"/>
                <w:sz w:val="22"/>
                <w:szCs w:val="22"/>
              </w:rPr>
              <w:t>100.0%</w:t>
            </w:r>
          </w:p>
        </w:tc>
      </w:tr>
      <w:tr w:rsidR="00007970" w:rsidRPr="00007970" w:rsidTr="00007970">
        <w:trPr>
          <w:trHeight w:val="300"/>
        </w:trPr>
        <w:tc>
          <w:tcPr>
            <w:tcW w:w="1420" w:type="dxa"/>
            <w:tcBorders>
              <w:top w:val="nil"/>
              <w:left w:val="nil"/>
              <w:bottom w:val="nil"/>
              <w:right w:val="nil"/>
            </w:tcBorders>
            <w:shd w:val="clear" w:color="000000" w:fill="D9D9D9"/>
            <w:noWrap/>
            <w:vAlign w:val="bottom"/>
            <w:hideMark/>
          </w:tcPr>
          <w:p w:rsidR="00007970" w:rsidRPr="00007970" w:rsidRDefault="00007970" w:rsidP="00007970">
            <w:pPr>
              <w:rPr>
                <w:rFonts w:ascii="Calibri" w:hAnsi="Calibri"/>
                <w:color w:val="000000"/>
                <w:sz w:val="22"/>
                <w:szCs w:val="22"/>
              </w:rPr>
            </w:pPr>
            <w:r w:rsidRPr="00007970">
              <w:rPr>
                <w:rFonts w:ascii="Calibri" w:hAnsi="Calibri"/>
                <w:color w:val="000000"/>
                <w:sz w:val="22"/>
                <w:szCs w:val="22"/>
              </w:rPr>
              <w:t>0681</w:t>
            </w:r>
          </w:p>
        </w:tc>
        <w:tc>
          <w:tcPr>
            <w:tcW w:w="3220" w:type="dxa"/>
            <w:tcBorders>
              <w:top w:val="nil"/>
              <w:left w:val="nil"/>
              <w:bottom w:val="nil"/>
              <w:right w:val="nil"/>
            </w:tcBorders>
            <w:shd w:val="clear" w:color="000000" w:fill="D9D9D9"/>
            <w:noWrap/>
            <w:vAlign w:val="bottom"/>
            <w:hideMark/>
          </w:tcPr>
          <w:p w:rsidR="00007970" w:rsidRPr="00007970" w:rsidRDefault="00007970" w:rsidP="00007970">
            <w:pPr>
              <w:rPr>
                <w:rFonts w:ascii="Calibri" w:hAnsi="Calibri"/>
                <w:color w:val="000000"/>
                <w:sz w:val="22"/>
                <w:szCs w:val="22"/>
              </w:rPr>
            </w:pPr>
            <w:r w:rsidRPr="00007970">
              <w:rPr>
                <w:rFonts w:ascii="Calibri" w:hAnsi="Calibri"/>
                <w:color w:val="000000"/>
                <w:sz w:val="22"/>
                <w:szCs w:val="22"/>
              </w:rPr>
              <w:t>Physical Therapist Assistant</w:t>
            </w:r>
          </w:p>
        </w:tc>
        <w:tc>
          <w:tcPr>
            <w:tcW w:w="1760" w:type="dxa"/>
            <w:tcBorders>
              <w:top w:val="nil"/>
              <w:left w:val="nil"/>
              <w:bottom w:val="nil"/>
              <w:right w:val="nil"/>
            </w:tcBorders>
            <w:shd w:val="clear" w:color="000000" w:fill="D9D9D9"/>
            <w:noWrap/>
            <w:vAlign w:val="bottom"/>
            <w:hideMark/>
          </w:tcPr>
          <w:p w:rsidR="00007970" w:rsidRPr="00007970" w:rsidRDefault="00007970" w:rsidP="00007970">
            <w:pPr>
              <w:rPr>
                <w:rFonts w:ascii="Calibri" w:hAnsi="Calibri"/>
                <w:color w:val="000000"/>
                <w:sz w:val="22"/>
                <w:szCs w:val="22"/>
              </w:rPr>
            </w:pPr>
            <w:r w:rsidRPr="00007970">
              <w:rPr>
                <w:rFonts w:ascii="Calibri" w:hAnsi="Calibri"/>
                <w:color w:val="000000"/>
                <w:sz w:val="22"/>
                <w:szCs w:val="22"/>
              </w:rPr>
              <w:t>PTA-1116</w:t>
            </w:r>
          </w:p>
        </w:tc>
        <w:tc>
          <w:tcPr>
            <w:tcW w:w="460" w:type="dxa"/>
            <w:tcBorders>
              <w:top w:val="nil"/>
              <w:left w:val="nil"/>
              <w:bottom w:val="nil"/>
              <w:right w:val="nil"/>
            </w:tcBorders>
            <w:shd w:val="clear" w:color="000000" w:fill="D9D9D9"/>
            <w:noWrap/>
            <w:vAlign w:val="bottom"/>
            <w:hideMark/>
          </w:tcPr>
          <w:p w:rsidR="00007970" w:rsidRPr="00007970" w:rsidRDefault="00007970" w:rsidP="00007970">
            <w:pPr>
              <w:rPr>
                <w:rFonts w:ascii="Calibri" w:hAnsi="Calibri"/>
                <w:color w:val="000000"/>
                <w:sz w:val="22"/>
                <w:szCs w:val="22"/>
              </w:rPr>
            </w:pPr>
            <w:r w:rsidRPr="00007970">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007970" w:rsidRPr="00007970" w:rsidRDefault="00007970" w:rsidP="00007970">
            <w:pPr>
              <w:jc w:val="right"/>
              <w:rPr>
                <w:rFonts w:ascii="Calibri" w:hAnsi="Calibri"/>
                <w:color w:val="000000"/>
                <w:sz w:val="22"/>
                <w:szCs w:val="22"/>
              </w:rPr>
            </w:pPr>
            <w:r w:rsidRPr="00007970">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007970" w:rsidRPr="00007970" w:rsidRDefault="00007970" w:rsidP="00007970">
            <w:pPr>
              <w:jc w:val="right"/>
              <w:rPr>
                <w:rFonts w:ascii="Calibri" w:hAnsi="Calibri"/>
                <w:color w:val="000000"/>
                <w:sz w:val="22"/>
                <w:szCs w:val="22"/>
              </w:rPr>
            </w:pPr>
            <w:r w:rsidRPr="00007970">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007970" w:rsidRPr="00007970" w:rsidRDefault="00007970" w:rsidP="00007970">
            <w:pPr>
              <w:jc w:val="right"/>
              <w:rPr>
                <w:rFonts w:ascii="Calibri" w:hAnsi="Calibri"/>
                <w:color w:val="000000"/>
                <w:sz w:val="22"/>
                <w:szCs w:val="22"/>
              </w:rPr>
            </w:pPr>
            <w:r w:rsidRPr="00007970">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007970" w:rsidRPr="00007970" w:rsidRDefault="00007970" w:rsidP="00007970">
            <w:pPr>
              <w:jc w:val="right"/>
              <w:rPr>
                <w:rFonts w:ascii="Calibri" w:hAnsi="Calibri"/>
                <w:color w:val="000000"/>
                <w:sz w:val="22"/>
                <w:szCs w:val="22"/>
              </w:rPr>
            </w:pPr>
            <w:r w:rsidRPr="00007970">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007970" w:rsidRPr="00007970" w:rsidRDefault="00007970" w:rsidP="00007970">
            <w:pPr>
              <w:jc w:val="right"/>
              <w:rPr>
                <w:rFonts w:ascii="Calibri" w:hAnsi="Calibri"/>
                <w:color w:val="000000"/>
                <w:sz w:val="22"/>
                <w:szCs w:val="22"/>
              </w:rPr>
            </w:pPr>
            <w:r w:rsidRPr="00007970">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007970" w:rsidRPr="00007970" w:rsidRDefault="00007970" w:rsidP="00007970">
            <w:pPr>
              <w:jc w:val="right"/>
              <w:rPr>
                <w:rFonts w:ascii="Calibri" w:hAnsi="Calibri"/>
                <w:color w:val="000000"/>
                <w:sz w:val="22"/>
                <w:szCs w:val="22"/>
              </w:rPr>
            </w:pPr>
            <w:r w:rsidRPr="00007970">
              <w:rPr>
                <w:rFonts w:ascii="Calibri" w:hAnsi="Calibri"/>
                <w:color w:val="000000"/>
                <w:sz w:val="22"/>
                <w:szCs w:val="22"/>
              </w:rPr>
              <w:t>74.0%</w:t>
            </w:r>
          </w:p>
        </w:tc>
        <w:tc>
          <w:tcPr>
            <w:tcW w:w="940" w:type="dxa"/>
            <w:tcBorders>
              <w:top w:val="nil"/>
              <w:left w:val="nil"/>
              <w:bottom w:val="nil"/>
              <w:right w:val="nil"/>
            </w:tcBorders>
            <w:shd w:val="clear" w:color="000000" w:fill="D9D9D9"/>
            <w:noWrap/>
            <w:vAlign w:val="bottom"/>
            <w:hideMark/>
          </w:tcPr>
          <w:p w:rsidR="00007970" w:rsidRPr="00007970" w:rsidRDefault="00007970" w:rsidP="00007970">
            <w:pPr>
              <w:jc w:val="right"/>
              <w:rPr>
                <w:rFonts w:ascii="Calibri" w:hAnsi="Calibri"/>
                <w:color w:val="000000"/>
                <w:sz w:val="22"/>
                <w:szCs w:val="22"/>
              </w:rPr>
            </w:pPr>
            <w:r w:rsidRPr="00007970">
              <w:rPr>
                <w:rFonts w:ascii="Calibri" w:hAnsi="Calibri"/>
                <w:color w:val="000000"/>
                <w:sz w:val="22"/>
                <w:szCs w:val="22"/>
              </w:rPr>
              <w:t>96.0%</w:t>
            </w:r>
          </w:p>
        </w:tc>
      </w:tr>
      <w:tr w:rsidR="00007970" w:rsidRPr="00007970" w:rsidTr="00007970">
        <w:trPr>
          <w:trHeight w:val="300"/>
        </w:trPr>
        <w:tc>
          <w:tcPr>
            <w:tcW w:w="1420" w:type="dxa"/>
            <w:tcBorders>
              <w:top w:val="nil"/>
              <w:left w:val="nil"/>
              <w:bottom w:val="nil"/>
              <w:right w:val="nil"/>
            </w:tcBorders>
            <w:shd w:val="clear" w:color="auto" w:fill="auto"/>
            <w:noWrap/>
            <w:vAlign w:val="bottom"/>
            <w:hideMark/>
          </w:tcPr>
          <w:p w:rsidR="00007970" w:rsidRPr="00007970" w:rsidRDefault="00007970" w:rsidP="00007970">
            <w:pPr>
              <w:rPr>
                <w:rFonts w:ascii="Calibri" w:hAnsi="Calibri"/>
                <w:color w:val="000000"/>
                <w:sz w:val="22"/>
                <w:szCs w:val="22"/>
              </w:rPr>
            </w:pPr>
            <w:r w:rsidRPr="00007970">
              <w:rPr>
                <w:rFonts w:ascii="Calibri" w:hAnsi="Calibri"/>
                <w:color w:val="000000"/>
                <w:sz w:val="22"/>
                <w:szCs w:val="22"/>
              </w:rPr>
              <w:t>0681</w:t>
            </w:r>
          </w:p>
        </w:tc>
        <w:tc>
          <w:tcPr>
            <w:tcW w:w="3220" w:type="dxa"/>
            <w:tcBorders>
              <w:top w:val="nil"/>
              <w:left w:val="nil"/>
              <w:bottom w:val="nil"/>
              <w:right w:val="nil"/>
            </w:tcBorders>
            <w:shd w:val="clear" w:color="auto" w:fill="auto"/>
            <w:noWrap/>
            <w:vAlign w:val="bottom"/>
            <w:hideMark/>
          </w:tcPr>
          <w:p w:rsidR="00007970" w:rsidRPr="00007970" w:rsidRDefault="00007970" w:rsidP="00007970">
            <w:pPr>
              <w:rPr>
                <w:rFonts w:ascii="Calibri" w:hAnsi="Calibri"/>
                <w:color w:val="000000"/>
                <w:sz w:val="22"/>
                <w:szCs w:val="22"/>
              </w:rPr>
            </w:pPr>
            <w:r w:rsidRPr="00007970">
              <w:rPr>
                <w:rFonts w:ascii="Calibri" w:hAnsi="Calibri"/>
                <w:color w:val="000000"/>
                <w:sz w:val="22"/>
                <w:szCs w:val="22"/>
              </w:rPr>
              <w:t>Physical Therapist Assistant</w:t>
            </w:r>
          </w:p>
        </w:tc>
        <w:tc>
          <w:tcPr>
            <w:tcW w:w="1760" w:type="dxa"/>
            <w:tcBorders>
              <w:top w:val="nil"/>
              <w:left w:val="nil"/>
              <w:bottom w:val="nil"/>
              <w:right w:val="nil"/>
            </w:tcBorders>
            <w:shd w:val="clear" w:color="auto" w:fill="auto"/>
            <w:noWrap/>
            <w:vAlign w:val="bottom"/>
            <w:hideMark/>
          </w:tcPr>
          <w:p w:rsidR="00007970" w:rsidRPr="00007970" w:rsidRDefault="00007970" w:rsidP="00007970">
            <w:pPr>
              <w:rPr>
                <w:rFonts w:ascii="Calibri" w:hAnsi="Calibri"/>
                <w:color w:val="000000"/>
                <w:sz w:val="22"/>
                <w:szCs w:val="22"/>
              </w:rPr>
            </w:pPr>
            <w:r w:rsidRPr="00007970">
              <w:rPr>
                <w:rFonts w:ascii="Calibri" w:hAnsi="Calibri"/>
                <w:color w:val="000000"/>
                <w:sz w:val="22"/>
                <w:szCs w:val="22"/>
              </w:rPr>
              <w:t>PTA-112</w:t>
            </w:r>
          </w:p>
        </w:tc>
        <w:tc>
          <w:tcPr>
            <w:tcW w:w="460" w:type="dxa"/>
            <w:tcBorders>
              <w:top w:val="nil"/>
              <w:left w:val="nil"/>
              <w:bottom w:val="nil"/>
              <w:right w:val="nil"/>
            </w:tcBorders>
            <w:shd w:val="clear" w:color="auto" w:fill="auto"/>
            <w:noWrap/>
            <w:vAlign w:val="bottom"/>
            <w:hideMark/>
          </w:tcPr>
          <w:p w:rsidR="00007970" w:rsidRPr="00007970" w:rsidRDefault="00007970" w:rsidP="00007970">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rsidR="00007970" w:rsidRPr="00007970" w:rsidRDefault="00007970" w:rsidP="00007970">
            <w:pPr>
              <w:jc w:val="right"/>
              <w:rPr>
                <w:rFonts w:ascii="Calibri" w:hAnsi="Calibri"/>
                <w:color w:val="000000"/>
                <w:sz w:val="22"/>
                <w:szCs w:val="22"/>
              </w:rPr>
            </w:pPr>
            <w:r w:rsidRPr="00007970">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007970" w:rsidRPr="00007970" w:rsidRDefault="00007970" w:rsidP="00007970">
            <w:pPr>
              <w:jc w:val="right"/>
              <w:rPr>
                <w:rFonts w:ascii="Calibri" w:hAnsi="Calibri"/>
                <w:color w:val="000000"/>
                <w:sz w:val="22"/>
                <w:szCs w:val="22"/>
              </w:rPr>
            </w:pPr>
            <w:r w:rsidRPr="00007970">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007970" w:rsidRPr="00007970" w:rsidRDefault="00007970" w:rsidP="00007970">
            <w:pPr>
              <w:jc w:val="right"/>
              <w:rPr>
                <w:rFonts w:ascii="Calibri" w:hAnsi="Calibri"/>
                <w:color w:val="000000"/>
                <w:sz w:val="22"/>
                <w:szCs w:val="22"/>
              </w:rPr>
            </w:pPr>
            <w:r w:rsidRPr="00007970">
              <w:rPr>
                <w:rFonts w:ascii="Calibri" w:hAnsi="Calibri"/>
                <w:color w:val="000000"/>
                <w:sz w:val="22"/>
                <w:szCs w:val="22"/>
              </w:rPr>
              <w:t>100.0%</w:t>
            </w:r>
          </w:p>
        </w:tc>
        <w:tc>
          <w:tcPr>
            <w:tcW w:w="940" w:type="dxa"/>
            <w:tcBorders>
              <w:top w:val="nil"/>
              <w:left w:val="nil"/>
              <w:bottom w:val="nil"/>
              <w:right w:val="nil"/>
            </w:tcBorders>
            <w:shd w:val="clear" w:color="auto" w:fill="auto"/>
            <w:noWrap/>
            <w:vAlign w:val="bottom"/>
            <w:hideMark/>
          </w:tcPr>
          <w:p w:rsidR="00007970" w:rsidRPr="00007970" w:rsidRDefault="00007970" w:rsidP="00007970">
            <w:pPr>
              <w:jc w:val="right"/>
              <w:rPr>
                <w:rFonts w:ascii="Calibri" w:hAnsi="Calibri"/>
                <w:color w:val="000000"/>
                <w:sz w:val="22"/>
                <w:szCs w:val="22"/>
              </w:rPr>
            </w:pPr>
            <w:r w:rsidRPr="00007970">
              <w:rPr>
                <w:rFonts w:ascii="Calibri" w:hAnsi="Calibri"/>
                <w:color w:val="000000"/>
                <w:sz w:val="22"/>
                <w:szCs w:val="22"/>
              </w:rPr>
              <w:t>100.0%</w:t>
            </w:r>
          </w:p>
        </w:tc>
        <w:tc>
          <w:tcPr>
            <w:tcW w:w="940" w:type="dxa"/>
            <w:tcBorders>
              <w:top w:val="nil"/>
              <w:left w:val="nil"/>
              <w:bottom w:val="nil"/>
              <w:right w:val="nil"/>
            </w:tcBorders>
            <w:shd w:val="clear" w:color="auto" w:fill="auto"/>
            <w:noWrap/>
            <w:vAlign w:val="bottom"/>
            <w:hideMark/>
          </w:tcPr>
          <w:p w:rsidR="00007970" w:rsidRPr="00007970" w:rsidRDefault="00007970" w:rsidP="00007970">
            <w:pPr>
              <w:jc w:val="right"/>
              <w:rPr>
                <w:rFonts w:ascii="Calibri" w:hAnsi="Calibri"/>
                <w:color w:val="000000"/>
                <w:sz w:val="22"/>
                <w:szCs w:val="22"/>
              </w:rPr>
            </w:pPr>
            <w:r w:rsidRPr="00007970">
              <w:rPr>
                <w:rFonts w:ascii="Calibri" w:hAnsi="Calibri"/>
                <w:color w:val="000000"/>
                <w:sz w:val="22"/>
                <w:szCs w:val="22"/>
              </w:rPr>
              <w:t>100.0%</w:t>
            </w:r>
          </w:p>
        </w:tc>
        <w:tc>
          <w:tcPr>
            <w:tcW w:w="940" w:type="dxa"/>
            <w:tcBorders>
              <w:top w:val="nil"/>
              <w:left w:val="nil"/>
              <w:bottom w:val="nil"/>
              <w:right w:val="nil"/>
            </w:tcBorders>
            <w:shd w:val="clear" w:color="auto" w:fill="auto"/>
            <w:noWrap/>
            <w:vAlign w:val="bottom"/>
            <w:hideMark/>
          </w:tcPr>
          <w:p w:rsidR="00007970" w:rsidRPr="00007970" w:rsidRDefault="00007970" w:rsidP="00007970">
            <w:pPr>
              <w:jc w:val="right"/>
              <w:rPr>
                <w:rFonts w:ascii="Calibri" w:hAnsi="Calibri"/>
                <w:color w:val="000000"/>
                <w:sz w:val="22"/>
                <w:szCs w:val="22"/>
              </w:rPr>
            </w:pPr>
            <w:r w:rsidRPr="00007970">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007970" w:rsidRPr="00007970" w:rsidRDefault="00007970" w:rsidP="00007970">
            <w:pPr>
              <w:jc w:val="right"/>
              <w:rPr>
                <w:rFonts w:ascii="Calibri" w:hAnsi="Calibri"/>
                <w:color w:val="000000"/>
                <w:sz w:val="22"/>
                <w:szCs w:val="22"/>
              </w:rPr>
            </w:pPr>
            <w:r w:rsidRPr="00007970">
              <w:rPr>
                <w:rFonts w:ascii="Calibri" w:hAnsi="Calibri"/>
                <w:color w:val="000000"/>
                <w:sz w:val="22"/>
                <w:szCs w:val="22"/>
              </w:rPr>
              <w:t>.</w:t>
            </w:r>
          </w:p>
        </w:tc>
      </w:tr>
      <w:tr w:rsidR="00007970" w:rsidRPr="00007970" w:rsidTr="00007970">
        <w:trPr>
          <w:trHeight w:val="300"/>
        </w:trPr>
        <w:tc>
          <w:tcPr>
            <w:tcW w:w="1420" w:type="dxa"/>
            <w:tcBorders>
              <w:top w:val="nil"/>
              <w:left w:val="nil"/>
              <w:bottom w:val="nil"/>
              <w:right w:val="nil"/>
            </w:tcBorders>
            <w:shd w:val="clear" w:color="000000" w:fill="D9D9D9"/>
            <w:noWrap/>
            <w:vAlign w:val="bottom"/>
            <w:hideMark/>
          </w:tcPr>
          <w:p w:rsidR="00007970" w:rsidRPr="00007970" w:rsidRDefault="00007970" w:rsidP="00007970">
            <w:pPr>
              <w:rPr>
                <w:rFonts w:ascii="Calibri" w:hAnsi="Calibri"/>
                <w:color w:val="000000"/>
                <w:sz w:val="22"/>
                <w:szCs w:val="22"/>
              </w:rPr>
            </w:pPr>
            <w:r w:rsidRPr="00007970">
              <w:rPr>
                <w:rFonts w:ascii="Calibri" w:hAnsi="Calibri"/>
                <w:color w:val="000000"/>
                <w:sz w:val="22"/>
                <w:szCs w:val="22"/>
              </w:rPr>
              <w:t>0681</w:t>
            </w:r>
          </w:p>
        </w:tc>
        <w:tc>
          <w:tcPr>
            <w:tcW w:w="3220" w:type="dxa"/>
            <w:tcBorders>
              <w:top w:val="nil"/>
              <w:left w:val="nil"/>
              <w:bottom w:val="nil"/>
              <w:right w:val="nil"/>
            </w:tcBorders>
            <w:shd w:val="clear" w:color="000000" w:fill="D9D9D9"/>
            <w:noWrap/>
            <w:vAlign w:val="bottom"/>
            <w:hideMark/>
          </w:tcPr>
          <w:p w:rsidR="00007970" w:rsidRPr="00007970" w:rsidRDefault="00007970" w:rsidP="00007970">
            <w:pPr>
              <w:rPr>
                <w:rFonts w:ascii="Calibri" w:hAnsi="Calibri"/>
                <w:color w:val="000000"/>
                <w:sz w:val="22"/>
                <w:szCs w:val="22"/>
              </w:rPr>
            </w:pPr>
            <w:r w:rsidRPr="00007970">
              <w:rPr>
                <w:rFonts w:ascii="Calibri" w:hAnsi="Calibri"/>
                <w:color w:val="000000"/>
                <w:sz w:val="22"/>
                <w:szCs w:val="22"/>
              </w:rPr>
              <w:t>Physical Therapist Assistant</w:t>
            </w:r>
          </w:p>
        </w:tc>
        <w:tc>
          <w:tcPr>
            <w:tcW w:w="1760" w:type="dxa"/>
            <w:tcBorders>
              <w:top w:val="nil"/>
              <w:left w:val="nil"/>
              <w:bottom w:val="nil"/>
              <w:right w:val="nil"/>
            </w:tcBorders>
            <w:shd w:val="clear" w:color="000000" w:fill="D9D9D9"/>
            <w:noWrap/>
            <w:vAlign w:val="bottom"/>
            <w:hideMark/>
          </w:tcPr>
          <w:p w:rsidR="00007970" w:rsidRPr="00007970" w:rsidRDefault="00007970" w:rsidP="00007970">
            <w:pPr>
              <w:rPr>
                <w:rFonts w:ascii="Calibri" w:hAnsi="Calibri"/>
                <w:color w:val="000000"/>
                <w:sz w:val="22"/>
                <w:szCs w:val="22"/>
              </w:rPr>
            </w:pPr>
            <w:r w:rsidRPr="00007970">
              <w:rPr>
                <w:rFonts w:ascii="Calibri" w:hAnsi="Calibri"/>
                <w:color w:val="000000"/>
                <w:sz w:val="22"/>
                <w:szCs w:val="22"/>
              </w:rPr>
              <w:t>PTA-1124</w:t>
            </w:r>
          </w:p>
        </w:tc>
        <w:tc>
          <w:tcPr>
            <w:tcW w:w="460" w:type="dxa"/>
            <w:tcBorders>
              <w:top w:val="nil"/>
              <w:left w:val="nil"/>
              <w:bottom w:val="nil"/>
              <w:right w:val="nil"/>
            </w:tcBorders>
            <w:shd w:val="clear" w:color="000000" w:fill="D9D9D9"/>
            <w:noWrap/>
            <w:vAlign w:val="bottom"/>
            <w:hideMark/>
          </w:tcPr>
          <w:p w:rsidR="00007970" w:rsidRPr="00007970" w:rsidRDefault="00007970" w:rsidP="00007970">
            <w:pPr>
              <w:rPr>
                <w:rFonts w:ascii="Calibri" w:hAnsi="Calibri"/>
                <w:color w:val="000000"/>
                <w:sz w:val="22"/>
                <w:szCs w:val="22"/>
              </w:rPr>
            </w:pPr>
            <w:r w:rsidRPr="00007970">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007970" w:rsidRPr="00007970" w:rsidRDefault="00007970" w:rsidP="00007970">
            <w:pPr>
              <w:jc w:val="right"/>
              <w:rPr>
                <w:rFonts w:ascii="Calibri" w:hAnsi="Calibri"/>
                <w:color w:val="000000"/>
                <w:sz w:val="22"/>
                <w:szCs w:val="22"/>
              </w:rPr>
            </w:pPr>
            <w:r w:rsidRPr="00007970">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007970" w:rsidRPr="00007970" w:rsidRDefault="00007970" w:rsidP="00007970">
            <w:pPr>
              <w:jc w:val="right"/>
              <w:rPr>
                <w:rFonts w:ascii="Calibri" w:hAnsi="Calibri"/>
                <w:color w:val="000000"/>
                <w:sz w:val="22"/>
                <w:szCs w:val="22"/>
              </w:rPr>
            </w:pPr>
            <w:r w:rsidRPr="00007970">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007970" w:rsidRPr="00007970" w:rsidRDefault="00007970" w:rsidP="00007970">
            <w:pPr>
              <w:jc w:val="right"/>
              <w:rPr>
                <w:rFonts w:ascii="Calibri" w:hAnsi="Calibri"/>
                <w:color w:val="000000"/>
                <w:sz w:val="22"/>
                <w:szCs w:val="22"/>
              </w:rPr>
            </w:pPr>
            <w:r w:rsidRPr="00007970">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007970" w:rsidRPr="00007970" w:rsidRDefault="00007970" w:rsidP="00007970">
            <w:pPr>
              <w:jc w:val="right"/>
              <w:rPr>
                <w:rFonts w:ascii="Calibri" w:hAnsi="Calibri"/>
                <w:color w:val="000000"/>
                <w:sz w:val="22"/>
                <w:szCs w:val="22"/>
              </w:rPr>
            </w:pPr>
            <w:r w:rsidRPr="00007970">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007970" w:rsidRPr="00007970" w:rsidRDefault="00007970" w:rsidP="00007970">
            <w:pPr>
              <w:jc w:val="right"/>
              <w:rPr>
                <w:rFonts w:ascii="Calibri" w:hAnsi="Calibri"/>
                <w:color w:val="000000"/>
                <w:sz w:val="22"/>
                <w:szCs w:val="22"/>
              </w:rPr>
            </w:pPr>
            <w:r w:rsidRPr="00007970">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007970" w:rsidRPr="00007970" w:rsidRDefault="00007970" w:rsidP="00007970">
            <w:pPr>
              <w:jc w:val="right"/>
              <w:rPr>
                <w:rFonts w:ascii="Calibri" w:hAnsi="Calibri"/>
                <w:color w:val="000000"/>
                <w:sz w:val="22"/>
                <w:szCs w:val="22"/>
              </w:rPr>
            </w:pPr>
            <w:r w:rsidRPr="00007970">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rsidR="00007970" w:rsidRPr="00007970" w:rsidRDefault="00007970" w:rsidP="00007970">
            <w:pPr>
              <w:jc w:val="right"/>
              <w:rPr>
                <w:rFonts w:ascii="Calibri" w:hAnsi="Calibri"/>
                <w:color w:val="000000"/>
                <w:sz w:val="22"/>
                <w:szCs w:val="22"/>
              </w:rPr>
            </w:pPr>
            <w:r w:rsidRPr="00007970">
              <w:rPr>
                <w:rFonts w:ascii="Calibri" w:hAnsi="Calibri"/>
                <w:color w:val="000000"/>
                <w:sz w:val="22"/>
                <w:szCs w:val="22"/>
              </w:rPr>
              <w:t>94.2%</w:t>
            </w:r>
          </w:p>
        </w:tc>
      </w:tr>
      <w:tr w:rsidR="00007970" w:rsidRPr="00007970" w:rsidTr="00007970">
        <w:trPr>
          <w:trHeight w:val="300"/>
        </w:trPr>
        <w:tc>
          <w:tcPr>
            <w:tcW w:w="1420" w:type="dxa"/>
            <w:tcBorders>
              <w:top w:val="nil"/>
              <w:left w:val="nil"/>
              <w:bottom w:val="nil"/>
              <w:right w:val="nil"/>
            </w:tcBorders>
            <w:shd w:val="clear" w:color="auto" w:fill="auto"/>
            <w:noWrap/>
            <w:vAlign w:val="bottom"/>
            <w:hideMark/>
          </w:tcPr>
          <w:p w:rsidR="00007970" w:rsidRPr="00007970" w:rsidRDefault="00007970" w:rsidP="00007970">
            <w:pPr>
              <w:rPr>
                <w:rFonts w:ascii="Calibri" w:hAnsi="Calibri"/>
                <w:color w:val="000000"/>
                <w:sz w:val="22"/>
                <w:szCs w:val="22"/>
              </w:rPr>
            </w:pPr>
            <w:r w:rsidRPr="00007970">
              <w:rPr>
                <w:rFonts w:ascii="Calibri" w:hAnsi="Calibri"/>
                <w:color w:val="000000"/>
                <w:sz w:val="22"/>
                <w:szCs w:val="22"/>
              </w:rPr>
              <w:t>0681</w:t>
            </w:r>
          </w:p>
        </w:tc>
        <w:tc>
          <w:tcPr>
            <w:tcW w:w="3220" w:type="dxa"/>
            <w:tcBorders>
              <w:top w:val="nil"/>
              <w:left w:val="nil"/>
              <w:bottom w:val="nil"/>
              <w:right w:val="nil"/>
            </w:tcBorders>
            <w:shd w:val="clear" w:color="auto" w:fill="auto"/>
            <w:noWrap/>
            <w:vAlign w:val="bottom"/>
            <w:hideMark/>
          </w:tcPr>
          <w:p w:rsidR="00007970" w:rsidRPr="00007970" w:rsidRDefault="00007970" w:rsidP="00007970">
            <w:pPr>
              <w:rPr>
                <w:rFonts w:ascii="Calibri" w:hAnsi="Calibri"/>
                <w:color w:val="000000"/>
                <w:sz w:val="22"/>
                <w:szCs w:val="22"/>
              </w:rPr>
            </w:pPr>
            <w:r w:rsidRPr="00007970">
              <w:rPr>
                <w:rFonts w:ascii="Calibri" w:hAnsi="Calibri"/>
                <w:color w:val="000000"/>
                <w:sz w:val="22"/>
                <w:szCs w:val="22"/>
              </w:rPr>
              <w:t>Physical Therapist Assistant</w:t>
            </w:r>
          </w:p>
        </w:tc>
        <w:tc>
          <w:tcPr>
            <w:tcW w:w="1760" w:type="dxa"/>
            <w:tcBorders>
              <w:top w:val="nil"/>
              <w:left w:val="nil"/>
              <w:bottom w:val="nil"/>
              <w:right w:val="nil"/>
            </w:tcBorders>
            <w:shd w:val="clear" w:color="auto" w:fill="auto"/>
            <w:noWrap/>
            <w:vAlign w:val="bottom"/>
            <w:hideMark/>
          </w:tcPr>
          <w:p w:rsidR="00007970" w:rsidRPr="00007970" w:rsidRDefault="00007970" w:rsidP="00007970">
            <w:pPr>
              <w:rPr>
                <w:rFonts w:ascii="Calibri" w:hAnsi="Calibri"/>
                <w:color w:val="000000"/>
                <w:sz w:val="22"/>
                <w:szCs w:val="22"/>
              </w:rPr>
            </w:pPr>
            <w:r w:rsidRPr="00007970">
              <w:rPr>
                <w:rFonts w:ascii="Calibri" w:hAnsi="Calibri"/>
                <w:color w:val="000000"/>
                <w:sz w:val="22"/>
                <w:szCs w:val="22"/>
              </w:rPr>
              <w:t>PTA-1129</w:t>
            </w:r>
          </w:p>
        </w:tc>
        <w:tc>
          <w:tcPr>
            <w:tcW w:w="460" w:type="dxa"/>
            <w:tcBorders>
              <w:top w:val="nil"/>
              <w:left w:val="nil"/>
              <w:bottom w:val="nil"/>
              <w:right w:val="nil"/>
            </w:tcBorders>
            <w:shd w:val="clear" w:color="auto" w:fill="auto"/>
            <w:noWrap/>
            <w:vAlign w:val="bottom"/>
            <w:hideMark/>
          </w:tcPr>
          <w:p w:rsidR="00007970" w:rsidRPr="00007970" w:rsidRDefault="00007970" w:rsidP="00007970">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rsidR="00007970" w:rsidRPr="00007970" w:rsidRDefault="00007970" w:rsidP="00007970">
            <w:pPr>
              <w:jc w:val="right"/>
              <w:rPr>
                <w:rFonts w:ascii="Calibri" w:hAnsi="Calibri"/>
                <w:color w:val="000000"/>
                <w:sz w:val="22"/>
                <w:szCs w:val="22"/>
              </w:rPr>
            </w:pPr>
            <w:r w:rsidRPr="00007970">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007970" w:rsidRPr="00007970" w:rsidRDefault="00007970" w:rsidP="00007970">
            <w:pPr>
              <w:jc w:val="right"/>
              <w:rPr>
                <w:rFonts w:ascii="Calibri" w:hAnsi="Calibri"/>
                <w:color w:val="000000"/>
                <w:sz w:val="22"/>
                <w:szCs w:val="22"/>
              </w:rPr>
            </w:pPr>
            <w:r w:rsidRPr="00007970">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007970" w:rsidRPr="00007970" w:rsidRDefault="00007970" w:rsidP="00007970">
            <w:pPr>
              <w:jc w:val="right"/>
              <w:rPr>
                <w:rFonts w:ascii="Calibri" w:hAnsi="Calibri"/>
                <w:color w:val="000000"/>
                <w:sz w:val="22"/>
                <w:szCs w:val="22"/>
              </w:rPr>
            </w:pPr>
            <w:r w:rsidRPr="00007970">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007970" w:rsidRPr="00007970" w:rsidRDefault="00007970" w:rsidP="00007970">
            <w:pPr>
              <w:jc w:val="right"/>
              <w:rPr>
                <w:rFonts w:ascii="Calibri" w:hAnsi="Calibri"/>
                <w:color w:val="000000"/>
                <w:sz w:val="22"/>
                <w:szCs w:val="22"/>
              </w:rPr>
            </w:pPr>
            <w:r w:rsidRPr="00007970">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007970" w:rsidRPr="00007970" w:rsidRDefault="00007970" w:rsidP="00007970">
            <w:pPr>
              <w:jc w:val="right"/>
              <w:rPr>
                <w:rFonts w:ascii="Calibri" w:hAnsi="Calibri"/>
                <w:color w:val="000000"/>
                <w:sz w:val="22"/>
                <w:szCs w:val="22"/>
              </w:rPr>
            </w:pPr>
            <w:r w:rsidRPr="00007970">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007970" w:rsidRPr="00007970" w:rsidRDefault="00007970" w:rsidP="00007970">
            <w:pPr>
              <w:jc w:val="right"/>
              <w:rPr>
                <w:rFonts w:ascii="Calibri" w:hAnsi="Calibri"/>
                <w:color w:val="000000"/>
                <w:sz w:val="22"/>
                <w:szCs w:val="22"/>
              </w:rPr>
            </w:pPr>
            <w:r w:rsidRPr="00007970">
              <w:rPr>
                <w:rFonts w:ascii="Calibri" w:hAnsi="Calibri"/>
                <w:color w:val="000000"/>
                <w:sz w:val="22"/>
                <w:szCs w:val="22"/>
              </w:rPr>
              <w:t>84.2%</w:t>
            </w:r>
          </w:p>
        </w:tc>
        <w:tc>
          <w:tcPr>
            <w:tcW w:w="940" w:type="dxa"/>
            <w:tcBorders>
              <w:top w:val="nil"/>
              <w:left w:val="nil"/>
              <w:bottom w:val="nil"/>
              <w:right w:val="nil"/>
            </w:tcBorders>
            <w:shd w:val="clear" w:color="auto" w:fill="auto"/>
            <w:noWrap/>
            <w:vAlign w:val="bottom"/>
            <w:hideMark/>
          </w:tcPr>
          <w:p w:rsidR="00007970" w:rsidRPr="00007970" w:rsidRDefault="00007970" w:rsidP="00007970">
            <w:pPr>
              <w:jc w:val="right"/>
              <w:rPr>
                <w:rFonts w:ascii="Calibri" w:hAnsi="Calibri"/>
                <w:color w:val="000000"/>
                <w:sz w:val="22"/>
                <w:szCs w:val="22"/>
              </w:rPr>
            </w:pPr>
            <w:r w:rsidRPr="00007970">
              <w:rPr>
                <w:rFonts w:ascii="Calibri" w:hAnsi="Calibri"/>
                <w:color w:val="000000"/>
                <w:sz w:val="22"/>
                <w:szCs w:val="22"/>
              </w:rPr>
              <w:t>90.4%</w:t>
            </w:r>
          </w:p>
        </w:tc>
      </w:tr>
      <w:tr w:rsidR="00007970" w:rsidRPr="00007970" w:rsidTr="00007970">
        <w:trPr>
          <w:trHeight w:val="300"/>
        </w:trPr>
        <w:tc>
          <w:tcPr>
            <w:tcW w:w="1420" w:type="dxa"/>
            <w:tcBorders>
              <w:top w:val="nil"/>
              <w:left w:val="nil"/>
              <w:bottom w:val="nil"/>
              <w:right w:val="nil"/>
            </w:tcBorders>
            <w:shd w:val="clear" w:color="000000" w:fill="D9D9D9"/>
            <w:noWrap/>
            <w:vAlign w:val="bottom"/>
            <w:hideMark/>
          </w:tcPr>
          <w:p w:rsidR="00007970" w:rsidRPr="00007970" w:rsidRDefault="00007970" w:rsidP="00007970">
            <w:pPr>
              <w:rPr>
                <w:rFonts w:ascii="Calibri" w:hAnsi="Calibri"/>
                <w:color w:val="000000"/>
                <w:sz w:val="22"/>
                <w:szCs w:val="22"/>
              </w:rPr>
            </w:pPr>
            <w:r w:rsidRPr="00007970">
              <w:rPr>
                <w:rFonts w:ascii="Calibri" w:hAnsi="Calibri"/>
                <w:color w:val="000000"/>
                <w:sz w:val="22"/>
                <w:szCs w:val="22"/>
              </w:rPr>
              <w:t>0681</w:t>
            </w:r>
          </w:p>
        </w:tc>
        <w:tc>
          <w:tcPr>
            <w:tcW w:w="3220" w:type="dxa"/>
            <w:tcBorders>
              <w:top w:val="nil"/>
              <w:left w:val="nil"/>
              <w:bottom w:val="nil"/>
              <w:right w:val="nil"/>
            </w:tcBorders>
            <w:shd w:val="clear" w:color="000000" w:fill="D9D9D9"/>
            <w:noWrap/>
            <w:vAlign w:val="bottom"/>
            <w:hideMark/>
          </w:tcPr>
          <w:p w:rsidR="00007970" w:rsidRPr="00007970" w:rsidRDefault="00007970" w:rsidP="00007970">
            <w:pPr>
              <w:rPr>
                <w:rFonts w:ascii="Calibri" w:hAnsi="Calibri"/>
                <w:color w:val="000000"/>
                <w:sz w:val="22"/>
                <w:szCs w:val="22"/>
              </w:rPr>
            </w:pPr>
            <w:r w:rsidRPr="00007970">
              <w:rPr>
                <w:rFonts w:ascii="Calibri" w:hAnsi="Calibri"/>
                <w:color w:val="000000"/>
                <w:sz w:val="22"/>
                <w:szCs w:val="22"/>
              </w:rPr>
              <w:t>Physical Therapist Assistant</w:t>
            </w:r>
          </w:p>
        </w:tc>
        <w:tc>
          <w:tcPr>
            <w:tcW w:w="1760" w:type="dxa"/>
            <w:tcBorders>
              <w:top w:val="nil"/>
              <w:left w:val="nil"/>
              <w:bottom w:val="nil"/>
              <w:right w:val="nil"/>
            </w:tcBorders>
            <w:shd w:val="clear" w:color="000000" w:fill="D9D9D9"/>
            <w:noWrap/>
            <w:vAlign w:val="bottom"/>
            <w:hideMark/>
          </w:tcPr>
          <w:p w:rsidR="00007970" w:rsidRPr="00007970" w:rsidRDefault="00007970" w:rsidP="00007970">
            <w:pPr>
              <w:rPr>
                <w:rFonts w:ascii="Calibri" w:hAnsi="Calibri"/>
                <w:color w:val="000000"/>
                <w:sz w:val="22"/>
                <w:szCs w:val="22"/>
              </w:rPr>
            </w:pPr>
            <w:r w:rsidRPr="00007970">
              <w:rPr>
                <w:rFonts w:ascii="Calibri" w:hAnsi="Calibri"/>
                <w:color w:val="000000"/>
                <w:sz w:val="22"/>
                <w:szCs w:val="22"/>
              </w:rPr>
              <w:t>PTA-1144</w:t>
            </w:r>
          </w:p>
        </w:tc>
        <w:tc>
          <w:tcPr>
            <w:tcW w:w="460" w:type="dxa"/>
            <w:tcBorders>
              <w:top w:val="nil"/>
              <w:left w:val="nil"/>
              <w:bottom w:val="nil"/>
              <w:right w:val="nil"/>
            </w:tcBorders>
            <w:shd w:val="clear" w:color="000000" w:fill="D9D9D9"/>
            <w:noWrap/>
            <w:vAlign w:val="bottom"/>
            <w:hideMark/>
          </w:tcPr>
          <w:p w:rsidR="00007970" w:rsidRPr="00007970" w:rsidRDefault="00007970" w:rsidP="00007970">
            <w:pPr>
              <w:rPr>
                <w:rFonts w:ascii="Calibri" w:hAnsi="Calibri"/>
                <w:color w:val="000000"/>
                <w:sz w:val="22"/>
                <w:szCs w:val="22"/>
              </w:rPr>
            </w:pPr>
            <w:r w:rsidRPr="00007970">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007970" w:rsidRPr="00007970" w:rsidRDefault="00007970" w:rsidP="00007970">
            <w:pPr>
              <w:jc w:val="right"/>
              <w:rPr>
                <w:rFonts w:ascii="Calibri" w:hAnsi="Calibri"/>
                <w:color w:val="000000"/>
                <w:sz w:val="22"/>
                <w:szCs w:val="22"/>
              </w:rPr>
            </w:pPr>
            <w:r w:rsidRPr="00007970">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007970" w:rsidRPr="00007970" w:rsidRDefault="00007970" w:rsidP="00007970">
            <w:pPr>
              <w:jc w:val="right"/>
              <w:rPr>
                <w:rFonts w:ascii="Calibri" w:hAnsi="Calibri"/>
                <w:color w:val="000000"/>
                <w:sz w:val="22"/>
                <w:szCs w:val="22"/>
              </w:rPr>
            </w:pPr>
            <w:r w:rsidRPr="00007970">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007970" w:rsidRPr="00007970" w:rsidRDefault="00007970" w:rsidP="00007970">
            <w:pPr>
              <w:jc w:val="right"/>
              <w:rPr>
                <w:rFonts w:ascii="Calibri" w:hAnsi="Calibri"/>
                <w:color w:val="000000"/>
                <w:sz w:val="22"/>
                <w:szCs w:val="22"/>
              </w:rPr>
            </w:pPr>
            <w:r w:rsidRPr="00007970">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007970" w:rsidRPr="00007970" w:rsidRDefault="00007970" w:rsidP="00007970">
            <w:pPr>
              <w:jc w:val="right"/>
              <w:rPr>
                <w:rFonts w:ascii="Calibri" w:hAnsi="Calibri"/>
                <w:color w:val="000000"/>
                <w:sz w:val="22"/>
                <w:szCs w:val="22"/>
              </w:rPr>
            </w:pPr>
            <w:r w:rsidRPr="00007970">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007970" w:rsidRPr="00007970" w:rsidRDefault="00007970" w:rsidP="00007970">
            <w:pPr>
              <w:jc w:val="right"/>
              <w:rPr>
                <w:rFonts w:ascii="Calibri" w:hAnsi="Calibri"/>
                <w:color w:val="000000"/>
                <w:sz w:val="22"/>
                <w:szCs w:val="22"/>
              </w:rPr>
            </w:pPr>
            <w:r w:rsidRPr="00007970">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007970" w:rsidRPr="00007970" w:rsidRDefault="00007970" w:rsidP="00007970">
            <w:pPr>
              <w:jc w:val="right"/>
              <w:rPr>
                <w:rFonts w:ascii="Calibri" w:hAnsi="Calibri"/>
                <w:color w:val="000000"/>
                <w:sz w:val="22"/>
                <w:szCs w:val="22"/>
              </w:rPr>
            </w:pPr>
            <w:r w:rsidRPr="00007970">
              <w:rPr>
                <w:rFonts w:ascii="Calibri" w:hAnsi="Calibri"/>
                <w:color w:val="000000"/>
                <w:sz w:val="22"/>
                <w:szCs w:val="22"/>
              </w:rPr>
              <w:t>86.8%</w:t>
            </w:r>
          </w:p>
        </w:tc>
        <w:tc>
          <w:tcPr>
            <w:tcW w:w="940" w:type="dxa"/>
            <w:tcBorders>
              <w:top w:val="nil"/>
              <w:left w:val="nil"/>
              <w:bottom w:val="nil"/>
              <w:right w:val="nil"/>
            </w:tcBorders>
            <w:shd w:val="clear" w:color="000000" w:fill="D9D9D9"/>
            <w:noWrap/>
            <w:vAlign w:val="bottom"/>
            <w:hideMark/>
          </w:tcPr>
          <w:p w:rsidR="00007970" w:rsidRPr="00007970" w:rsidRDefault="00007970" w:rsidP="00007970">
            <w:pPr>
              <w:jc w:val="right"/>
              <w:rPr>
                <w:rFonts w:ascii="Calibri" w:hAnsi="Calibri"/>
                <w:color w:val="000000"/>
                <w:sz w:val="22"/>
                <w:szCs w:val="22"/>
              </w:rPr>
            </w:pPr>
            <w:r w:rsidRPr="00007970">
              <w:rPr>
                <w:rFonts w:ascii="Calibri" w:hAnsi="Calibri"/>
                <w:color w:val="000000"/>
                <w:sz w:val="22"/>
                <w:szCs w:val="22"/>
              </w:rPr>
              <w:t>84.6%</w:t>
            </w:r>
          </w:p>
        </w:tc>
      </w:tr>
      <w:tr w:rsidR="00007970" w:rsidRPr="00007970" w:rsidTr="00007970">
        <w:trPr>
          <w:trHeight w:val="300"/>
        </w:trPr>
        <w:tc>
          <w:tcPr>
            <w:tcW w:w="1420" w:type="dxa"/>
            <w:tcBorders>
              <w:top w:val="nil"/>
              <w:left w:val="nil"/>
              <w:bottom w:val="nil"/>
              <w:right w:val="nil"/>
            </w:tcBorders>
            <w:shd w:val="clear" w:color="auto" w:fill="auto"/>
            <w:noWrap/>
            <w:vAlign w:val="bottom"/>
            <w:hideMark/>
          </w:tcPr>
          <w:p w:rsidR="00007970" w:rsidRPr="00007970" w:rsidRDefault="00007970" w:rsidP="00007970">
            <w:pPr>
              <w:rPr>
                <w:rFonts w:ascii="Calibri" w:hAnsi="Calibri"/>
                <w:color w:val="000000"/>
                <w:sz w:val="22"/>
                <w:szCs w:val="22"/>
              </w:rPr>
            </w:pPr>
            <w:r w:rsidRPr="00007970">
              <w:rPr>
                <w:rFonts w:ascii="Calibri" w:hAnsi="Calibri"/>
                <w:color w:val="000000"/>
                <w:sz w:val="22"/>
                <w:szCs w:val="22"/>
              </w:rPr>
              <w:t>0681</w:t>
            </w:r>
          </w:p>
        </w:tc>
        <w:tc>
          <w:tcPr>
            <w:tcW w:w="3220" w:type="dxa"/>
            <w:tcBorders>
              <w:top w:val="nil"/>
              <w:left w:val="nil"/>
              <w:bottom w:val="nil"/>
              <w:right w:val="nil"/>
            </w:tcBorders>
            <w:shd w:val="clear" w:color="auto" w:fill="auto"/>
            <w:noWrap/>
            <w:vAlign w:val="bottom"/>
            <w:hideMark/>
          </w:tcPr>
          <w:p w:rsidR="00007970" w:rsidRPr="00007970" w:rsidRDefault="00007970" w:rsidP="00007970">
            <w:pPr>
              <w:rPr>
                <w:rFonts w:ascii="Calibri" w:hAnsi="Calibri"/>
                <w:color w:val="000000"/>
                <w:sz w:val="22"/>
                <w:szCs w:val="22"/>
              </w:rPr>
            </w:pPr>
            <w:r w:rsidRPr="00007970">
              <w:rPr>
                <w:rFonts w:ascii="Calibri" w:hAnsi="Calibri"/>
                <w:color w:val="000000"/>
                <w:sz w:val="22"/>
                <w:szCs w:val="22"/>
              </w:rPr>
              <w:t>Physical Therapist Assistant</w:t>
            </w:r>
          </w:p>
        </w:tc>
        <w:tc>
          <w:tcPr>
            <w:tcW w:w="1760" w:type="dxa"/>
            <w:tcBorders>
              <w:top w:val="nil"/>
              <w:left w:val="nil"/>
              <w:bottom w:val="nil"/>
              <w:right w:val="nil"/>
            </w:tcBorders>
            <w:shd w:val="clear" w:color="auto" w:fill="auto"/>
            <w:noWrap/>
            <w:vAlign w:val="bottom"/>
            <w:hideMark/>
          </w:tcPr>
          <w:p w:rsidR="00007970" w:rsidRPr="00007970" w:rsidRDefault="00007970" w:rsidP="00007970">
            <w:pPr>
              <w:rPr>
                <w:rFonts w:ascii="Calibri" w:hAnsi="Calibri"/>
                <w:color w:val="000000"/>
                <w:sz w:val="22"/>
                <w:szCs w:val="22"/>
              </w:rPr>
            </w:pPr>
            <w:r w:rsidRPr="00007970">
              <w:rPr>
                <w:rFonts w:ascii="Calibri" w:hAnsi="Calibri"/>
                <w:color w:val="000000"/>
                <w:sz w:val="22"/>
                <w:szCs w:val="22"/>
              </w:rPr>
              <w:t>PTA-116</w:t>
            </w:r>
          </w:p>
        </w:tc>
        <w:tc>
          <w:tcPr>
            <w:tcW w:w="460" w:type="dxa"/>
            <w:tcBorders>
              <w:top w:val="nil"/>
              <w:left w:val="nil"/>
              <w:bottom w:val="nil"/>
              <w:right w:val="nil"/>
            </w:tcBorders>
            <w:shd w:val="clear" w:color="auto" w:fill="auto"/>
            <w:noWrap/>
            <w:vAlign w:val="bottom"/>
            <w:hideMark/>
          </w:tcPr>
          <w:p w:rsidR="00007970" w:rsidRPr="00007970" w:rsidRDefault="00007970" w:rsidP="00007970">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rsidR="00007970" w:rsidRPr="00007970" w:rsidRDefault="00007970" w:rsidP="00007970">
            <w:pPr>
              <w:jc w:val="right"/>
              <w:rPr>
                <w:rFonts w:ascii="Calibri" w:hAnsi="Calibri"/>
                <w:color w:val="000000"/>
                <w:sz w:val="22"/>
                <w:szCs w:val="22"/>
              </w:rPr>
            </w:pPr>
            <w:r w:rsidRPr="00007970">
              <w:rPr>
                <w:rFonts w:ascii="Calibri" w:hAnsi="Calibri"/>
                <w:color w:val="000000"/>
                <w:sz w:val="22"/>
                <w:szCs w:val="22"/>
              </w:rPr>
              <w:t>87.5%</w:t>
            </w:r>
          </w:p>
        </w:tc>
        <w:tc>
          <w:tcPr>
            <w:tcW w:w="940" w:type="dxa"/>
            <w:tcBorders>
              <w:top w:val="nil"/>
              <w:left w:val="nil"/>
              <w:bottom w:val="nil"/>
              <w:right w:val="nil"/>
            </w:tcBorders>
            <w:shd w:val="clear" w:color="auto" w:fill="auto"/>
            <w:noWrap/>
            <w:vAlign w:val="bottom"/>
            <w:hideMark/>
          </w:tcPr>
          <w:p w:rsidR="00007970" w:rsidRPr="00007970" w:rsidRDefault="00007970" w:rsidP="00007970">
            <w:pPr>
              <w:jc w:val="right"/>
              <w:rPr>
                <w:rFonts w:ascii="Calibri" w:hAnsi="Calibri"/>
                <w:color w:val="000000"/>
                <w:sz w:val="22"/>
                <w:szCs w:val="22"/>
              </w:rPr>
            </w:pPr>
            <w:r w:rsidRPr="00007970">
              <w:rPr>
                <w:rFonts w:ascii="Calibri" w:hAnsi="Calibri"/>
                <w:color w:val="000000"/>
                <w:sz w:val="22"/>
                <w:szCs w:val="22"/>
              </w:rPr>
              <w:t>86.1%</w:t>
            </w:r>
          </w:p>
        </w:tc>
        <w:tc>
          <w:tcPr>
            <w:tcW w:w="940" w:type="dxa"/>
            <w:tcBorders>
              <w:top w:val="nil"/>
              <w:left w:val="nil"/>
              <w:bottom w:val="nil"/>
              <w:right w:val="nil"/>
            </w:tcBorders>
            <w:shd w:val="clear" w:color="auto" w:fill="auto"/>
            <w:noWrap/>
            <w:vAlign w:val="bottom"/>
            <w:hideMark/>
          </w:tcPr>
          <w:p w:rsidR="00007970" w:rsidRPr="00007970" w:rsidRDefault="00007970" w:rsidP="00007970">
            <w:pPr>
              <w:jc w:val="right"/>
              <w:rPr>
                <w:rFonts w:ascii="Calibri" w:hAnsi="Calibri"/>
                <w:color w:val="000000"/>
                <w:sz w:val="22"/>
                <w:szCs w:val="22"/>
              </w:rPr>
            </w:pPr>
            <w:r w:rsidRPr="00007970">
              <w:rPr>
                <w:rFonts w:ascii="Calibri" w:hAnsi="Calibri"/>
                <w:color w:val="000000"/>
                <w:sz w:val="22"/>
                <w:szCs w:val="22"/>
              </w:rPr>
              <w:t>88.2%</w:t>
            </w:r>
          </w:p>
        </w:tc>
        <w:tc>
          <w:tcPr>
            <w:tcW w:w="940" w:type="dxa"/>
            <w:tcBorders>
              <w:top w:val="nil"/>
              <w:left w:val="nil"/>
              <w:bottom w:val="nil"/>
              <w:right w:val="nil"/>
            </w:tcBorders>
            <w:shd w:val="clear" w:color="auto" w:fill="auto"/>
            <w:noWrap/>
            <w:vAlign w:val="bottom"/>
            <w:hideMark/>
          </w:tcPr>
          <w:p w:rsidR="00007970" w:rsidRPr="00007970" w:rsidRDefault="00007970" w:rsidP="00007970">
            <w:pPr>
              <w:jc w:val="right"/>
              <w:rPr>
                <w:rFonts w:ascii="Calibri" w:hAnsi="Calibri"/>
                <w:color w:val="000000"/>
                <w:sz w:val="22"/>
                <w:szCs w:val="22"/>
              </w:rPr>
            </w:pPr>
            <w:r w:rsidRPr="00007970">
              <w:rPr>
                <w:rFonts w:ascii="Calibri" w:hAnsi="Calibri"/>
                <w:color w:val="000000"/>
                <w:sz w:val="22"/>
                <w:szCs w:val="22"/>
              </w:rPr>
              <w:t>82.4%</w:t>
            </w:r>
          </w:p>
        </w:tc>
        <w:tc>
          <w:tcPr>
            <w:tcW w:w="940" w:type="dxa"/>
            <w:tcBorders>
              <w:top w:val="nil"/>
              <w:left w:val="nil"/>
              <w:bottom w:val="nil"/>
              <w:right w:val="nil"/>
            </w:tcBorders>
            <w:shd w:val="clear" w:color="auto" w:fill="auto"/>
            <w:noWrap/>
            <w:vAlign w:val="bottom"/>
            <w:hideMark/>
          </w:tcPr>
          <w:p w:rsidR="00007970" w:rsidRPr="00007970" w:rsidRDefault="00007970" w:rsidP="00007970">
            <w:pPr>
              <w:jc w:val="right"/>
              <w:rPr>
                <w:rFonts w:ascii="Calibri" w:hAnsi="Calibri"/>
                <w:color w:val="000000"/>
                <w:sz w:val="22"/>
                <w:szCs w:val="22"/>
              </w:rPr>
            </w:pPr>
            <w:r w:rsidRPr="00007970">
              <w:rPr>
                <w:rFonts w:ascii="Calibri" w:hAnsi="Calibri"/>
                <w:color w:val="000000"/>
                <w:sz w:val="22"/>
                <w:szCs w:val="22"/>
              </w:rPr>
              <w:t>68.0%</w:t>
            </w:r>
          </w:p>
        </w:tc>
        <w:tc>
          <w:tcPr>
            <w:tcW w:w="940" w:type="dxa"/>
            <w:tcBorders>
              <w:top w:val="nil"/>
              <w:left w:val="nil"/>
              <w:bottom w:val="nil"/>
              <w:right w:val="nil"/>
            </w:tcBorders>
            <w:shd w:val="clear" w:color="auto" w:fill="auto"/>
            <w:noWrap/>
            <w:vAlign w:val="bottom"/>
            <w:hideMark/>
          </w:tcPr>
          <w:p w:rsidR="00007970" w:rsidRPr="00007970" w:rsidRDefault="00007970" w:rsidP="00007970">
            <w:pPr>
              <w:jc w:val="right"/>
              <w:rPr>
                <w:rFonts w:ascii="Calibri" w:hAnsi="Calibri"/>
                <w:color w:val="000000"/>
                <w:sz w:val="22"/>
                <w:szCs w:val="22"/>
              </w:rPr>
            </w:pPr>
            <w:r w:rsidRPr="00007970">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007970" w:rsidRPr="00007970" w:rsidRDefault="00007970" w:rsidP="00007970">
            <w:pPr>
              <w:jc w:val="right"/>
              <w:rPr>
                <w:rFonts w:ascii="Calibri" w:hAnsi="Calibri"/>
                <w:color w:val="000000"/>
                <w:sz w:val="22"/>
                <w:szCs w:val="22"/>
              </w:rPr>
            </w:pPr>
            <w:r w:rsidRPr="00007970">
              <w:rPr>
                <w:rFonts w:ascii="Calibri" w:hAnsi="Calibri"/>
                <w:color w:val="000000"/>
                <w:sz w:val="22"/>
                <w:szCs w:val="22"/>
              </w:rPr>
              <w:t>.</w:t>
            </w:r>
          </w:p>
        </w:tc>
      </w:tr>
      <w:tr w:rsidR="00007970" w:rsidRPr="00007970" w:rsidTr="00007970">
        <w:trPr>
          <w:trHeight w:val="300"/>
        </w:trPr>
        <w:tc>
          <w:tcPr>
            <w:tcW w:w="1420" w:type="dxa"/>
            <w:tcBorders>
              <w:top w:val="nil"/>
              <w:left w:val="nil"/>
              <w:bottom w:val="nil"/>
              <w:right w:val="nil"/>
            </w:tcBorders>
            <w:shd w:val="clear" w:color="000000" w:fill="D9D9D9"/>
            <w:noWrap/>
            <w:vAlign w:val="bottom"/>
            <w:hideMark/>
          </w:tcPr>
          <w:p w:rsidR="00007970" w:rsidRPr="00007970" w:rsidRDefault="00007970" w:rsidP="00007970">
            <w:pPr>
              <w:rPr>
                <w:rFonts w:ascii="Calibri" w:hAnsi="Calibri"/>
                <w:color w:val="000000"/>
                <w:sz w:val="22"/>
                <w:szCs w:val="22"/>
              </w:rPr>
            </w:pPr>
            <w:r w:rsidRPr="00007970">
              <w:rPr>
                <w:rFonts w:ascii="Calibri" w:hAnsi="Calibri"/>
                <w:color w:val="000000"/>
                <w:sz w:val="22"/>
                <w:szCs w:val="22"/>
              </w:rPr>
              <w:t>0681</w:t>
            </w:r>
          </w:p>
        </w:tc>
        <w:tc>
          <w:tcPr>
            <w:tcW w:w="3220" w:type="dxa"/>
            <w:tcBorders>
              <w:top w:val="nil"/>
              <w:left w:val="nil"/>
              <w:bottom w:val="nil"/>
              <w:right w:val="nil"/>
            </w:tcBorders>
            <w:shd w:val="clear" w:color="000000" w:fill="D9D9D9"/>
            <w:noWrap/>
            <w:vAlign w:val="bottom"/>
            <w:hideMark/>
          </w:tcPr>
          <w:p w:rsidR="00007970" w:rsidRPr="00007970" w:rsidRDefault="00007970" w:rsidP="00007970">
            <w:pPr>
              <w:rPr>
                <w:rFonts w:ascii="Calibri" w:hAnsi="Calibri"/>
                <w:color w:val="000000"/>
                <w:sz w:val="22"/>
                <w:szCs w:val="22"/>
              </w:rPr>
            </w:pPr>
            <w:r w:rsidRPr="00007970">
              <w:rPr>
                <w:rFonts w:ascii="Calibri" w:hAnsi="Calibri"/>
                <w:color w:val="000000"/>
                <w:sz w:val="22"/>
                <w:szCs w:val="22"/>
              </w:rPr>
              <w:t>Physical Therapist Assistant</w:t>
            </w:r>
          </w:p>
        </w:tc>
        <w:tc>
          <w:tcPr>
            <w:tcW w:w="1760" w:type="dxa"/>
            <w:tcBorders>
              <w:top w:val="nil"/>
              <w:left w:val="nil"/>
              <w:bottom w:val="nil"/>
              <w:right w:val="nil"/>
            </w:tcBorders>
            <w:shd w:val="clear" w:color="000000" w:fill="D9D9D9"/>
            <w:noWrap/>
            <w:vAlign w:val="bottom"/>
            <w:hideMark/>
          </w:tcPr>
          <w:p w:rsidR="00007970" w:rsidRPr="00007970" w:rsidRDefault="00007970" w:rsidP="00007970">
            <w:pPr>
              <w:rPr>
                <w:rFonts w:ascii="Calibri" w:hAnsi="Calibri"/>
                <w:color w:val="000000"/>
                <w:sz w:val="22"/>
                <w:szCs w:val="22"/>
              </w:rPr>
            </w:pPr>
            <w:r w:rsidRPr="00007970">
              <w:rPr>
                <w:rFonts w:ascii="Calibri" w:hAnsi="Calibri"/>
                <w:color w:val="000000"/>
                <w:sz w:val="22"/>
                <w:szCs w:val="22"/>
              </w:rPr>
              <w:t>PTA-117</w:t>
            </w:r>
          </w:p>
        </w:tc>
        <w:tc>
          <w:tcPr>
            <w:tcW w:w="460" w:type="dxa"/>
            <w:tcBorders>
              <w:top w:val="nil"/>
              <w:left w:val="nil"/>
              <w:bottom w:val="nil"/>
              <w:right w:val="nil"/>
            </w:tcBorders>
            <w:shd w:val="clear" w:color="000000" w:fill="D9D9D9"/>
            <w:noWrap/>
            <w:vAlign w:val="bottom"/>
            <w:hideMark/>
          </w:tcPr>
          <w:p w:rsidR="00007970" w:rsidRPr="00007970" w:rsidRDefault="00007970" w:rsidP="00007970">
            <w:pPr>
              <w:rPr>
                <w:rFonts w:ascii="Calibri" w:hAnsi="Calibri"/>
                <w:color w:val="000000"/>
                <w:sz w:val="22"/>
                <w:szCs w:val="22"/>
              </w:rPr>
            </w:pPr>
            <w:r w:rsidRPr="00007970">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007970" w:rsidRPr="00007970" w:rsidRDefault="00007970" w:rsidP="00007970">
            <w:pPr>
              <w:jc w:val="right"/>
              <w:rPr>
                <w:rFonts w:ascii="Calibri" w:hAnsi="Calibri"/>
                <w:color w:val="000000"/>
                <w:sz w:val="22"/>
                <w:szCs w:val="22"/>
              </w:rPr>
            </w:pPr>
            <w:r w:rsidRPr="00007970">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007970" w:rsidRPr="00007970" w:rsidRDefault="00007970" w:rsidP="00007970">
            <w:pPr>
              <w:jc w:val="right"/>
              <w:rPr>
                <w:rFonts w:ascii="Calibri" w:hAnsi="Calibri"/>
                <w:color w:val="000000"/>
                <w:sz w:val="22"/>
                <w:szCs w:val="22"/>
              </w:rPr>
            </w:pPr>
            <w:r w:rsidRPr="00007970">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007970" w:rsidRPr="00007970" w:rsidRDefault="00007970" w:rsidP="00007970">
            <w:pPr>
              <w:jc w:val="right"/>
              <w:rPr>
                <w:rFonts w:ascii="Calibri" w:hAnsi="Calibri"/>
                <w:color w:val="000000"/>
                <w:sz w:val="22"/>
                <w:szCs w:val="22"/>
              </w:rPr>
            </w:pPr>
            <w:r w:rsidRPr="00007970">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007970" w:rsidRPr="00007970" w:rsidRDefault="00007970" w:rsidP="00007970">
            <w:pPr>
              <w:jc w:val="right"/>
              <w:rPr>
                <w:rFonts w:ascii="Calibri" w:hAnsi="Calibri"/>
                <w:color w:val="000000"/>
                <w:sz w:val="22"/>
                <w:szCs w:val="22"/>
              </w:rPr>
            </w:pPr>
            <w:r w:rsidRPr="00007970">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007970" w:rsidRPr="00007970" w:rsidRDefault="00007970" w:rsidP="00007970">
            <w:pPr>
              <w:jc w:val="right"/>
              <w:rPr>
                <w:rFonts w:ascii="Calibri" w:hAnsi="Calibri"/>
                <w:color w:val="000000"/>
                <w:sz w:val="22"/>
                <w:szCs w:val="22"/>
              </w:rPr>
            </w:pPr>
            <w:r w:rsidRPr="00007970">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007970" w:rsidRPr="00007970" w:rsidRDefault="00007970" w:rsidP="00007970">
            <w:pPr>
              <w:jc w:val="right"/>
              <w:rPr>
                <w:rFonts w:ascii="Calibri" w:hAnsi="Calibri"/>
                <w:color w:val="000000"/>
                <w:sz w:val="22"/>
                <w:szCs w:val="22"/>
              </w:rPr>
            </w:pPr>
            <w:r w:rsidRPr="00007970">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007970" w:rsidRPr="00007970" w:rsidRDefault="00007970" w:rsidP="00007970">
            <w:pPr>
              <w:jc w:val="right"/>
              <w:rPr>
                <w:rFonts w:ascii="Calibri" w:hAnsi="Calibri"/>
                <w:color w:val="000000"/>
                <w:sz w:val="22"/>
                <w:szCs w:val="22"/>
              </w:rPr>
            </w:pPr>
            <w:r w:rsidRPr="00007970">
              <w:rPr>
                <w:rFonts w:ascii="Calibri" w:hAnsi="Calibri"/>
                <w:color w:val="000000"/>
                <w:sz w:val="22"/>
                <w:szCs w:val="22"/>
              </w:rPr>
              <w:t>.</w:t>
            </w:r>
          </w:p>
        </w:tc>
      </w:tr>
      <w:tr w:rsidR="00007970" w:rsidRPr="00007970" w:rsidTr="00007970">
        <w:trPr>
          <w:trHeight w:val="300"/>
        </w:trPr>
        <w:tc>
          <w:tcPr>
            <w:tcW w:w="1420" w:type="dxa"/>
            <w:tcBorders>
              <w:top w:val="nil"/>
              <w:left w:val="nil"/>
              <w:bottom w:val="nil"/>
              <w:right w:val="nil"/>
            </w:tcBorders>
            <w:shd w:val="clear" w:color="auto" w:fill="auto"/>
            <w:noWrap/>
            <w:vAlign w:val="bottom"/>
            <w:hideMark/>
          </w:tcPr>
          <w:p w:rsidR="00007970" w:rsidRPr="00007970" w:rsidRDefault="00007970" w:rsidP="00007970">
            <w:pPr>
              <w:rPr>
                <w:rFonts w:ascii="Calibri" w:hAnsi="Calibri"/>
                <w:color w:val="000000"/>
                <w:sz w:val="22"/>
                <w:szCs w:val="22"/>
              </w:rPr>
            </w:pPr>
            <w:r w:rsidRPr="00007970">
              <w:rPr>
                <w:rFonts w:ascii="Calibri" w:hAnsi="Calibri"/>
                <w:color w:val="000000"/>
                <w:sz w:val="22"/>
                <w:szCs w:val="22"/>
              </w:rPr>
              <w:t>0681</w:t>
            </w:r>
          </w:p>
        </w:tc>
        <w:tc>
          <w:tcPr>
            <w:tcW w:w="3220" w:type="dxa"/>
            <w:tcBorders>
              <w:top w:val="nil"/>
              <w:left w:val="nil"/>
              <w:bottom w:val="nil"/>
              <w:right w:val="nil"/>
            </w:tcBorders>
            <w:shd w:val="clear" w:color="auto" w:fill="auto"/>
            <w:noWrap/>
            <w:vAlign w:val="bottom"/>
            <w:hideMark/>
          </w:tcPr>
          <w:p w:rsidR="00007970" w:rsidRPr="00007970" w:rsidRDefault="00007970" w:rsidP="00007970">
            <w:pPr>
              <w:rPr>
                <w:rFonts w:ascii="Calibri" w:hAnsi="Calibri"/>
                <w:color w:val="000000"/>
                <w:sz w:val="22"/>
                <w:szCs w:val="22"/>
              </w:rPr>
            </w:pPr>
            <w:r w:rsidRPr="00007970">
              <w:rPr>
                <w:rFonts w:ascii="Calibri" w:hAnsi="Calibri"/>
                <w:color w:val="000000"/>
                <w:sz w:val="22"/>
                <w:szCs w:val="22"/>
              </w:rPr>
              <w:t>Physical Therapist Assistant</w:t>
            </w:r>
          </w:p>
        </w:tc>
        <w:tc>
          <w:tcPr>
            <w:tcW w:w="1760" w:type="dxa"/>
            <w:tcBorders>
              <w:top w:val="nil"/>
              <w:left w:val="nil"/>
              <w:bottom w:val="nil"/>
              <w:right w:val="nil"/>
            </w:tcBorders>
            <w:shd w:val="clear" w:color="auto" w:fill="auto"/>
            <w:noWrap/>
            <w:vAlign w:val="bottom"/>
            <w:hideMark/>
          </w:tcPr>
          <w:p w:rsidR="00007970" w:rsidRPr="00007970" w:rsidRDefault="00007970" w:rsidP="00007970">
            <w:pPr>
              <w:rPr>
                <w:rFonts w:ascii="Calibri" w:hAnsi="Calibri"/>
                <w:color w:val="000000"/>
                <w:sz w:val="22"/>
                <w:szCs w:val="22"/>
              </w:rPr>
            </w:pPr>
            <w:r w:rsidRPr="00007970">
              <w:rPr>
                <w:rFonts w:ascii="Calibri" w:hAnsi="Calibri"/>
                <w:color w:val="000000"/>
                <w:sz w:val="22"/>
                <w:szCs w:val="22"/>
              </w:rPr>
              <w:t>PTA-118</w:t>
            </w:r>
          </w:p>
        </w:tc>
        <w:tc>
          <w:tcPr>
            <w:tcW w:w="460" w:type="dxa"/>
            <w:tcBorders>
              <w:top w:val="nil"/>
              <w:left w:val="nil"/>
              <w:bottom w:val="nil"/>
              <w:right w:val="nil"/>
            </w:tcBorders>
            <w:shd w:val="clear" w:color="auto" w:fill="auto"/>
            <w:noWrap/>
            <w:vAlign w:val="bottom"/>
            <w:hideMark/>
          </w:tcPr>
          <w:p w:rsidR="00007970" w:rsidRPr="00007970" w:rsidRDefault="00007970" w:rsidP="00007970">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rsidR="00007970" w:rsidRPr="00007970" w:rsidRDefault="00007970" w:rsidP="00007970">
            <w:pPr>
              <w:jc w:val="right"/>
              <w:rPr>
                <w:rFonts w:ascii="Calibri" w:hAnsi="Calibri"/>
                <w:color w:val="000000"/>
                <w:sz w:val="22"/>
                <w:szCs w:val="22"/>
              </w:rPr>
            </w:pPr>
            <w:r w:rsidRPr="00007970">
              <w:rPr>
                <w:rFonts w:ascii="Calibri" w:hAnsi="Calibri"/>
                <w:color w:val="000000"/>
                <w:sz w:val="22"/>
                <w:szCs w:val="22"/>
              </w:rPr>
              <w:t>92.6%</w:t>
            </w:r>
          </w:p>
        </w:tc>
        <w:tc>
          <w:tcPr>
            <w:tcW w:w="940" w:type="dxa"/>
            <w:tcBorders>
              <w:top w:val="nil"/>
              <w:left w:val="nil"/>
              <w:bottom w:val="nil"/>
              <w:right w:val="nil"/>
            </w:tcBorders>
            <w:shd w:val="clear" w:color="auto" w:fill="auto"/>
            <w:noWrap/>
            <w:vAlign w:val="bottom"/>
            <w:hideMark/>
          </w:tcPr>
          <w:p w:rsidR="00007970" w:rsidRPr="00007970" w:rsidRDefault="00007970" w:rsidP="00007970">
            <w:pPr>
              <w:jc w:val="right"/>
              <w:rPr>
                <w:rFonts w:ascii="Calibri" w:hAnsi="Calibri"/>
                <w:color w:val="000000"/>
                <w:sz w:val="22"/>
                <w:szCs w:val="22"/>
              </w:rPr>
            </w:pPr>
            <w:r w:rsidRPr="00007970">
              <w:rPr>
                <w:rFonts w:ascii="Calibri" w:hAnsi="Calibri"/>
                <w:color w:val="000000"/>
                <w:sz w:val="22"/>
                <w:szCs w:val="22"/>
              </w:rPr>
              <w:t>96.6%</w:t>
            </w:r>
          </w:p>
        </w:tc>
        <w:tc>
          <w:tcPr>
            <w:tcW w:w="940" w:type="dxa"/>
            <w:tcBorders>
              <w:top w:val="nil"/>
              <w:left w:val="nil"/>
              <w:bottom w:val="nil"/>
              <w:right w:val="nil"/>
            </w:tcBorders>
            <w:shd w:val="clear" w:color="auto" w:fill="auto"/>
            <w:noWrap/>
            <w:vAlign w:val="bottom"/>
            <w:hideMark/>
          </w:tcPr>
          <w:p w:rsidR="00007970" w:rsidRPr="00007970" w:rsidRDefault="00007970" w:rsidP="00007970">
            <w:pPr>
              <w:jc w:val="right"/>
              <w:rPr>
                <w:rFonts w:ascii="Calibri" w:hAnsi="Calibri"/>
                <w:color w:val="000000"/>
                <w:sz w:val="22"/>
                <w:szCs w:val="22"/>
              </w:rPr>
            </w:pPr>
            <w:r w:rsidRPr="00007970">
              <w:rPr>
                <w:rFonts w:ascii="Calibri" w:hAnsi="Calibri"/>
                <w:color w:val="000000"/>
                <w:sz w:val="22"/>
                <w:szCs w:val="22"/>
              </w:rPr>
              <w:t>93.1%</w:t>
            </w:r>
          </w:p>
        </w:tc>
        <w:tc>
          <w:tcPr>
            <w:tcW w:w="940" w:type="dxa"/>
            <w:tcBorders>
              <w:top w:val="nil"/>
              <w:left w:val="nil"/>
              <w:bottom w:val="nil"/>
              <w:right w:val="nil"/>
            </w:tcBorders>
            <w:shd w:val="clear" w:color="auto" w:fill="auto"/>
            <w:noWrap/>
            <w:vAlign w:val="bottom"/>
            <w:hideMark/>
          </w:tcPr>
          <w:p w:rsidR="00007970" w:rsidRPr="00007970" w:rsidRDefault="00007970" w:rsidP="00007970">
            <w:pPr>
              <w:jc w:val="right"/>
              <w:rPr>
                <w:rFonts w:ascii="Calibri" w:hAnsi="Calibri"/>
                <w:color w:val="000000"/>
                <w:sz w:val="22"/>
                <w:szCs w:val="22"/>
              </w:rPr>
            </w:pPr>
            <w:r w:rsidRPr="00007970">
              <w:rPr>
                <w:rFonts w:ascii="Calibri" w:hAnsi="Calibri"/>
                <w:color w:val="000000"/>
                <w:sz w:val="22"/>
                <w:szCs w:val="22"/>
              </w:rPr>
              <w:t>71.4%</w:t>
            </w:r>
          </w:p>
        </w:tc>
        <w:tc>
          <w:tcPr>
            <w:tcW w:w="940" w:type="dxa"/>
            <w:tcBorders>
              <w:top w:val="nil"/>
              <w:left w:val="nil"/>
              <w:bottom w:val="nil"/>
              <w:right w:val="nil"/>
            </w:tcBorders>
            <w:shd w:val="clear" w:color="auto" w:fill="auto"/>
            <w:noWrap/>
            <w:vAlign w:val="bottom"/>
            <w:hideMark/>
          </w:tcPr>
          <w:p w:rsidR="00007970" w:rsidRPr="00007970" w:rsidRDefault="00007970" w:rsidP="00007970">
            <w:pPr>
              <w:jc w:val="right"/>
              <w:rPr>
                <w:rFonts w:ascii="Calibri" w:hAnsi="Calibri"/>
                <w:color w:val="000000"/>
                <w:sz w:val="22"/>
                <w:szCs w:val="22"/>
              </w:rPr>
            </w:pPr>
            <w:r w:rsidRPr="00007970">
              <w:rPr>
                <w:rFonts w:ascii="Calibri" w:hAnsi="Calibri"/>
                <w:color w:val="000000"/>
                <w:sz w:val="22"/>
                <w:szCs w:val="22"/>
              </w:rPr>
              <w:t>97.2%</w:t>
            </w:r>
          </w:p>
        </w:tc>
        <w:tc>
          <w:tcPr>
            <w:tcW w:w="940" w:type="dxa"/>
            <w:tcBorders>
              <w:top w:val="nil"/>
              <w:left w:val="nil"/>
              <w:bottom w:val="nil"/>
              <w:right w:val="nil"/>
            </w:tcBorders>
            <w:shd w:val="clear" w:color="auto" w:fill="auto"/>
            <w:noWrap/>
            <w:vAlign w:val="bottom"/>
            <w:hideMark/>
          </w:tcPr>
          <w:p w:rsidR="00007970" w:rsidRPr="00007970" w:rsidRDefault="00007970" w:rsidP="00007970">
            <w:pPr>
              <w:jc w:val="right"/>
              <w:rPr>
                <w:rFonts w:ascii="Calibri" w:hAnsi="Calibri"/>
                <w:color w:val="000000"/>
                <w:sz w:val="22"/>
                <w:szCs w:val="22"/>
              </w:rPr>
            </w:pPr>
            <w:r w:rsidRPr="00007970">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007970" w:rsidRPr="00007970" w:rsidRDefault="00007970" w:rsidP="00007970">
            <w:pPr>
              <w:jc w:val="right"/>
              <w:rPr>
                <w:rFonts w:ascii="Calibri" w:hAnsi="Calibri"/>
                <w:color w:val="000000"/>
                <w:sz w:val="22"/>
                <w:szCs w:val="22"/>
              </w:rPr>
            </w:pPr>
            <w:r w:rsidRPr="00007970">
              <w:rPr>
                <w:rFonts w:ascii="Calibri" w:hAnsi="Calibri"/>
                <w:color w:val="000000"/>
                <w:sz w:val="22"/>
                <w:szCs w:val="22"/>
              </w:rPr>
              <w:t>.</w:t>
            </w:r>
          </w:p>
        </w:tc>
      </w:tr>
      <w:tr w:rsidR="00007970" w:rsidRPr="00007970" w:rsidTr="00007970">
        <w:trPr>
          <w:trHeight w:val="300"/>
        </w:trPr>
        <w:tc>
          <w:tcPr>
            <w:tcW w:w="1420" w:type="dxa"/>
            <w:tcBorders>
              <w:top w:val="nil"/>
              <w:left w:val="nil"/>
              <w:bottom w:val="nil"/>
              <w:right w:val="nil"/>
            </w:tcBorders>
            <w:shd w:val="clear" w:color="000000" w:fill="D9D9D9"/>
            <w:noWrap/>
            <w:vAlign w:val="bottom"/>
            <w:hideMark/>
          </w:tcPr>
          <w:p w:rsidR="00007970" w:rsidRPr="00007970" w:rsidRDefault="00007970" w:rsidP="00007970">
            <w:pPr>
              <w:rPr>
                <w:rFonts w:ascii="Calibri" w:hAnsi="Calibri"/>
                <w:color w:val="000000"/>
                <w:sz w:val="22"/>
                <w:szCs w:val="22"/>
              </w:rPr>
            </w:pPr>
            <w:r w:rsidRPr="00007970">
              <w:rPr>
                <w:rFonts w:ascii="Calibri" w:hAnsi="Calibri"/>
                <w:color w:val="000000"/>
                <w:sz w:val="22"/>
                <w:szCs w:val="22"/>
              </w:rPr>
              <w:lastRenderedPageBreak/>
              <w:t>0681</w:t>
            </w:r>
          </w:p>
        </w:tc>
        <w:tc>
          <w:tcPr>
            <w:tcW w:w="3220" w:type="dxa"/>
            <w:tcBorders>
              <w:top w:val="nil"/>
              <w:left w:val="nil"/>
              <w:bottom w:val="nil"/>
              <w:right w:val="nil"/>
            </w:tcBorders>
            <w:shd w:val="clear" w:color="000000" w:fill="D9D9D9"/>
            <w:noWrap/>
            <w:vAlign w:val="bottom"/>
            <w:hideMark/>
          </w:tcPr>
          <w:p w:rsidR="00007970" w:rsidRPr="00007970" w:rsidRDefault="00007970" w:rsidP="00007970">
            <w:pPr>
              <w:rPr>
                <w:rFonts w:ascii="Calibri" w:hAnsi="Calibri"/>
                <w:color w:val="000000"/>
                <w:sz w:val="22"/>
                <w:szCs w:val="22"/>
              </w:rPr>
            </w:pPr>
            <w:r w:rsidRPr="00007970">
              <w:rPr>
                <w:rFonts w:ascii="Calibri" w:hAnsi="Calibri"/>
                <w:color w:val="000000"/>
                <w:sz w:val="22"/>
                <w:szCs w:val="22"/>
              </w:rPr>
              <w:t>Physical Therapist Assistant</w:t>
            </w:r>
          </w:p>
        </w:tc>
        <w:tc>
          <w:tcPr>
            <w:tcW w:w="1760" w:type="dxa"/>
            <w:tcBorders>
              <w:top w:val="nil"/>
              <w:left w:val="nil"/>
              <w:bottom w:val="nil"/>
              <w:right w:val="nil"/>
            </w:tcBorders>
            <w:shd w:val="clear" w:color="000000" w:fill="D9D9D9"/>
            <w:noWrap/>
            <w:vAlign w:val="bottom"/>
            <w:hideMark/>
          </w:tcPr>
          <w:p w:rsidR="00007970" w:rsidRPr="00007970" w:rsidRDefault="00007970" w:rsidP="00007970">
            <w:pPr>
              <w:rPr>
                <w:rFonts w:ascii="Calibri" w:hAnsi="Calibri"/>
                <w:color w:val="000000"/>
                <w:sz w:val="22"/>
                <w:szCs w:val="22"/>
              </w:rPr>
            </w:pPr>
            <w:r w:rsidRPr="00007970">
              <w:rPr>
                <w:rFonts w:ascii="Calibri" w:hAnsi="Calibri"/>
                <w:color w:val="000000"/>
                <w:sz w:val="22"/>
                <w:szCs w:val="22"/>
              </w:rPr>
              <w:t>PTA-119</w:t>
            </w:r>
          </w:p>
        </w:tc>
        <w:tc>
          <w:tcPr>
            <w:tcW w:w="460" w:type="dxa"/>
            <w:tcBorders>
              <w:top w:val="nil"/>
              <w:left w:val="nil"/>
              <w:bottom w:val="nil"/>
              <w:right w:val="nil"/>
            </w:tcBorders>
            <w:shd w:val="clear" w:color="000000" w:fill="D9D9D9"/>
            <w:noWrap/>
            <w:vAlign w:val="bottom"/>
            <w:hideMark/>
          </w:tcPr>
          <w:p w:rsidR="00007970" w:rsidRPr="00007970" w:rsidRDefault="00007970" w:rsidP="00007970">
            <w:pPr>
              <w:rPr>
                <w:rFonts w:ascii="Calibri" w:hAnsi="Calibri"/>
                <w:color w:val="000000"/>
                <w:sz w:val="22"/>
                <w:szCs w:val="22"/>
              </w:rPr>
            </w:pPr>
            <w:r w:rsidRPr="00007970">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007970" w:rsidRPr="00007970" w:rsidRDefault="00007970" w:rsidP="00007970">
            <w:pPr>
              <w:jc w:val="right"/>
              <w:rPr>
                <w:rFonts w:ascii="Calibri" w:hAnsi="Calibri"/>
                <w:color w:val="000000"/>
                <w:sz w:val="22"/>
                <w:szCs w:val="22"/>
              </w:rPr>
            </w:pPr>
            <w:r w:rsidRPr="00007970">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007970" w:rsidRPr="00007970" w:rsidRDefault="00007970" w:rsidP="00007970">
            <w:pPr>
              <w:jc w:val="right"/>
              <w:rPr>
                <w:rFonts w:ascii="Calibri" w:hAnsi="Calibri"/>
                <w:color w:val="000000"/>
                <w:sz w:val="22"/>
                <w:szCs w:val="22"/>
              </w:rPr>
            </w:pPr>
            <w:r w:rsidRPr="00007970">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007970" w:rsidRPr="00007970" w:rsidRDefault="00007970" w:rsidP="00007970">
            <w:pPr>
              <w:jc w:val="right"/>
              <w:rPr>
                <w:rFonts w:ascii="Calibri" w:hAnsi="Calibri"/>
                <w:color w:val="000000"/>
                <w:sz w:val="22"/>
                <w:szCs w:val="22"/>
              </w:rPr>
            </w:pPr>
            <w:r w:rsidRPr="00007970">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007970" w:rsidRPr="00007970" w:rsidRDefault="00007970" w:rsidP="00007970">
            <w:pPr>
              <w:jc w:val="right"/>
              <w:rPr>
                <w:rFonts w:ascii="Calibri" w:hAnsi="Calibri"/>
                <w:color w:val="000000"/>
                <w:sz w:val="22"/>
                <w:szCs w:val="22"/>
              </w:rPr>
            </w:pPr>
            <w:r w:rsidRPr="00007970">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007970" w:rsidRPr="00007970" w:rsidRDefault="00007970" w:rsidP="00007970">
            <w:pPr>
              <w:jc w:val="right"/>
              <w:rPr>
                <w:rFonts w:ascii="Calibri" w:hAnsi="Calibri"/>
                <w:color w:val="000000"/>
                <w:sz w:val="22"/>
                <w:szCs w:val="22"/>
              </w:rPr>
            </w:pPr>
            <w:r w:rsidRPr="00007970">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007970" w:rsidRPr="00007970" w:rsidRDefault="00007970" w:rsidP="00007970">
            <w:pPr>
              <w:jc w:val="right"/>
              <w:rPr>
                <w:rFonts w:ascii="Calibri" w:hAnsi="Calibri"/>
                <w:color w:val="000000"/>
                <w:sz w:val="22"/>
                <w:szCs w:val="22"/>
              </w:rPr>
            </w:pPr>
            <w:r w:rsidRPr="00007970">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007970" w:rsidRPr="00007970" w:rsidRDefault="00007970" w:rsidP="00007970">
            <w:pPr>
              <w:jc w:val="right"/>
              <w:rPr>
                <w:rFonts w:ascii="Calibri" w:hAnsi="Calibri"/>
                <w:color w:val="000000"/>
                <w:sz w:val="22"/>
                <w:szCs w:val="22"/>
              </w:rPr>
            </w:pPr>
            <w:r w:rsidRPr="00007970">
              <w:rPr>
                <w:rFonts w:ascii="Calibri" w:hAnsi="Calibri"/>
                <w:color w:val="000000"/>
                <w:sz w:val="22"/>
                <w:szCs w:val="22"/>
              </w:rPr>
              <w:t>.</w:t>
            </w:r>
          </w:p>
        </w:tc>
      </w:tr>
      <w:tr w:rsidR="00007970" w:rsidRPr="00007970" w:rsidTr="00007970">
        <w:trPr>
          <w:trHeight w:val="300"/>
        </w:trPr>
        <w:tc>
          <w:tcPr>
            <w:tcW w:w="1420" w:type="dxa"/>
            <w:tcBorders>
              <w:top w:val="nil"/>
              <w:left w:val="nil"/>
              <w:bottom w:val="nil"/>
              <w:right w:val="nil"/>
            </w:tcBorders>
            <w:shd w:val="clear" w:color="auto" w:fill="auto"/>
            <w:noWrap/>
            <w:vAlign w:val="bottom"/>
            <w:hideMark/>
          </w:tcPr>
          <w:p w:rsidR="00007970" w:rsidRPr="00007970" w:rsidRDefault="00007970" w:rsidP="00007970">
            <w:pPr>
              <w:rPr>
                <w:rFonts w:ascii="Calibri" w:hAnsi="Calibri"/>
                <w:color w:val="000000"/>
                <w:sz w:val="22"/>
                <w:szCs w:val="22"/>
              </w:rPr>
            </w:pPr>
            <w:r w:rsidRPr="00007970">
              <w:rPr>
                <w:rFonts w:ascii="Calibri" w:hAnsi="Calibri"/>
                <w:color w:val="000000"/>
                <w:sz w:val="22"/>
                <w:szCs w:val="22"/>
              </w:rPr>
              <w:t>0681</w:t>
            </w:r>
          </w:p>
        </w:tc>
        <w:tc>
          <w:tcPr>
            <w:tcW w:w="3220" w:type="dxa"/>
            <w:tcBorders>
              <w:top w:val="nil"/>
              <w:left w:val="nil"/>
              <w:bottom w:val="nil"/>
              <w:right w:val="nil"/>
            </w:tcBorders>
            <w:shd w:val="clear" w:color="auto" w:fill="auto"/>
            <w:noWrap/>
            <w:vAlign w:val="bottom"/>
            <w:hideMark/>
          </w:tcPr>
          <w:p w:rsidR="00007970" w:rsidRPr="00007970" w:rsidRDefault="00007970" w:rsidP="00007970">
            <w:pPr>
              <w:rPr>
                <w:rFonts w:ascii="Calibri" w:hAnsi="Calibri"/>
                <w:color w:val="000000"/>
                <w:sz w:val="22"/>
                <w:szCs w:val="22"/>
              </w:rPr>
            </w:pPr>
            <w:r w:rsidRPr="00007970">
              <w:rPr>
                <w:rFonts w:ascii="Calibri" w:hAnsi="Calibri"/>
                <w:color w:val="000000"/>
                <w:sz w:val="22"/>
                <w:szCs w:val="22"/>
              </w:rPr>
              <w:t>Physical Therapist Assistant</w:t>
            </w:r>
          </w:p>
        </w:tc>
        <w:tc>
          <w:tcPr>
            <w:tcW w:w="1760" w:type="dxa"/>
            <w:tcBorders>
              <w:top w:val="nil"/>
              <w:left w:val="nil"/>
              <w:bottom w:val="nil"/>
              <w:right w:val="nil"/>
            </w:tcBorders>
            <w:shd w:val="clear" w:color="auto" w:fill="auto"/>
            <w:noWrap/>
            <w:vAlign w:val="bottom"/>
            <w:hideMark/>
          </w:tcPr>
          <w:p w:rsidR="00007970" w:rsidRPr="00007970" w:rsidRDefault="00007970" w:rsidP="00007970">
            <w:pPr>
              <w:rPr>
                <w:rFonts w:ascii="Calibri" w:hAnsi="Calibri"/>
                <w:color w:val="000000"/>
                <w:sz w:val="22"/>
                <w:szCs w:val="22"/>
              </w:rPr>
            </w:pPr>
            <w:r w:rsidRPr="00007970">
              <w:rPr>
                <w:rFonts w:ascii="Calibri" w:hAnsi="Calibri"/>
                <w:color w:val="000000"/>
                <w:sz w:val="22"/>
                <w:szCs w:val="22"/>
              </w:rPr>
              <w:t>PTA-120</w:t>
            </w:r>
          </w:p>
        </w:tc>
        <w:tc>
          <w:tcPr>
            <w:tcW w:w="460" w:type="dxa"/>
            <w:tcBorders>
              <w:top w:val="nil"/>
              <w:left w:val="nil"/>
              <w:bottom w:val="nil"/>
              <w:right w:val="nil"/>
            </w:tcBorders>
            <w:shd w:val="clear" w:color="auto" w:fill="auto"/>
            <w:noWrap/>
            <w:vAlign w:val="bottom"/>
            <w:hideMark/>
          </w:tcPr>
          <w:p w:rsidR="00007970" w:rsidRPr="00007970" w:rsidRDefault="00007970" w:rsidP="00007970">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rsidR="00007970" w:rsidRPr="00007970" w:rsidRDefault="00007970" w:rsidP="00007970">
            <w:pPr>
              <w:jc w:val="right"/>
              <w:rPr>
                <w:rFonts w:ascii="Calibri" w:hAnsi="Calibri"/>
                <w:color w:val="000000"/>
                <w:sz w:val="22"/>
                <w:szCs w:val="22"/>
              </w:rPr>
            </w:pPr>
            <w:r w:rsidRPr="00007970">
              <w:rPr>
                <w:rFonts w:ascii="Calibri" w:hAnsi="Calibri"/>
                <w:color w:val="000000"/>
                <w:sz w:val="22"/>
                <w:szCs w:val="22"/>
              </w:rPr>
              <w:t>96.4%</w:t>
            </w:r>
          </w:p>
        </w:tc>
        <w:tc>
          <w:tcPr>
            <w:tcW w:w="940" w:type="dxa"/>
            <w:tcBorders>
              <w:top w:val="nil"/>
              <w:left w:val="nil"/>
              <w:bottom w:val="nil"/>
              <w:right w:val="nil"/>
            </w:tcBorders>
            <w:shd w:val="clear" w:color="auto" w:fill="auto"/>
            <w:noWrap/>
            <w:vAlign w:val="bottom"/>
            <w:hideMark/>
          </w:tcPr>
          <w:p w:rsidR="00007970" w:rsidRPr="00007970" w:rsidRDefault="00007970" w:rsidP="00007970">
            <w:pPr>
              <w:jc w:val="right"/>
              <w:rPr>
                <w:rFonts w:ascii="Calibri" w:hAnsi="Calibri"/>
                <w:color w:val="000000"/>
                <w:sz w:val="22"/>
                <w:szCs w:val="22"/>
              </w:rPr>
            </w:pPr>
            <w:r w:rsidRPr="00007970">
              <w:rPr>
                <w:rFonts w:ascii="Calibri" w:hAnsi="Calibri"/>
                <w:color w:val="000000"/>
                <w:sz w:val="22"/>
                <w:szCs w:val="22"/>
              </w:rPr>
              <w:t>96.7%</w:t>
            </w:r>
          </w:p>
        </w:tc>
        <w:tc>
          <w:tcPr>
            <w:tcW w:w="940" w:type="dxa"/>
            <w:tcBorders>
              <w:top w:val="nil"/>
              <w:left w:val="nil"/>
              <w:bottom w:val="nil"/>
              <w:right w:val="nil"/>
            </w:tcBorders>
            <w:shd w:val="clear" w:color="auto" w:fill="auto"/>
            <w:noWrap/>
            <w:vAlign w:val="bottom"/>
            <w:hideMark/>
          </w:tcPr>
          <w:p w:rsidR="00007970" w:rsidRPr="00007970" w:rsidRDefault="00007970" w:rsidP="00007970">
            <w:pPr>
              <w:jc w:val="right"/>
              <w:rPr>
                <w:rFonts w:ascii="Calibri" w:hAnsi="Calibri"/>
                <w:color w:val="000000"/>
                <w:sz w:val="22"/>
                <w:szCs w:val="22"/>
              </w:rPr>
            </w:pPr>
            <w:r w:rsidRPr="00007970">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007970" w:rsidRPr="00007970" w:rsidRDefault="00007970" w:rsidP="00007970">
            <w:pPr>
              <w:jc w:val="right"/>
              <w:rPr>
                <w:rFonts w:ascii="Calibri" w:hAnsi="Calibri"/>
                <w:color w:val="000000"/>
                <w:sz w:val="22"/>
                <w:szCs w:val="22"/>
              </w:rPr>
            </w:pPr>
            <w:r w:rsidRPr="00007970">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007970" w:rsidRPr="00007970" w:rsidRDefault="00007970" w:rsidP="00007970">
            <w:pPr>
              <w:jc w:val="right"/>
              <w:rPr>
                <w:rFonts w:ascii="Calibri" w:hAnsi="Calibri"/>
                <w:color w:val="000000"/>
                <w:sz w:val="22"/>
                <w:szCs w:val="22"/>
              </w:rPr>
            </w:pPr>
            <w:r w:rsidRPr="00007970">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007970" w:rsidRPr="00007970" w:rsidRDefault="00007970" w:rsidP="00007970">
            <w:pPr>
              <w:jc w:val="right"/>
              <w:rPr>
                <w:rFonts w:ascii="Calibri" w:hAnsi="Calibri"/>
                <w:color w:val="000000"/>
                <w:sz w:val="22"/>
                <w:szCs w:val="22"/>
              </w:rPr>
            </w:pPr>
            <w:r w:rsidRPr="00007970">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007970" w:rsidRPr="00007970" w:rsidRDefault="00007970" w:rsidP="00007970">
            <w:pPr>
              <w:jc w:val="right"/>
              <w:rPr>
                <w:rFonts w:ascii="Calibri" w:hAnsi="Calibri"/>
                <w:color w:val="000000"/>
                <w:sz w:val="22"/>
                <w:szCs w:val="22"/>
              </w:rPr>
            </w:pPr>
            <w:r w:rsidRPr="00007970">
              <w:rPr>
                <w:rFonts w:ascii="Calibri" w:hAnsi="Calibri"/>
                <w:color w:val="000000"/>
                <w:sz w:val="22"/>
                <w:szCs w:val="22"/>
              </w:rPr>
              <w:t>.</w:t>
            </w:r>
          </w:p>
        </w:tc>
      </w:tr>
      <w:tr w:rsidR="00007970" w:rsidRPr="00007970" w:rsidTr="00007970">
        <w:trPr>
          <w:trHeight w:val="300"/>
        </w:trPr>
        <w:tc>
          <w:tcPr>
            <w:tcW w:w="1420" w:type="dxa"/>
            <w:tcBorders>
              <w:top w:val="nil"/>
              <w:left w:val="nil"/>
              <w:bottom w:val="nil"/>
              <w:right w:val="nil"/>
            </w:tcBorders>
            <w:shd w:val="clear" w:color="000000" w:fill="D9D9D9"/>
            <w:noWrap/>
            <w:vAlign w:val="bottom"/>
            <w:hideMark/>
          </w:tcPr>
          <w:p w:rsidR="00007970" w:rsidRPr="00007970" w:rsidRDefault="00007970" w:rsidP="00007970">
            <w:pPr>
              <w:rPr>
                <w:rFonts w:ascii="Calibri" w:hAnsi="Calibri"/>
                <w:color w:val="000000"/>
                <w:sz w:val="22"/>
                <w:szCs w:val="22"/>
              </w:rPr>
            </w:pPr>
            <w:r w:rsidRPr="00007970">
              <w:rPr>
                <w:rFonts w:ascii="Calibri" w:hAnsi="Calibri"/>
                <w:color w:val="000000"/>
                <w:sz w:val="22"/>
                <w:szCs w:val="22"/>
              </w:rPr>
              <w:t>0681</w:t>
            </w:r>
          </w:p>
        </w:tc>
        <w:tc>
          <w:tcPr>
            <w:tcW w:w="3220" w:type="dxa"/>
            <w:tcBorders>
              <w:top w:val="nil"/>
              <w:left w:val="nil"/>
              <w:bottom w:val="nil"/>
              <w:right w:val="nil"/>
            </w:tcBorders>
            <w:shd w:val="clear" w:color="000000" w:fill="D9D9D9"/>
            <w:noWrap/>
            <w:vAlign w:val="bottom"/>
            <w:hideMark/>
          </w:tcPr>
          <w:p w:rsidR="00007970" w:rsidRPr="00007970" w:rsidRDefault="00007970" w:rsidP="00007970">
            <w:pPr>
              <w:rPr>
                <w:rFonts w:ascii="Calibri" w:hAnsi="Calibri"/>
                <w:color w:val="000000"/>
                <w:sz w:val="22"/>
                <w:szCs w:val="22"/>
              </w:rPr>
            </w:pPr>
            <w:r w:rsidRPr="00007970">
              <w:rPr>
                <w:rFonts w:ascii="Calibri" w:hAnsi="Calibri"/>
                <w:color w:val="000000"/>
                <w:sz w:val="22"/>
                <w:szCs w:val="22"/>
              </w:rPr>
              <w:t>Physical Therapist Assistant</w:t>
            </w:r>
          </w:p>
        </w:tc>
        <w:tc>
          <w:tcPr>
            <w:tcW w:w="1760" w:type="dxa"/>
            <w:tcBorders>
              <w:top w:val="nil"/>
              <w:left w:val="nil"/>
              <w:bottom w:val="nil"/>
              <w:right w:val="nil"/>
            </w:tcBorders>
            <w:shd w:val="clear" w:color="000000" w:fill="D9D9D9"/>
            <w:noWrap/>
            <w:vAlign w:val="bottom"/>
            <w:hideMark/>
          </w:tcPr>
          <w:p w:rsidR="00007970" w:rsidRPr="00007970" w:rsidRDefault="00007970" w:rsidP="00007970">
            <w:pPr>
              <w:rPr>
                <w:rFonts w:ascii="Calibri" w:hAnsi="Calibri"/>
                <w:color w:val="000000"/>
                <w:sz w:val="22"/>
                <w:szCs w:val="22"/>
              </w:rPr>
            </w:pPr>
            <w:r w:rsidRPr="00007970">
              <w:rPr>
                <w:rFonts w:ascii="Calibri" w:hAnsi="Calibri"/>
                <w:color w:val="000000"/>
                <w:sz w:val="22"/>
                <w:szCs w:val="22"/>
              </w:rPr>
              <w:t>PTA-124</w:t>
            </w:r>
          </w:p>
        </w:tc>
        <w:tc>
          <w:tcPr>
            <w:tcW w:w="460" w:type="dxa"/>
            <w:tcBorders>
              <w:top w:val="nil"/>
              <w:left w:val="nil"/>
              <w:bottom w:val="nil"/>
              <w:right w:val="nil"/>
            </w:tcBorders>
            <w:shd w:val="clear" w:color="000000" w:fill="D9D9D9"/>
            <w:noWrap/>
            <w:vAlign w:val="bottom"/>
            <w:hideMark/>
          </w:tcPr>
          <w:p w:rsidR="00007970" w:rsidRPr="00007970" w:rsidRDefault="00007970" w:rsidP="00007970">
            <w:pPr>
              <w:rPr>
                <w:rFonts w:ascii="Calibri" w:hAnsi="Calibri"/>
                <w:color w:val="000000"/>
                <w:sz w:val="22"/>
                <w:szCs w:val="22"/>
              </w:rPr>
            </w:pPr>
            <w:r w:rsidRPr="00007970">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007970" w:rsidRPr="00007970" w:rsidRDefault="00007970" w:rsidP="00007970">
            <w:pPr>
              <w:jc w:val="right"/>
              <w:rPr>
                <w:rFonts w:ascii="Calibri" w:hAnsi="Calibri"/>
                <w:color w:val="000000"/>
                <w:sz w:val="22"/>
                <w:szCs w:val="22"/>
              </w:rPr>
            </w:pPr>
            <w:r w:rsidRPr="00007970">
              <w:rPr>
                <w:rFonts w:ascii="Calibri" w:hAnsi="Calibri"/>
                <w:color w:val="000000"/>
                <w:sz w:val="22"/>
                <w:szCs w:val="22"/>
              </w:rPr>
              <w:t>88.0%</w:t>
            </w:r>
          </w:p>
        </w:tc>
        <w:tc>
          <w:tcPr>
            <w:tcW w:w="940" w:type="dxa"/>
            <w:tcBorders>
              <w:top w:val="nil"/>
              <w:left w:val="nil"/>
              <w:bottom w:val="nil"/>
              <w:right w:val="nil"/>
            </w:tcBorders>
            <w:shd w:val="clear" w:color="000000" w:fill="D9D9D9"/>
            <w:noWrap/>
            <w:vAlign w:val="bottom"/>
            <w:hideMark/>
          </w:tcPr>
          <w:p w:rsidR="00007970" w:rsidRPr="00007970" w:rsidRDefault="00007970" w:rsidP="00007970">
            <w:pPr>
              <w:jc w:val="right"/>
              <w:rPr>
                <w:rFonts w:ascii="Calibri" w:hAnsi="Calibri"/>
                <w:color w:val="000000"/>
                <w:sz w:val="22"/>
                <w:szCs w:val="22"/>
              </w:rPr>
            </w:pPr>
            <w:r w:rsidRPr="00007970">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rsidR="00007970" w:rsidRPr="00007970" w:rsidRDefault="00007970" w:rsidP="00007970">
            <w:pPr>
              <w:jc w:val="right"/>
              <w:rPr>
                <w:rFonts w:ascii="Calibri" w:hAnsi="Calibri"/>
                <w:color w:val="000000"/>
                <w:sz w:val="22"/>
                <w:szCs w:val="22"/>
              </w:rPr>
            </w:pPr>
            <w:r w:rsidRPr="00007970">
              <w:rPr>
                <w:rFonts w:ascii="Calibri" w:hAnsi="Calibri"/>
                <w:color w:val="000000"/>
                <w:sz w:val="22"/>
                <w:szCs w:val="22"/>
              </w:rPr>
              <w:t>90.2%</w:t>
            </w:r>
          </w:p>
        </w:tc>
        <w:tc>
          <w:tcPr>
            <w:tcW w:w="940" w:type="dxa"/>
            <w:tcBorders>
              <w:top w:val="nil"/>
              <w:left w:val="nil"/>
              <w:bottom w:val="nil"/>
              <w:right w:val="nil"/>
            </w:tcBorders>
            <w:shd w:val="clear" w:color="000000" w:fill="D9D9D9"/>
            <w:noWrap/>
            <w:vAlign w:val="bottom"/>
            <w:hideMark/>
          </w:tcPr>
          <w:p w:rsidR="00007970" w:rsidRPr="00007970" w:rsidRDefault="00007970" w:rsidP="00007970">
            <w:pPr>
              <w:jc w:val="right"/>
              <w:rPr>
                <w:rFonts w:ascii="Calibri" w:hAnsi="Calibri"/>
                <w:color w:val="000000"/>
                <w:sz w:val="22"/>
                <w:szCs w:val="22"/>
              </w:rPr>
            </w:pPr>
            <w:r w:rsidRPr="00007970">
              <w:rPr>
                <w:rFonts w:ascii="Calibri" w:hAnsi="Calibri"/>
                <w:color w:val="000000"/>
                <w:sz w:val="22"/>
                <w:szCs w:val="22"/>
              </w:rPr>
              <w:t>90.0%</w:t>
            </w:r>
          </w:p>
        </w:tc>
        <w:tc>
          <w:tcPr>
            <w:tcW w:w="940" w:type="dxa"/>
            <w:tcBorders>
              <w:top w:val="nil"/>
              <w:left w:val="nil"/>
              <w:bottom w:val="nil"/>
              <w:right w:val="nil"/>
            </w:tcBorders>
            <w:shd w:val="clear" w:color="000000" w:fill="D9D9D9"/>
            <w:noWrap/>
            <w:vAlign w:val="bottom"/>
            <w:hideMark/>
          </w:tcPr>
          <w:p w:rsidR="00007970" w:rsidRPr="00007970" w:rsidRDefault="00007970" w:rsidP="00007970">
            <w:pPr>
              <w:jc w:val="right"/>
              <w:rPr>
                <w:rFonts w:ascii="Calibri" w:hAnsi="Calibri"/>
                <w:color w:val="000000"/>
                <w:sz w:val="22"/>
                <w:szCs w:val="22"/>
              </w:rPr>
            </w:pPr>
            <w:r w:rsidRPr="00007970">
              <w:rPr>
                <w:rFonts w:ascii="Calibri" w:hAnsi="Calibri"/>
                <w:color w:val="000000"/>
                <w:sz w:val="22"/>
                <w:szCs w:val="22"/>
              </w:rPr>
              <w:t>97.1%</w:t>
            </w:r>
          </w:p>
        </w:tc>
        <w:tc>
          <w:tcPr>
            <w:tcW w:w="940" w:type="dxa"/>
            <w:tcBorders>
              <w:top w:val="nil"/>
              <w:left w:val="nil"/>
              <w:bottom w:val="nil"/>
              <w:right w:val="nil"/>
            </w:tcBorders>
            <w:shd w:val="clear" w:color="000000" w:fill="D9D9D9"/>
            <w:noWrap/>
            <w:vAlign w:val="bottom"/>
            <w:hideMark/>
          </w:tcPr>
          <w:p w:rsidR="00007970" w:rsidRPr="00007970" w:rsidRDefault="00007970" w:rsidP="00007970">
            <w:pPr>
              <w:jc w:val="right"/>
              <w:rPr>
                <w:rFonts w:ascii="Calibri" w:hAnsi="Calibri"/>
                <w:color w:val="000000"/>
                <w:sz w:val="22"/>
                <w:szCs w:val="22"/>
              </w:rPr>
            </w:pPr>
            <w:r w:rsidRPr="00007970">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007970" w:rsidRPr="00007970" w:rsidRDefault="00007970" w:rsidP="00007970">
            <w:pPr>
              <w:jc w:val="right"/>
              <w:rPr>
                <w:rFonts w:ascii="Calibri" w:hAnsi="Calibri"/>
                <w:color w:val="000000"/>
                <w:sz w:val="22"/>
                <w:szCs w:val="22"/>
              </w:rPr>
            </w:pPr>
            <w:r w:rsidRPr="00007970">
              <w:rPr>
                <w:rFonts w:ascii="Calibri" w:hAnsi="Calibri"/>
                <w:color w:val="000000"/>
                <w:sz w:val="22"/>
                <w:szCs w:val="22"/>
              </w:rPr>
              <w:t>.</w:t>
            </w:r>
          </w:p>
        </w:tc>
      </w:tr>
      <w:tr w:rsidR="00007970" w:rsidRPr="00007970" w:rsidTr="00007970">
        <w:trPr>
          <w:trHeight w:val="300"/>
        </w:trPr>
        <w:tc>
          <w:tcPr>
            <w:tcW w:w="1420" w:type="dxa"/>
            <w:tcBorders>
              <w:top w:val="nil"/>
              <w:left w:val="nil"/>
              <w:bottom w:val="nil"/>
              <w:right w:val="nil"/>
            </w:tcBorders>
            <w:shd w:val="clear" w:color="auto" w:fill="auto"/>
            <w:noWrap/>
            <w:vAlign w:val="bottom"/>
            <w:hideMark/>
          </w:tcPr>
          <w:p w:rsidR="00007970" w:rsidRPr="00007970" w:rsidRDefault="00007970" w:rsidP="00007970">
            <w:pPr>
              <w:rPr>
                <w:rFonts w:ascii="Calibri" w:hAnsi="Calibri"/>
                <w:color w:val="000000"/>
                <w:sz w:val="22"/>
                <w:szCs w:val="22"/>
              </w:rPr>
            </w:pPr>
            <w:r w:rsidRPr="00007970">
              <w:rPr>
                <w:rFonts w:ascii="Calibri" w:hAnsi="Calibri"/>
                <w:color w:val="000000"/>
                <w:sz w:val="22"/>
                <w:szCs w:val="22"/>
              </w:rPr>
              <w:t>0681</w:t>
            </w:r>
          </w:p>
        </w:tc>
        <w:tc>
          <w:tcPr>
            <w:tcW w:w="3220" w:type="dxa"/>
            <w:tcBorders>
              <w:top w:val="nil"/>
              <w:left w:val="nil"/>
              <w:bottom w:val="nil"/>
              <w:right w:val="nil"/>
            </w:tcBorders>
            <w:shd w:val="clear" w:color="auto" w:fill="auto"/>
            <w:noWrap/>
            <w:vAlign w:val="bottom"/>
            <w:hideMark/>
          </w:tcPr>
          <w:p w:rsidR="00007970" w:rsidRPr="00007970" w:rsidRDefault="00007970" w:rsidP="00007970">
            <w:pPr>
              <w:rPr>
                <w:rFonts w:ascii="Calibri" w:hAnsi="Calibri"/>
                <w:color w:val="000000"/>
                <w:sz w:val="22"/>
                <w:szCs w:val="22"/>
              </w:rPr>
            </w:pPr>
            <w:r w:rsidRPr="00007970">
              <w:rPr>
                <w:rFonts w:ascii="Calibri" w:hAnsi="Calibri"/>
                <w:color w:val="000000"/>
                <w:sz w:val="22"/>
                <w:szCs w:val="22"/>
              </w:rPr>
              <w:t>Physical Therapist Assistant</w:t>
            </w:r>
          </w:p>
        </w:tc>
        <w:tc>
          <w:tcPr>
            <w:tcW w:w="1760" w:type="dxa"/>
            <w:tcBorders>
              <w:top w:val="nil"/>
              <w:left w:val="nil"/>
              <w:bottom w:val="nil"/>
              <w:right w:val="nil"/>
            </w:tcBorders>
            <w:shd w:val="clear" w:color="auto" w:fill="auto"/>
            <w:noWrap/>
            <w:vAlign w:val="bottom"/>
            <w:hideMark/>
          </w:tcPr>
          <w:p w:rsidR="00007970" w:rsidRPr="00007970" w:rsidRDefault="00007970" w:rsidP="00007970">
            <w:pPr>
              <w:rPr>
                <w:rFonts w:ascii="Calibri" w:hAnsi="Calibri"/>
                <w:color w:val="000000"/>
                <w:sz w:val="22"/>
                <w:szCs w:val="22"/>
              </w:rPr>
            </w:pPr>
            <w:r w:rsidRPr="00007970">
              <w:rPr>
                <w:rFonts w:ascii="Calibri" w:hAnsi="Calibri"/>
                <w:color w:val="000000"/>
                <w:sz w:val="22"/>
                <w:szCs w:val="22"/>
              </w:rPr>
              <w:t>PTA-125</w:t>
            </w:r>
          </w:p>
        </w:tc>
        <w:tc>
          <w:tcPr>
            <w:tcW w:w="460" w:type="dxa"/>
            <w:tcBorders>
              <w:top w:val="nil"/>
              <w:left w:val="nil"/>
              <w:bottom w:val="nil"/>
              <w:right w:val="nil"/>
            </w:tcBorders>
            <w:shd w:val="clear" w:color="auto" w:fill="auto"/>
            <w:noWrap/>
            <w:vAlign w:val="bottom"/>
            <w:hideMark/>
          </w:tcPr>
          <w:p w:rsidR="00007970" w:rsidRPr="00007970" w:rsidRDefault="00007970" w:rsidP="00007970">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rsidR="00007970" w:rsidRPr="00007970" w:rsidRDefault="00007970" w:rsidP="00007970">
            <w:pPr>
              <w:jc w:val="right"/>
              <w:rPr>
                <w:rFonts w:ascii="Calibri" w:hAnsi="Calibri"/>
                <w:color w:val="000000"/>
                <w:sz w:val="22"/>
                <w:szCs w:val="22"/>
              </w:rPr>
            </w:pPr>
            <w:r w:rsidRPr="00007970">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007970" w:rsidRPr="00007970" w:rsidRDefault="00007970" w:rsidP="00007970">
            <w:pPr>
              <w:jc w:val="right"/>
              <w:rPr>
                <w:rFonts w:ascii="Calibri" w:hAnsi="Calibri"/>
                <w:color w:val="000000"/>
                <w:sz w:val="22"/>
                <w:szCs w:val="22"/>
              </w:rPr>
            </w:pPr>
            <w:r w:rsidRPr="00007970">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007970" w:rsidRPr="00007970" w:rsidRDefault="00007970" w:rsidP="00007970">
            <w:pPr>
              <w:jc w:val="right"/>
              <w:rPr>
                <w:rFonts w:ascii="Calibri" w:hAnsi="Calibri"/>
                <w:color w:val="000000"/>
                <w:sz w:val="22"/>
                <w:szCs w:val="22"/>
              </w:rPr>
            </w:pPr>
            <w:r w:rsidRPr="00007970">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007970" w:rsidRPr="00007970" w:rsidRDefault="00007970" w:rsidP="00007970">
            <w:pPr>
              <w:jc w:val="right"/>
              <w:rPr>
                <w:rFonts w:ascii="Calibri" w:hAnsi="Calibri"/>
                <w:color w:val="000000"/>
                <w:sz w:val="22"/>
                <w:szCs w:val="22"/>
              </w:rPr>
            </w:pPr>
            <w:r w:rsidRPr="00007970">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007970" w:rsidRPr="00007970" w:rsidRDefault="00007970" w:rsidP="00007970">
            <w:pPr>
              <w:jc w:val="right"/>
              <w:rPr>
                <w:rFonts w:ascii="Calibri" w:hAnsi="Calibri"/>
                <w:color w:val="000000"/>
                <w:sz w:val="22"/>
                <w:szCs w:val="22"/>
              </w:rPr>
            </w:pPr>
            <w:r w:rsidRPr="00007970">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007970" w:rsidRPr="00007970" w:rsidRDefault="00007970" w:rsidP="00007970">
            <w:pPr>
              <w:jc w:val="right"/>
              <w:rPr>
                <w:rFonts w:ascii="Calibri" w:hAnsi="Calibri"/>
                <w:color w:val="000000"/>
                <w:sz w:val="22"/>
                <w:szCs w:val="22"/>
              </w:rPr>
            </w:pPr>
            <w:r w:rsidRPr="00007970">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007970" w:rsidRPr="00007970" w:rsidRDefault="00007970" w:rsidP="00007970">
            <w:pPr>
              <w:jc w:val="right"/>
              <w:rPr>
                <w:rFonts w:ascii="Calibri" w:hAnsi="Calibri"/>
                <w:color w:val="000000"/>
                <w:sz w:val="22"/>
                <w:szCs w:val="22"/>
              </w:rPr>
            </w:pPr>
            <w:r w:rsidRPr="00007970">
              <w:rPr>
                <w:rFonts w:ascii="Calibri" w:hAnsi="Calibri"/>
                <w:color w:val="000000"/>
                <w:sz w:val="22"/>
                <w:szCs w:val="22"/>
              </w:rPr>
              <w:t>.</w:t>
            </w:r>
          </w:p>
        </w:tc>
      </w:tr>
      <w:tr w:rsidR="00007970" w:rsidRPr="00007970" w:rsidTr="00007970">
        <w:trPr>
          <w:trHeight w:val="300"/>
        </w:trPr>
        <w:tc>
          <w:tcPr>
            <w:tcW w:w="1420" w:type="dxa"/>
            <w:tcBorders>
              <w:top w:val="nil"/>
              <w:left w:val="nil"/>
              <w:bottom w:val="nil"/>
              <w:right w:val="nil"/>
            </w:tcBorders>
            <w:shd w:val="clear" w:color="000000" w:fill="D9D9D9"/>
            <w:noWrap/>
            <w:vAlign w:val="bottom"/>
            <w:hideMark/>
          </w:tcPr>
          <w:p w:rsidR="00007970" w:rsidRPr="00007970" w:rsidRDefault="00007970" w:rsidP="00007970">
            <w:pPr>
              <w:rPr>
                <w:rFonts w:ascii="Calibri" w:hAnsi="Calibri"/>
                <w:color w:val="000000"/>
                <w:sz w:val="22"/>
                <w:szCs w:val="22"/>
              </w:rPr>
            </w:pPr>
            <w:r w:rsidRPr="00007970">
              <w:rPr>
                <w:rFonts w:ascii="Calibri" w:hAnsi="Calibri"/>
                <w:color w:val="000000"/>
                <w:sz w:val="22"/>
                <w:szCs w:val="22"/>
              </w:rPr>
              <w:t>0681</w:t>
            </w:r>
          </w:p>
        </w:tc>
        <w:tc>
          <w:tcPr>
            <w:tcW w:w="3220" w:type="dxa"/>
            <w:tcBorders>
              <w:top w:val="nil"/>
              <w:left w:val="nil"/>
              <w:bottom w:val="nil"/>
              <w:right w:val="nil"/>
            </w:tcBorders>
            <w:shd w:val="clear" w:color="000000" w:fill="D9D9D9"/>
            <w:noWrap/>
            <w:vAlign w:val="bottom"/>
            <w:hideMark/>
          </w:tcPr>
          <w:p w:rsidR="00007970" w:rsidRPr="00007970" w:rsidRDefault="00007970" w:rsidP="00007970">
            <w:pPr>
              <w:rPr>
                <w:rFonts w:ascii="Calibri" w:hAnsi="Calibri"/>
                <w:color w:val="000000"/>
                <w:sz w:val="22"/>
                <w:szCs w:val="22"/>
              </w:rPr>
            </w:pPr>
            <w:r w:rsidRPr="00007970">
              <w:rPr>
                <w:rFonts w:ascii="Calibri" w:hAnsi="Calibri"/>
                <w:color w:val="000000"/>
                <w:sz w:val="22"/>
                <w:szCs w:val="22"/>
              </w:rPr>
              <w:t>Physical Therapist Assistant</w:t>
            </w:r>
          </w:p>
        </w:tc>
        <w:tc>
          <w:tcPr>
            <w:tcW w:w="1760" w:type="dxa"/>
            <w:tcBorders>
              <w:top w:val="nil"/>
              <w:left w:val="nil"/>
              <w:bottom w:val="nil"/>
              <w:right w:val="nil"/>
            </w:tcBorders>
            <w:shd w:val="clear" w:color="000000" w:fill="D9D9D9"/>
            <w:noWrap/>
            <w:vAlign w:val="bottom"/>
            <w:hideMark/>
          </w:tcPr>
          <w:p w:rsidR="00007970" w:rsidRPr="00007970" w:rsidRDefault="00007970" w:rsidP="00007970">
            <w:pPr>
              <w:rPr>
                <w:rFonts w:ascii="Calibri" w:hAnsi="Calibri"/>
                <w:color w:val="000000"/>
                <w:sz w:val="22"/>
                <w:szCs w:val="22"/>
              </w:rPr>
            </w:pPr>
            <w:r w:rsidRPr="00007970">
              <w:rPr>
                <w:rFonts w:ascii="Calibri" w:hAnsi="Calibri"/>
                <w:color w:val="000000"/>
                <w:sz w:val="22"/>
                <w:szCs w:val="22"/>
              </w:rPr>
              <w:t>PTA-129</w:t>
            </w:r>
          </w:p>
        </w:tc>
        <w:tc>
          <w:tcPr>
            <w:tcW w:w="460" w:type="dxa"/>
            <w:tcBorders>
              <w:top w:val="nil"/>
              <w:left w:val="nil"/>
              <w:bottom w:val="nil"/>
              <w:right w:val="nil"/>
            </w:tcBorders>
            <w:shd w:val="clear" w:color="000000" w:fill="D9D9D9"/>
            <w:noWrap/>
            <w:vAlign w:val="bottom"/>
            <w:hideMark/>
          </w:tcPr>
          <w:p w:rsidR="00007970" w:rsidRPr="00007970" w:rsidRDefault="00007970" w:rsidP="00007970">
            <w:pPr>
              <w:rPr>
                <w:rFonts w:ascii="Calibri" w:hAnsi="Calibri"/>
                <w:color w:val="000000"/>
                <w:sz w:val="22"/>
                <w:szCs w:val="22"/>
              </w:rPr>
            </w:pPr>
            <w:r w:rsidRPr="00007970">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007970" w:rsidRPr="00007970" w:rsidRDefault="00007970" w:rsidP="00007970">
            <w:pPr>
              <w:jc w:val="right"/>
              <w:rPr>
                <w:rFonts w:ascii="Calibri" w:hAnsi="Calibri"/>
                <w:color w:val="000000"/>
                <w:sz w:val="22"/>
                <w:szCs w:val="22"/>
              </w:rPr>
            </w:pPr>
            <w:r w:rsidRPr="00007970">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007970" w:rsidRPr="00007970" w:rsidRDefault="00007970" w:rsidP="00007970">
            <w:pPr>
              <w:jc w:val="right"/>
              <w:rPr>
                <w:rFonts w:ascii="Calibri" w:hAnsi="Calibri"/>
                <w:color w:val="000000"/>
                <w:sz w:val="22"/>
                <w:szCs w:val="22"/>
              </w:rPr>
            </w:pPr>
            <w:r w:rsidRPr="00007970">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007970" w:rsidRPr="00007970" w:rsidRDefault="00007970" w:rsidP="00007970">
            <w:pPr>
              <w:jc w:val="right"/>
              <w:rPr>
                <w:rFonts w:ascii="Calibri" w:hAnsi="Calibri"/>
                <w:color w:val="000000"/>
                <w:sz w:val="22"/>
                <w:szCs w:val="22"/>
              </w:rPr>
            </w:pPr>
            <w:r w:rsidRPr="00007970">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rsidR="00007970" w:rsidRPr="00007970" w:rsidRDefault="00007970" w:rsidP="00007970">
            <w:pPr>
              <w:jc w:val="right"/>
              <w:rPr>
                <w:rFonts w:ascii="Calibri" w:hAnsi="Calibri"/>
                <w:color w:val="000000"/>
                <w:sz w:val="22"/>
                <w:szCs w:val="22"/>
              </w:rPr>
            </w:pPr>
            <w:r w:rsidRPr="00007970">
              <w:rPr>
                <w:rFonts w:ascii="Calibri" w:hAnsi="Calibri"/>
                <w:color w:val="000000"/>
                <w:sz w:val="22"/>
                <w:szCs w:val="22"/>
              </w:rPr>
              <w:t>89.3%</w:t>
            </w:r>
          </w:p>
        </w:tc>
        <w:tc>
          <w:tcPr>
            <w:tcW w:w="940" w:type="dxa"/>
            <w:tcBorders>
              <w:top w:val="nil"/>
              <w:left w:val="nil"/>
              <w:bottom w:val="nil"/>
              <w:right w:val="nil"/>
            </w:tcBorders>
            <w:shd w:val="clear" w:color="000000" w:fill="D9D9D9"/>
            <w:noWrap/>
            <w:vAlign w:val="bottom"/>
            <w:hideMark/>
          </w:tcPr>
          <w:p w:rsidR="00007970" w:rsidRPr="00007970" w:rsidRDefault="00007970" w:rsidP="00007970">
            <w:pPr>
              <w:jc w:val="right"/>
              <w:rPr>
                <w:rFonts w:ascii="Calibri" w:hAnsi="Calibri"/>
                <w:color w:val="000000"/>
                <w:sz w:val="22"/>
                <w:szCs w:val="22"/>
              </w:rPr>
            </w:pPr>
            <w:r w:rsidRPr="00007970">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rsidR="00007970" w:rsidRPr="00007970" w:rsidRDefault="00007970" w:rsidP="00007970">
            <w:pPr>
              <w:jc w:val="right"/>
              <w:rPr>
                <w:rFonts w:ascii="Calibri" w:hAnsi="Calibri"/>
                <w:color w:val="000000"/>
                <w:sz w:val="22"/>
                <w:szCs w:val="22"/>
              </w:rPr>
            </w:pPr>
            <w:r w:rsidRPr="00007970">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007970" w:rsidRPr="00007970" w:rsidRDefault="00007970" w:rsidP="00007970">
            <w:pPr>
              <w:jc w:val="right"/>
              <w:rPr>
                <w:rFonts w:ascii="Calibri" w:hAnsi="Calibri"/>
                <w:color w:val="000000"/>
                <w:sz w:val="22"/>
                <w:szCs w:val="22"/>
              </w:rPr>
            </w:pPr>
            <w:r w:rsidRPr="00007970">
              <w:rPr>
                <w:rFonts w:ascii="Calibri" w:hAnsi="Calibri"/>
                <w:color w:val="000000"/>
                <w:sz w:val="22"/>
                <w:szCs w:val="22"/>
              </w:rPr>
              <w:t>.</w:t>
            </w:r>
          </w:p>
        </w:tc>
      </w:tr>
      <w:tr w:rsidR="00007970" w:rsidRPr="00007970" w:rsidTr="00007970">
        <w:trPr>
          <w:trHeight w:val="300"/>
        </w:trPr>
        <w:tc>
          <w:tcPr>
            <w:tcW w:w="1420" w:type="dxa"/>
            <w:tcBorders>
              <w:top w:val="nil"/>
              <w:left w:val="nil"/>
              <w:bottom w:val="nil"/>
              <w:right w:val="nil"/>
            </w:tcBorders>
            <w:shd w:val="clear" w:color="auto" w:fill="auto"/>
            <w:noWrap/>
            <w:vAlign w:val="bottom"/>
            <w:hideMark/>
          </w:tcPr>
          <w:p w:rsidR="00007970" w:rsidRPr="00007970" w:rsidRDefault="00007970" w:rsidP="00007970">
            <w:pPr>
              <w:rPr>
                <w:rFonts w:ascii="Calibri" w:hAnsi="Calibri"/>
                <w:color w:val="000000"/>
                <w:sz w:val="22"/>
                <w:szCs w:val="22"/>
              </w:rPr>
            </w:pPr>
            <w:r w:rsidRPr="00007970">
              <w:rPr>
                <w:rFonts w:ascii="Calibri" w:hAnsi="Calibri"/>
                <w:color w:val="000000"/>
                <w:sz w:val="22"/>
                <w:szCs w:val="22"/>
              </w:rPr>
              <w:t>0681</w:t>
            </w:r>
          </w:p>
        </w:tc>
        <w:tc>
          <w:tcPr>
            <w:tcW w:w="3220" w:type="dxa"/>
            <w:tcBorders>
              <w:top w:val="nil"/>
              <w:left w:val="nil"/>
              <w:bottom w:val="nil"/>
              <w:right w:val="nil"/>
            </w:tcBorders>
            <w:shd w:val="clear" w:color="auto" w:fill="auto"/>
            <w:noWrap/>
            <w:vAlign w:val="bottom"/>
            <w:hideMark/>
          </w:tcPr>
          <w:p w:rsidR="00007970" w:rsidRPr="00007970" w:rsidRDefault="00007970" w:rsidP="00007970">
            <w:pPr>
              <w:rPr>
                <w:rFonts w:ascii="Calibri" w:hAnsi="Calibri"/>
                <w:color w:val="000000"/>
                <w:sz w:val="22"/>
                <w:szCs w:val="22"/>
              </w:rPr>
            </w:pPr>
            <w:r w:rsidRPr="00007970">
              <w:rPr>
                <w:rFonts w:ascii="Calibri" w:hAnsi="Calibri"/>
                <w:color w:val="000000"/>
                <w:sz w:val="22"/>
                <w:szCs w:val="22"/>
              </w:rPr>
              <w:t>Physical Therapist Assistant</w:t>
            </w:r>
          </w:p>
        </w:tc>
        <w:tc>
          <w:tcPr>
            <w:tcW w:w="1760" w:type="dxa"/>
            <w:tcBorders>
              <w:top w:val="nil"/>
              <w:left w:val="nil"/>
              <w:bottom w:val="nil"/>
              <w:right w:val="nil"/>
            </w:tcBorders>
            <w:shd w:val="clear" w:color="auto" w:fill="auto"/>
            <w:noWrap/>
            <w:vAlign w:val="bottom"/>
            <w:hideMark/>
          </w:tcPr>
          <w:p w:rsidR="00007970" w:rsidRPr="00007970" w:rsidRDefault="00007970" w:rsidP="00007970">
            <w:pPr>
              <w:rPr>
                <w:rFonts w:ascii="Calibri" w:hAnsi="Calibri"/>
                <w:color w:val="000000"/>
                <w:sz w:val="22"/>
                <w:szCs w:val="22"/>
              </w:rPr>
            </w:pPr>
            <w:r w:rsidRPr="00007970">
              <w:rPr>
                <w:rFonts w:ascii="Calibri" w:hAnsi="Calibri"/>
                <w:color w:val="000000"/>
                <w:sz w:val="22"/>
                <w:szCs w:val="22"/>
              </w:rPr>
              <w:t>PTA-130</w:t>
            </w:r>
          </w:p>
        </w:tc>
        <w:tc>
          <w:tcPr>
            <w:tcW w:w="460" w:type="dxa"/>
            <w:tcBorders>
              <w:top w:val="nil"/>
              <w:left w:val="nil"/>
              <w:bottom w:val="nil"/>
              <w:right w:val="nil"/>
            </w:tcBorders>
            <w:shd w:val="clear" w:color="auto" w:fill="auto"/>
            <w:noWrap/>
            <w:vAlign w:val="bottom"/>
            <w:hideMark/>
          </w:tcPr>
          <w:p w:rsidR="00007970" w:rsidRPr="00007970" w:rsidRDefault="00007970" w:rsidP="00007970">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rsidR="00007970" w:rsidRPr="00007970" w:rsidRDefault="00007970" w:rsidP="00007970">
            <w:pPr>
              <w:jc w:val="right"/>
              <w:rPr>
                <w:rFonts w:ascii="Calibri" w:hAnsi="Calibri"/>
                <w:color w:val="000000"/>
                <w:sz w:val="22"/>
                <w:szCs w:val="22"/>
              </w:rPr>
            </w:pPr>
            <w:r w:rsidRPr="00007970">
              <w:rPr>
                <w:rFonts w:ascii="Calibri" w:hAnsi="Calibri"/>
                <w:color w:val="000000"/>
                <w:sz w:val="22"/>
                <w:szCs w:val="22"/>
              </w:rPr>
              <w:t>84.6%</w:t>
            </w:r>
          </w:p>
        </w:tc>
        <w:tc>
          <w:tcPr>
            <w:tcW w:w="940" w:type="dxa"/>
            <w:tcBorders>
              <w:top w:val="nil"/>
              <w:left w:val="nil"/>
              <w:bottom w:val="nil"/>
              <w:right w:val="nil"/>
            </w:tcBorders>
            <w:shd w:val="clear" w:color="auto" w:fill="auto"/>
            <w:noWrap/>
            <w:vAlign w:val="bottom"/>
            <w:hideMark/>
          </w:tcPr>
          <w:p w:rsidR="00007970" w:rsidRPr="00007970" w:rsidRDefault="00007970" w:rsidP="00007970">
            <w:pPr>
              <w:jc w:val="right"/>
              <w:rPr>
                <w:rFonts w:ascii="Calibri" w:hAnsi="Calibri"/>
                <w:color w:val="000000"/>
                <w:sz w:val="22"/>
                <w:szCs w:val="22"/>
              </w:rPr>
            </w:pPr>
            <w:r w:rsidRPr="00007970">
              <w:rPr>
                <w:rFonts w:ascii="Calibri" w:hAnsi="Calibri"/>
                <w:color w:val="000000"/>
                <w:sz w:val="22"/>
                <w:szCs w:val="22"/>
              </w:rPr>
              <w:t>94.1%</w:t>
            </w:r>
          </w:p>
        </w:tc>
        <w:tc>
          <w:tcPr>
            <w:tcW w:w="940" w:type="dxa"/>
            <w:tcBorders>
              <w:top w:val="nil"/>
              <w:left w:val="nil"/>
              <w:bottom w:val="nil"/>
              <w:right w:val="nil"/>
            </w:tcBorders>
            <w:shd w:val="clear" w:color="auto" w:fill="auto"/>
            <w:noWrap/>
            <w:vAlign w:val="bottom"/>
            <w:hideMark/>
          </w:tcPr>
          <w:p w:rsidR="00007970" w:rsidRPr="00007970" w:rsidRDefault="00007970" w:rsidP="00007970">
            <w:pPr>
              <w:jc w:val="right"/>
              <w:rPr>
                <w:rFonts w:ascii="Calibri" w:hAnsi="Calibri"/>
                <w:color w:val="000000"/>
                <w:sz w:val="22"/>
                <w:szCs w:val="22"/>
              </w:rPr>
            </w:pPr>
            <w:r w:rsidRPr="00007970">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007970" w:rsidRPr="00007970" w:rsidRDefault="00007970" w:rsidP="00007970">
            <w:pPr>
              <w:jc w:val="right"/>
              <w:rPr>
                <w:rFonts w:ascii="Calibri" w:hAnsi="Calibri"/>
                <w:color w:val="000000"/>
                <w:sz w:val="22"/>
                <w:szCs w:val="22"/>
              </w:rPr>
            </w:pPr>
            <w:r w:rsidRPr="00007970">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007970" w:rsidRPr="00007970" w:rsidRDefault="00007970" w:rsidP="00007970">
            <w:pPr>
              <w:jc w:val="right"/>
              <w:rPr>
                <w:rFonts w:ascii="Calibri" w:hAnsi="Calibri"/>
                <w:color w:val="000000"/>
                <w:sz w:val="22"/>
                <w:szCs w:val="22"/>
              </w:rPr>
            </w:pPr>
            <w:r w:rsidRPr="00007970">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007970" w:rsidRPr="00007970" w:rsidRDefault="00007970" w:rsidP="00007970">
            <w:pPr>
              <w:jc w:val="right"/>
              <w:rPr>
                <w:rFonts w:ascii="Calibri" w:hAnsi="Calibri"/>
                <w:color w:val="000000"/>
                <w:sz w:val="22"/>
                <w:szCs w:val="22"/>
              </w:rPr>
            </w:pPr>
            <w:r w:rsidRPr="00007970">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007970" w:rsidRPr="00007970" w:rsidRDefault="00007970" w:rsidP="00007970">
            <w:pPr>
              <w:jc w:val="right"/>
              <w:rPr>
                <w:rFonts w:ascii="Calibri" w:hAnsi="Calibri"/>
                <w:color w:val="000000"/>
                <w:sz w:val="22"/>
                <w:szCs w:val="22"/>
              </w:rPr>
            </w:pPr>
            <w:r w:rsidRPr="00007970">
              <w:rPr>
                <w:rFonts w:ascii="Calibri" w:hAnsi="Calibri"/>
                <w:color w:val="000000"/>
                <w:sz w:val="22"/>
                <w:szCs w:val="22"/>
              </w:rPr>
              <w:t>.</w:t>
            </w:r>
          </w:p>
        </w:tc>
      </w:tr>
      <w:tr w:rsidR="00007970" w:rsidRPr="00007970" w:rsidTr="00007970">
        <w:trPr>
          <w:trHeight w:val="300"/>
        </w:trPr>
        <w:tc>
          <w:tcPr>
            <w:tcW w:w="1420" w:type="dxa"/>
            <w:tcBorders>
              <w:top w:val="nil"/>
              <w:left w:val="nil"/>
              <w:bottom w:val="nil"/>
              <w:right w:val="nil"/>
            </w:tcBorders>
            <w:shd w:val="clear" w:color="000000" w:fill="D9D9D9"/>
            <w:noWrap/>
            <w:vAlign w:val="bottom"/>
            <w:hideMark/>
          </w:tcPr>
          <w:p w:rsidR="00007970" w:rsidRPr="00007970" w:rsidRDefault="00007970" w:rsidP="00007970">
            <w:pPr>
              <w:rPr>
                <w:rFonts w:ascii="Calibri" w:hAnsi="Calibri"/>
                <w:color w:val="000000"/>
                <w:sz w:val="22"/>
                <w:szCs w:val="22"/>
              </w:rPr>
            </w:pPr>
            <w:r w:rsidRPr="00007970">
              <w:rPr>
                <w:rFonts w:ascii="Calibri" w:hAnsi="Calibri"/>
                <w:color w:val="000000"/>
                <w:sz w:val="22"/>
                <w:szCs w:val="22"/>
              </w:rPr>
              <w:t>0681</w:t>
            </w:r>
          </w:p>
        </w:tc>
        <w:tc>
          <w:tcPr>
            <w:tcW w:w="3220" w:type="dxa"/>
            <w:tcBorders>
              <w:top w:val="nil"/>
              <w:left w:val="nil"/>
              <w:bottom w:val="nil"/>
              <w:right w:val="nil"/>
            </w:tcBorders>
            <w:shd w:val="clear" w:color="000000" w:fill="D9D9D9"/>
            <w:noWrap/>
            <w:vAlign w:val="bottom"/>
            <w:hideMark/>
          </w:tcPr>
          <w:p w:rsidR="00007970" w:rsidRPr="00007970" w:rsidRDefault="00007970" w:rsidP="00007970">
            <w:pPr>
              <w:rPr>
                <w:rFonts w:ascii="Calibri" w:hAnsi="Calibri"/>
                <w:color w:val="000000"/>
                <w:sz w:val="22"/>
                <w:szCs w:val="22"/>
              </w:rPr>
            </w:pPr>
            <w:r w:rsidRPr="00007970">
              <w:rPr>
                <w:rFonts w:ascii="Calibri" w:hAnsi="Calibri"/>
                <w:color w:val="000000"/>
                <w:sz w:val="22"/>
                <w:szCs w:val="22"/>
              </w:rPr>
              <w:t>Physical Therapist Assistant</w:t>
            </w:r>
          </w:p>
        </w:tc>
        <w:tc>
          <w:tcPr>
            <w:tcW w:w="1760" w:type="dxa"/>
            <w:tcBorders>
              <w:top w:val="nil"/>
              <w:left w:val="nil"/>
              <w:bottom w:val="nil"/>
              <w:right w:val="nil"/>
            </w:tcBorders>
            <w:shd w:val="clear" w:color="000000" w:fill="D9D9D9"/>
            <w:noWrap/>
            <w:vAlign w:val="bottom"/>
            <w:hideMark/>
          </w:tcPr>
          <w:p w:rsidR="00007970" w:rsidRPr="00007970" w:rsidRDefault="00007970" w:rsidP="00007970">
            <w:pPr>
              <w:rPr>
                <w:rFonts w:ascii="Calibri" w:hAnsi="Calibri"/>
                <w:color w:val="000000"/>
                <w:sz w:val="22"/>
                <w:szCs w:val="22"/>
              </w:rPr>
            </w:pPr>
            <w:r w:rsidRPr="00007970">
              <w:rPr>
                <w:rFonts w:ascii="Calibri" w:hAnsi="Calibri"/>
                <w:color w:val="000000"/>
                <w:sz w:val="22"/>
                <w:szCs w:val="22"/>
              </w:rPr>
              <w:t>PTA-131</w:t>
            </w:r>
          </w:p>
        </w:tc>
        <w:tc>
          <w:tcPr>
            <w:tcW w:w="460" w:type="dxa"/>
            <w:tcBorders>
              <w:top w:val="nil"/>
              <w:left w:val="nil"/>
              <w:bottom w:val="nil"/>
              <w:right w:val="nil"/>
            </w:tcBorders>
            <w:shd w:val="clear" w:color="000000" w:fill="D9D9D9"/>
            <w:noWrap/>
            <w:vAlign w:val="bottom"/>
            <w:hideMark/>
          </w:tcPr>
          <w:p w:rsidR="00007970" w:rsidRPr="00007970" w:rsidRDefault="00007970" w:rsidP="00007970">
            <w:pPr>
              <w:rPr>
                <w:rFonts w:ascii="Calibri" w:hAnsi="Calibri"/>
                <w:color w:val="000000"/>
                <w:sz w:val="22"/>
                <w:szCs w:val="22"/>
              </w:rPr>
            </w:pPr>
            <w:r w:rsidRPr="00007970">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007970" w:rsidRPr="00007970" w:rsidRDefault="00007970" w:rsidP="00007970">
            <w:pPr>
              <w:jc w:val="right"/>
              <w:rPr>
                <w:rFonts w:ascii="Calibri" w:hAnsi="Calibri"/>
                <w:color w:val="000000"/>
                <w:sz w:val="22"/>
                <w:szCs w:val="22"/>
              </w:rPr>
            </w:pPr>
            <w:r w:rsidRPr="00007970">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007970" w:rsidRPr="00007970" w:rsidRDefault="00007970" w:rsidP="00007970">
            <w:pPr>
              <w:jc w:val="right"/>
              <w:rPr>
                <w:rFonts w:ascii="Calibri" w:hAnsi="Calibri"/>
                <w:color w:val="000000"/>
                <w:sz w:val="22"/>
                <w:szCs w:val="22"/>
              </w:rPr>
            </w:pPr>
            <w:r w:rsidRPr="00007970">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007970" w:rsidRPr="00007970" w:rsidRDefault="00007970" w:rsidP="00007970">
            <w:pPr>
              <w:jc w:val="right"/>
              <w:rPr>
                <w:rFonts w:ascii="Calibri" w:hAnsi="Calibri"/>
                <w:color w:val="000000"/>
                <w:sz w:val="22"/>
                <w:szCs w:val="22"/>
              </w:rPr>
            </w:pPr>
            <w:r w:rsidRPr="00007970">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007970" w:rsidRPr="00007970" w:rsidRDefault="00007970" w:rsidP="00007970">
            <w:pPr>
              <w:jc w:val="right"/>
              <w:rPr>
                <w:rFonts w:ascii="Calibri" w:hAnsi="Calibri"/>
                <w:color w:val="000000"/>
                <w:sz w:val="22"/>
                <w:szCs w:val="22"/>
              </w:rPr>
            </w:pPr>
            <w:r w:rsidRPr="00007970">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007970" w:rsidRPr="00007970" w:rsidRDefault="00007970" w:rsidP="00007970">
            <w:pPr>
              <w:jc w:val="right"/>
              <w:rPr>
                <w:rFonts w:ascii="Calibri" w:hAnsi="Calibri"/>
                <w:color w:val="000000"/>
                <w:sz w:val="22"/>
                <w:szCs w:val="22"/>
              </w:rPr>
            </w:pPr>
            <w:r w:rsidRPr="00007970">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007970" w:rsidRPr="00007970" w:rsidRDefault="00007970" w:rsidP="00007970">
            <w:pPr>
              <w:jc w:val="right"/>
              <w:rPr>
                <w:rFonts w:ascii="Calibri" w:hAnsi="Calibri"/>
                <w:color w:val="000000"/>
                <w:sz w:val="22"/>
                <w:szCs w:val="22"/>
              </w:rPr>
            </w:pPr>
            <w:r w:rsidRPr="00007970">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007970" w:rsidRPr="00007970" w:rsidRDefault="00007970" w:rsidP="00007970">
            <w:pPr>
              <w:jc w:val="right"/>
              <w:rPr>
                <w:rFonts w:ascii="Calibri" w:hAnsi="Calibri"/>
                <w:color w:val="000000"/>
                <w:sz w:val="22"/>
                <w:szCs w:val="22"/>
              </w:rPr>
            </w:pPr>
            <w:r w:rsidRPr="00007970">
              <w:rPr>
                <w:rFonts w:ascii="Calibri" w:hAnsi="Calibri"/>
                <w:color w:val="000000"/>
                <w:sz w:val="22"/>
                <w:szCs w:val="22"/>
              </w:rPr>
              <w:t>.</w:t>
            </w:r>
          </w:p>
        </w:tc>
      </w:tr>
      <w:tr w:rsidR="00007970" w:rsidRPr="00007970" w:rsidTr="00007970">
        <w:trPr>
          <w:trHeight w:val="300"/>
        </w:trPr>
        <w:tc>
          <w:tcPr>
            <w:tcW w:w="1420" w:type="dxa"/>
            <w:tcBorders>
              <w:top w:val="nil"/>
              <w:left w:val="nil"/>
              <w:bottom w:val="nil"/>
              <w:right w:val="nil"/>
            </w:tcBorders>
            <w:shd w:val="clear" w:color="auto" w:fill="auto"/>
            <w:noWrap/>
            <w:vAlign w:val="bottom"/>
            <w:hideMark/>
          </w:tcPr>
          <w:p w:rsidR="00007970" w:rsidRPr="00007970" w:rsidRDefault="00007970" w:rsidP="00007970">
            <w:pPr>
              <w:rPr>
                <w:rFonts w:ascii="Calibri" w:hAnsi="Calibri"/>
                <w:color w:val="000000"/>
                <w:sz w:val="22"/>
                <w:szCs w:val="22"/>
              </w:rPr>
            </w:pPr>
            <w:r w:rsidRPr="00007970">
              <w:rPr>
                <w:rFonts w:ascii="Calibri" w:hAnsi="Calibri"/>
                <w:color w:val="000000"/>
                <w:sz w:val="22"/>
                <w:szCs w:val="22"/>
              </w:rPr>
              <w:t>0681</w:t>
            </w:r>
          </w:p>
        </w:tc>
        <w:tc>
          <w:tcPr>
            <w:tcW w:w="3220" w:type="dxa"/>
            <w:tcBorders>
              <w:top w:val="nil"/>
              <w:left w:val="nil"/>
              <w:bottom w:val="nil"/>
              <w:right w:val="nil"/>
            </w:tcBorders>
            <w:shd w:val="clear" w:color="auto" w:fill="auto"/>
            <w:noWrap/>
            <w:vAlign w:val="bottom"/>
            <w:hideMark/>
          </w:tcPr>
          <w:p w:rsidR="00007970" w:rsidRPr="00007970" w:rsidRDefault="00007970" w:rsidP="00007970">
            <w:pPr>
              <w:rPr>
                <w:rFonts w:ascii="Calibri" w:hAnsi="Calibri"/>
                <w:color w:val="000000"/>
                <w:sz w:val="22"/>
                <w:szCs w:val="22"/>
              </w:rPr>
            </w:pPr>
            <w:r w:rsidRPr="00007970">
              <w:rPr>
                <w:rFonts w:ascii="Calibri" w:hAnsi="Calibri"/>
                <w:color w:val="000000"/>
                <w:sz w:val="22"/>
                <w:szCs w:val="22"/>
              </w:rPr>
              <w:t>Physical Therapist Assistant</w:t>
            </w:r>
          </w:p>
        </w:tc>
        <w:tc>
          <w:tcPr>
            <w:tcW w:w="1760" w:type="dxa"/>
            <w:tcBorders>
              <w:top w:val="nil"/>
              <w:left w:val="nil"/>
              <w:bottom w:val="nil"/>
              <w:right w:val="nil"/>
            </w:tcBorders>
            <w:shd w:val="clear" w:color="auto" w:fill="auto"/>
            <w:noWrap/>
            <w:vAlign w:val="bottom"/>
            <w:hideMark/>
          </w:tcPr>
          <w:p w:rsidR="00007970" w:rsidRPr="00007970" w:rsidRDefault="00007970" w:rsidP="00007970">
            <w:pPr>
              <w:rPr>
                <w:rFonts w:ascii="Calibri" w:hAnsi="Calibri"/>
                <w:color w:val="000000"/>
                <w:sz w:val="22"/>
                <w:szCs w:val="22"/>
              </w:rPr>
            </w:pPr>
            <w:r w:rsidRPr="00007970">
              <w:rPr>
                <w:rFonts w:ascii="Calibri" w:hAnsi="Calibri"/>
                <w:color w:val="000000"/>
                <w:sz w:val="22"/>
                <w:szCs w:val="22"/>
              </w:rPr>
              <w:t>PTA-132</w:t>
            </w:r>
          </w:p>
        </w:tc>
        <w:tc>
          <w:tcPr>
            <w:tcW w:w="460" w:type="dxa"/>
            <w:tcBorders>
              <w:top w:val="nil"/>
              <w:left w:val="nil"/>
              <w:bottom w:val="nil"/>
              <w:right w:val="nil"/>
            </w:tcBorders>
            <w:shd w:val="clear" w:color="auto" w:fill="auto"/>
            <w:noWrap/>
            <w:vAlign w:val="bottom"/>
            <w:hideMark/>
          </w:tcPr>
          <w:p w:rsidR="00007970" w:rsidRPr="00007970" w:rsidRDefault="00007970" w:rsidP="00007970">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rsidR="00007970" w:rsidRPr="00007970" w:rsidRDefault="00007970" w:rsidP="00007970">
            <w:pPr>
              <w:jc w:val="right"/>
              <w:rPr>
                <w:rFonts w:ascii="Calibri" w:hAnsi="Calibri"/>
                <w:color w:val="000000"/>
                <w:sz w:val="22"/>
                <w:szCs w:val="22"/>
              </w:rPr>
            </w:pPr>
            <w:r w:rsidRPr="00007970">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007970" w:rsidRPr="00007970" w:rsidRDefault="00007970" w:rsidP="00007970">
            <w:pPr>
              <w:jc w:val="right"/>
              <w:rPr>
                <w:rFonts w:ascii="Calibri" w:hAnsi="Calibri"/>
                <w:color w:val="000000"/>
                <w:sz w:val="22"/>
                <w:szCs w:val="22"/>
              </w:rPr>
            </w:pPr>
            <w:r w:rsidRPr="00007970">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007970" w:rsidRPr="00007970" w:rsidRDefault="00007970" w:rsidP="00007970">
            <w:pPr>
              <w:jc w:val="right"/>
              <w:rPr>
                <w:rFonts w:ascii="Calibri" w:hAnsi="Calibri"/>
                <w:color w:val="000000"/>
                <w:sz w:val="22"/>
                <w:szCs w:val="22"/>
              </w:rPr>
            </w:pPr>
            <w:r w:rsidRPr="00007970">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007970" w:rsidRPr="00007970" w:rsidRDefault="00007970" w:rsidP="00007970">
            <w:pPr>
              <w:jc w:val="right"/>
              <w:rPr>
                <w:rFonts w:ascii="Calibri" w:hAnsi="Calibri"/>
                <w:color w:val="000000"/>
                <w:sz w:val="22"/>
                <w:szCs w:val="22"/>
              </w:rPr>
            </w:pPr>
            <w:r w:rsidRPr="00007970">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007970" w:rsidRPr="00007970" w:rsidRDefault="00007970" w:rsidP="00007970">
            <w:pPr>
              <w:jc w:val="right"/>
              <w:rPr>
                <w:rFonts w:ascii="Calibri" w:hAnsi="Calibri"/>
                <w:color w:val="000000"/>
                <w:sz w:val="22"/>
                <w:szCs w:val="22"/>
              </w:rPr>
            </w:pPr>
            <w:r w:rsidRPr="00007970">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007970" w:rsidRPr="00007970" w:rsidRDefault="00007970" w:rsidP="00007970">
            <w:pPr>
              <w:jc w:val="right"/>
              <w:rPr>
                <w:rFonts w:ascii="Calibri" w:hAnsi="Calibri"/>
                <w:color w:val="000000"/>
                <w:sz w:val="22"/>
                <w:szCs w:val="22"/>
              </w:rPr>
            </w:pPr>
            <w:r w:rsidRPr="00007970">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007970" w:rsidRPr="00007970" w:rsidRDefault="00007970" w:rsidP="00007970">
            <w:pPr>
              <w:jc w:val="right"/>
              <w:rPr>
                <w:rFonts w:ascii="Calibri" w:hAnsi="Calibri"/>
                <w:color w:val="000000"/>
                <w:sz w:val="22"/>
                <w:szCs w:val="22"/>
              </w:rPr>
            </w:pPr>
            <w:r w:rsidRPr="00007970">
              <w:rPr>
                <w:rFonts w:ascii="Calibri" w:hAnsi="Calibri"/>
                <w:color w:val="000000"/>
                <w:sz w:val="22"/>
                <w:szCs w:val="22"/>
              </w:rPr>
              <w:t>.</w:t>
            </w:r>
          </w:p>
        </w:tc>
      </w:tr>
      <w:tr w:rsidR="00007970" w:rsidRPr="00007970" w:rsidTr="00007970">
        <w:trPr>
          <w:trHeight w:val="300"/>
        </w:trPr>
        <w:tc>
          <w:tcPr>
            <w:tcW w:w="1420" w:type="dxa"/>
            <w:tcBorders>
              <w:top w:val="nil"/>
              <w:left w:val="nil"/>
              <w:bottom w:val="nil"/>
              <w:right w:val="nil"/>
            </w:tcBorders>
            <w:shd w:val="clear" w:color="000000" w:fill="D9D9D9"/>
            <w:noWrap/>
            <w:vAlign w:val="bottom"/>
            <w:hideMark/>
          </w:tcPr>
          <w:p w:rsidR="00007970" w:rsidRPr="00007970" w:rsidRDefault="00007970" w:rsidP="00007970">
            <w:pPr>
              <w:rPr>
                <w:rFonts w:ascii="Calibri" w:hAnsi="Calibri"/>
                <w:color w:val="000000"/>
                <w:sz w:val="22"/>
                <w:szCs w:val="22"/>
              </w:rPr>
            </w:pPr>
            <w:r w:rsidRPr="00007970">
              <w:rPr>
                <w:rFonts w:ascii="Calibri" w:hAnsi="Calibri"/>
                <w:color w:val="000000"/>
                <w:sz w:val="22"/>
                <w:szCs w:val="22"/>
              </w:rPr>
              <w:t>0681</w:t>
            </w:r>
          </w:p>
        </w:tc>
        <w:tc>
          <w:tcPr>
            <w:tcW w:w="3220" w:type="dxa"/>
            <w:tcBorders>
              <w:top w:val="nil"/>
              <w:left w:val="nil"/>
              <w:bottom w:val="nil"/>
              <w:right w:val="nil"/>
            </w:tcBorders>
            <w:shd w:val="clear" w:color="000000" w:fill="D9D9D9"/>
            <w:noWrap/>
            <w:vAlign w:val="bottom"/>
            <w:hideMark/>
          </w:tcPr>
          <w:p w:rsidR="00007970" w:rsidRPr="00007970" w:rsidRDefault="00007970" w:rsidP="00007970">
            <w:pPr>
              <w:rPr>
                <w:rFonts w:ascii="Calibri" w:hAnsi="Calibri"/>
                <w:color w:val="000000"/>
                <w:sz w:val="22"/>
                <w:szCs w:val="22"/>
              </w:rPr>
            </w:pPr>
            <w:r w:rsidRPr="00007970">
              <w:rPr>
                <w:rFonts w:ascii="Calibri" w:hAnsi="Calibri"/>
                <w:color w:val="000000"/>
                <w:sz w:val="22"/>
                <w:szCs w:val="22"/>
              </w:rPr>
              <w:t>Physical Therapist Assistant</w:t>
            </w:r>
          </w:p>
        </w:tc>
        <w:tc>
          <w:tcPr>
            <w:tcW w:w="1760" w:type="dxa"/>
            <w:tcBorders>
              <w:top w:val="nil"/>
              <w:left w:val="nil"/>
              <w:bottom w:val="nil"/>
              <w:right w:val="nil"/>
            </w:tcBorders>
            <w:shd w:val="clear" w:color="000000" w:fill="D9D9D9"/>
            <w:noWrap/>
            <w:vAlign w:val="bottom"/>
            <w:hideMark/>
          </w:tcPr>
          <w:p w:rsidR="00007970" w:rsidRPr="00007970" w:rsidRDefault="00007970" w:rsidP="00007970">
            <w:pPr>
              <w:rPr>
                <w:rFonts w:ascii="Calibri" w:hAnsi="Calibri"/>
                <w:color w:val="000000"/>
                <w:sz w:val="22"/>
                <w:szCs w:val="22"/>
              </w:rPr>
            </w:pPr>
            <w:r w:rsidRPr="00007970">
              <w:rPr>
                <w:rFonts w:ascii="Calibri" w:hAnsi="Calibri"/>
                <w:color w:val="000000"/>
                <w:sz w:val="22"/>
                <w:szCs w:val="22"/>
              </w:rPr>
              <w:t>PTA-133</w:t>
            </w:r>
          </w:p>
        </w:tc>
        <w:tc>
          <w:tcPr>
            <w:tcW w:w="460" w:type="dxa"/>
            <w:tcBorders>
              <w:top w:val="nil"/>
              <w:left w:val="nil"/>
              <w:bottom w:val="nil"/>
              <w:right w:val="nil"/>
            </w:tcBorders>
            <w:shd w:val="clear" w:color="000000" w:fill="D9D9D9"/>
            <w:noWrap/>
            <w:vAlign w:val="bottom"/>
            <w:hideMark/>
          </w:tcPr>
          <w:p w:rsidR="00007970" w:rsidRPr="00007970" w:rsidRDefault="00007970" w:rsidP="00007970">
            <w:pPr>
              <w:rPr>
                <w:rFonts w:ascii="Calibri" w:hAnsi="Calibri"/>
                <w:color w:val="000000"/>
                <w:sz w:val="22"/>
                <w:szCs w:val="22"/>
              </w:rPr>
            </w:pPr>
            <w:r w:rsidRPr="00007970">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007970" w:rsidRPr="00007970" w:rsidRDefault="00007970" w:rsidP="00007970">
            <w:pPr>
              <w:jc w:val="right"/>
              <w:rPr>
                <w:rFonts w:ascii="Calibri" w:hAnsi="Calibri"/>
                <w:color w:val="000000"/>
                <w:sz w:val="22"/>
                <w:szCs w:val="22"/>
              </w:rPr>
            </w:pPr>
            <w:r w:rsidRPr="00007970">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007970" w:rsidRPr="00007970" w:rsidRDefault="00007970" w:rsidP="00007970">
            <w:pPr>
              <w:jc w:val="right"/>
              <w:rPr>
                <w:rFonts w:ascii="Calibri" w:hAnsi="Calibri"/>
                <w:color w:val="000000"/>
                <w:sz w:val="22"/>
                <w:szCs w:val="22"/>
              </w:rPr>
            </w:pPr>
            <w:r w:rsidRPr="00007970">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rsidR="00007970" w:rsidRPr="00007970" w:rsidRDefault="00007970" w:rsidP="00007970">
            <w:pPr>
              <w:jc w:val="right"/>
              <w:rPr>
                <w:rFonts w:ascii="Calibri" w:hAnsi="Calibri"/>
                <w:color w:val="000000"/>
                <w:sz w:val="22"/>
                <w:szCs w:val="22"/>
              </w:rPr>
            </w:pPr>
            <w:r w:rsidRPr="00007970">
              <w:rPr>
                <w:rFonts w:ascii="Calibri" w:hAnsi="Calibri"/>
                <w:color w:val="000000"/>
                <w:sz w:val="22"/>
                <w:szCs w:val="22"/>
              </w:rPr>
              <w:t>90.0%</w:t>
            </w:r>
          </w:p>
        </w:tc>
        <w:tc>
          <w:tcPr>
            <w:tcW w:w="940" w:type="dxa"/>
            <w:tcBorders>
              <w:top w:val="nil"/>
              <w:left w:val="nil"/>
              <w:bottom w:val="nil"/>
              <w:right w:val="nil"/>
            </w:tcBorders>
            <w:shd w:val="clear" w:color="000000" w:fill="D9D9D9"/>
            <w:noWrap/>
            <w:vAlign w:val="bottom"/>
            <w:hideMark/>
          </w:tcPr>
          <w:p w:rsidR="00007970" w:rsidRPr="00007970" w:rsidRDefault="00007970" w:rsidP="00007970">
            <w:pPr>
              <w:jc w:val="right"/>
              <w:rPr>
                <w:rFonts w:ascii="Calibri" w:hAnsi="Calibri"/>
                <w:color w:val="000000"/>
                <w:sz w:val="22"/>
                <w:szCs w:val="22"/>
              </w:rPr>
            </w:pPr>
            <w:r w:rsidRPr="00007970">
              <w:rPr>
                <w:rFonts w:ascii="Calibri" w:hAnsi="Calibri"/>
                <w:color w:val="000000"/>
                <w:sz w:val="22"/>
                <w:szCs w:val="22"/>
              </w:rPr>
              <w:t>90.0%</w:t>
            </w:r>
          </w:p>
        </w:tc>
        <w:tc>
          <w:tcPr>
            <w:tcW w:w="940" w:type="dxa"/>
            <w:tcBorders>
              <w:top w:val="nil"/>
              <w:left w:val="nil"/>
              <w:bottom w:val="nil"/>
              <w:right w:val="nil"/>
            </w:tcBorders>
            <w:shd w:val="clear" w:color="000000" w:fill="D9D9D9"/>
            <w:noWrap/>
            <w:vAlign w:val="bottom"/>
            <w:hideMark/>
          </w:tcPr>
          <w:p w:rsidR="00007970" w:rsidRPr="00007970" w:rsidRDefault="00007970" w:rsidP="00007970">
            <w:pPr>
              <w:jc w:val="right"/>
              <w:rPr>
                <w:rFonts w:ascii="Calibri" w:hAnsi="Calibri"/>
                <w:color w:val="000000"/>
                <w:sz w:val="22"/>
                <w:szCs w:val="22"/>
              </w:rPr>
            </w:pPr>
            <w:r w:rsidRPr="00007970">
              <w:rPr>
                <w:rFonts w:ascii="Calibri" w:hAnsi="Calibri"/>
                <w:color w:val="000000"/>
                <w:sz w:val="22"/>
                <w:szCs w:val="22"/>
              </w:rPr>
              <w:t>97.1%</w:t>
            </w:r>
          </w:p>
        </w:tc>
        <w:tc>
          <w:tcPr>
            <w:tcW w:w="940" w:type="dxa"/>
            <w:tcBorders>
              <w:top w:val="nil"/>
              <w:left w:val="nil"/>
              <w:bottom w:val="nil"/>
              <w:right w:val="nil"/>
            </w:tcBorders>
            <w:shd w:val="clear" w:color="000000" w:fill="D9D9D9"/>
            <w:noWrap/>
            <w:vAlign w:val="bottom"/>
            <w:hideMark/>
          </w:tcPr>
          <w:p w:rsidR="00007970" w:rsidRPr="00007970" w:rsidRDefault="00007970" w:rsidP="00007970">
            <w:pPr>
              <w:jc w:val="right"/>
              <w:rPr>
                <w:rFonts w:ascii="Calibri" w:hAnsi="Calibri"/>
                <w:color w:val="000000"/>
                <w:sz w:val="22"/>
                <w:szCs w:val="22"/>
              </w:rPr>
            </w:pPr>
            <w:r w:rsidRPr="00007970">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007970" w:rsidRPr="00007970" w:rsidRDefault="00007970" w:rsidP="00007970">
            <w:pPr>
              <w:jc w:val="right"/>
              <w:rPr>
                <w:rFonts w:ascii="Calibri" w:hAnsi="Calibri"/>
                <w:color w:val="000000"/>
                <w:sz w:val="22"/>
                <w:szCs w:val="22"/>
              </w:rPr>
            </w:pPr>
            <w:r w:rsidRPr="00007970">
              <w:rPr>
                <w:rFonts w:ascii="Calibri" w:hAnsi="Calibri"/>
                <w:color w:val="000000"/>
                <w:sz w:val="22"/>
                <w:szCs w:val="22"/>
              </w:rPr>
              <w:t>.</w:t>
            </w:r>
          </w:p>
        </w:tc>
      </w:tr>
      <w:tr w:rsidR="00007970" w:rsidRPr="00007970" w:rsidTr="00007970">
        <w:trPr>
          <w:trHeight w:val="300"/>
        </w:trPr>
        <w:tc>
          <w:tcPr>
            <w:tcW w:w="1420" w:type="dxa"/>
            <w:tcBorders>
              <w:top w:val="nil"/>
              <w:left w:val="nil"/>
              <w:bottom w:val="nil"/>
              <w:right w:val="nil"/>
            </w:tcBorders>
            <w:shd w:val="clear" w:color="auto" w:fill="auto"/>
            <w:noWrap/>
            <w:vAlign w:val="bottom"/>
            <w:hideMark/>
          </w:tcPr>
          <w:p w:rsidR="00007970" w:rsidRPr="00007970" w:rsidRDefault="00007970" w:rsidP="00007970">
            <w:pPr>
              <w:rPr>
                <w:rFonts w:ascii="Calibri" w:hAnsi="Calibri"/>
                <w:color w:val="000000"/>
                <w:sz w:val="22"/>
                <w:szCs w:val="22"/>
              </w:rPr>
            </w:pPr>
            <w:r w:rsidRPr="00007970">
              <w:rPr>
                <w:rFonts w:ascii="Calibri" w:hAnsi="Calibri"/>
                <w:color w:val="000000"/>
                <w:sz w:val="22"/>
                <w:szCs w:val="22"/>
              </w:rPr>
              <w:t>0681</w:t>
            </w:r>
          </w:p>
        </w:tc>
        <w:tc>
          <w:tcPr>
            <w:tcW w:w="3220" w:type="dxa"/>
            <w:tcBorders>
              <w:top w:val="nil"/>
              <w:left w:val="nil"/>
              <w:bottom w:val="nil"/>
              <w:right w:val="nil"/>
            </w:tcBorders>
            <w:shd w:val="clear" w:color="auto" w:fill="auto"/>
            <w:noWrap/>
            <w:vAlign w:val="bottom"/>
            <w:hideMark/>
          </w:tcPr>
          <w:p w:rsidR="00007970" w:rsidRPr="00007970" w:rsidRDefault="00007970" w:rsidP="00007970">
            <w:pPr>
              <w:rPr>
                <w:rFonts w:ascii="Calibri" w:hAnsi="Calibri"/>
                <w:color w:val="000000"/>
                <w:sz w:val="22"/>
                <w:szCs w:val="22"/>
              </w:rPr>
            </w:pPr>
            <w:r w:rsidRPr="00007970">
              <w:rPr>
                <w:rFonts w:ascii="Calibri" w:hAnsi="Calibri"/>
                <w:color w:val="000000"/>
                <w:sz w:val="22"/>
                <w:szCs w:val="22"/>
              </w:rPr>
              <w:t>Physical Therapist Assistant</w:t>
            </w:r>
          </w:p>
        </w:tc>
        <w:tc>
          <w:tcPr>
            <w:tcW w:w="1760" w:type="dxa"/>
            <w:tcBorders>
              <w:top w:val="nil"/>
              <w:left w:val="nil"/>
              <w:bottom w:val="nil"/>
              <w:right w:val="nil"/>
            </w:tcBorders>
            <w:shd w:val="clear" w:color="auto" w:fill="auto"/>
            <w:noWrap/>
            <w:vAlign w:val="bottom"/>
            <w:hideMark/>
          </w:tcPr>
          <w:p w:rsidR="00007970" w:rsidRPr="00007970" w:rsidRDefault="00007970" w:rsidP="00007970">
            <w:pPr>
              <w:rPr>
                <w:rFonts w:ascii="Calibri" w:hAnsi="Calibri"/>
                <w:color w:val="000000"/>
                <w:sz w:val="22"/>
                <w:szCs w:val="22"/>
              </w:rPr>
            </w:pPr>
            <w:r w:rsidRPr="00007970">
              <w:rPr>
                <w:rFonts w:ascii="Calibri" w:hAnsi="Calibri"/>
                <w:color w:val="000000"/>
                <w:sz w:val="22"/>
                <w:szCs w:val="22"/>
              </w:rPr>
              <w:t>PTA-138</w:t>
            </w:r>
          </w:p>
        </w:tc>
        <w:tc>
          <w:tcPr>
            <w:tcW w:w="460" w:type="dxa"/>
            <w:tcBorders>
              <w:top w:val="nil"/>
              <w:left w:val="nil"/>
              <w:bottom w:val="nil"/>
              <w:right w:val="nil"/>
            </w:tcBorders>
            <w:shd w:val="clear" w:color="auto" w:fill="auto"/>
            <w:noWrap/>
            <w:vAlign w:val="bottom"/>
            <w:hideMark/>
          </w:tcPr>
          <w:p w:rsidR="00007970" w:rsidRPr="00007970" w:rsidRDefault="00007970" w:rsidP="00007970">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rsidR="00007970" w:rsidRPr="00007970" w:rsidRDefault="00007970" w:rsidP="00007970">
            <w:pPr>
              <w:jc w:val="right"/>
              <w:rPr>
                <w:rFonts w:ascii="Calibri" w:hAnsi="Calibri"/>
                <w:color w:val="000000"/>
                <w:sz w:val="22"/>
                <w:szCs w:val="22"/>
              </w:rPr>
            </w:pPr>
            <w:r w:rsidRPr="00007970">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007970" w:rsidRPr="00007970" w:rsidRDefault="00007970" w:rsidP="00007970">
            <w:pPr>
              <w:jc w:val="right"/>
              <w:rPr>
                <w:rFonts w:ascii="Calibri" w:hAnsi="Calibri"/>
                <w:color w:val="000000"/>
                <w:sz w:val="22"/>
                <w:szCs w:val="22"/>
              </w:rPr>
            </w:pPr>
            <w:r w:rsidRPr="00007970">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007970" w:rsidRPr="00007970" w:rsidRDefault="00007970" w:rsidP="00007970">
            <w:pPr>
              <w:jc w:val="right"/>
              <w:rPr>
                <w:rFonts w:ascii="Calibri" w:hAnsi="Calibri"/>
                <w:color w:val="000000"/>
                <w:sz w:val="22"/>
                <w:szCs w:val="22"/>
              </w:rPr>
            </w:pPr>
            <w:r w:rsidRPr="00007970">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007970" w:rsidRPr="00007970" w:rsidRDefault="00007970" w:rsidP="00007970">
            <w:pPr>
              <w:jc w:val="right"/>
              <w:rPr>
                <w:rFonts w:ascii="Calibri" w:hAnsi="Calibri"/>
                <w:color w:val="000000"/>
                <w:sz w:val="22"/>
                <w:szCs w:val="22"/>
              </w:rPr>
            </w:pPr>
            <w:r w:rsidRPr="00007970">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007970" w:rsidRPr="00007970" w:rsidRDefault="00007970" w:rsidP="00007970">
            <w:pPr>
              <w:jc w:val="right"/>
              <w:rPr>
                <w:rFonts w:ascii="Calibri" w:hAnsi="Calibri"/>
                <w:color w:val="000000"/>
                <w:sz w:val="22"/>
                <w:szCs w:val="22"/>
              </w:rPr>
            </w:pPr>
            <w:r w:rsidRPr="00007970">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007970" w:rsidRPr="00007970" w:rsidRDefault="00007970" w:rsidP="00007970">
            <w:pPr>
              <w:jc w:val="right"/>
              <w:rPr>
                <w:rFonts w:ascii="Calibri" w:hAnsi="Calibri"/>
                <w:color w:val="000000"/>
                <w:sz w:val="22"/>
                <w:szCs w:val="22"/>
              </w:rPr>
            </w:pPr>
            <w:r w:rsidRPr="00007970">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007970" w:rsidRPr="00007970" w:rsidRDefault="00007970" w:rsidP="00007970">
            <w:pPr>
              <w:jc w:val="right"/>
              <w:rPr>
                <w:rFonts w:ascii="Calibri" w:hAnsi="Calibri"/>
                <w:color w:val="000000"/>
                <w:sz w:val="22"/>
                <w:szCs w:val="22"/>
              </w:rPr>
            </w:pPr>
            <w:r w:rsidRPr="00007970">
              <w:rPr>
                <w:rFonts w:ascii="Calibri" w:hAnsi="Calibri"/>
                <w:color w:val="000000"/>
                <w:sz w:val="22"/>
                <w:szCs w:val="22"/>
              </w:rPr>
              <w:t>.</w:t>
            </w:r>
          </w:p>
        </w:tc>
      </w:tr>
      <w:tr w:rsidR="00007970" w:rsidRPr="00007970" w:rsidTr="00007970">
        <w:trPr>
          <w:trHeight w:val="300"/>
        </w:trPr>
        <w:tc>
          <w:tcPr>
            <w:tcW w:w="1420" w:type="dxa"/>
            <w:tcBorders>
              <w:top w:val="nil"/>
              <w:left w:val="nil"/>
              <w:bottom w:val="nil"/>
              <w:right w:val="nil"/>
            </w:tcBorders>
            <w:shd w:val="clear" w:color="000000" w:fill="D9D9D9"/>
            <w:noWrap/>
            <w:vAlign w:val="bottom"/>
            <w:hideMark/>
          </w:tcPr>
          <w:p w:rsidR="00007970" w:rsidRPr="00007970" w:rsidRDefault="00007970" w:rsidP="00007970">
            <w:pPr>
              <w:rPr>
                <w:rFonts w:ascii="Calibri" w:hAnsi="Calibri"/>
                <w:color w:val="000000"/>
                <w:sz w:val="22"/>
                <w:szCs w:val="22"/>
              </w:rPr>
            </w:pPr>
            <w:r w:rsidRPr="00007970">
              <w:rPr>
                <w:rFonts w:ascii="Calibri" w:hAnsi="Calibri"/>
                <w:color w:val="000000"/>
                <w:sz w:val="22"/>
                <w:szCs w:val="22"/>
              </w:rPr>
              <w:t>0681</w:t>
            </w:r>
          </w:p>
        </w:tc>
        <w:tc>
          <w:tcPr>
            <w:tcW w:w="3220" w:type="dxa"/>
            <w:tcBorders>
              <w:top w:val="nil"/>
              <w:left w:val="nil"/>
              <w:bottom w:val="nil"/>
              <w:right w:val="nil"/>
            </w:tcBorders>
            <w:shd w:val="clear" w:color="000000" w:fill="D9D9D9"/>
            <w:noWrap/>
            <w:vAlign w:val="bottom"/>
            <w:hideMark/>
          </w:tcPr>
          <w:p w:rsidR="00007970" w:rsidRPr="00007970" w:rsidRDefault="00007970" w:rsidP="00007970">
            <w:pPr>
              <w:rPr>
                <w:rFonts w:ascii="Calibri" w:hAnsi="Calibri"/>
                <w:color w:val="000000"/>
                <w:sz w:val="22"/>
                <w:szCs w:val="22"/>
              </w:rPr>
            </w:pPr>
            <w:r w:rsidRPr="00007970">
              <w:rPr>
                <w:rFonts w:ascii="Calibri" w:hAnsi="Calibri"/>
                <w:color w:val="000000"/>
                <w:sz w:val="22"/>
                <w:szCs w:val="22"/>
              </w:rPr>
              <w:t>Physical Therapist Assistant</w:t>
            </w:r>
          </w:p>
        </w:tc>
        <w:tc>
          <w:tcPr>
            <w:tcW w:w="1760" w:type="dxa"/>
            <w:tcBorders>
              <w:top w:val="nil"/>
              <w:left w:val="nil"/>
              <w:bottom w:val="nil"/>
              <w:right w:val="nil"/>
            </w:tcBorders>
            <w:shd w:val="clear" w:color="000000" w:fill="D9D9D9"/>
            <w:noWrap/>
            <w:vAlign w:val="bottom"/>
            <w:hideMark/>
          </w:tcPr>
          <w:p w:rsidR="00007970" w:rsidRPr="00007970" w:rsidRDefault="00007970" w:rsidP="00007970">
            <w:pPr>
              <w:rPr>
                <w:rFonts w:ascii="Calibri" w:hAnsi="Calibri"/>
                <w:color w:val="000000"/>
                <w:sz w:val="22"/>
                <w:szCs w:val="22"/>
              </w:rPr>
            </w:pPr>
            <w:r w:rsidRPr="00007970">
              <w:rPr>
                <w:rFonts w:ascii="Calibri" w:hAnsi="Calibri"/>
                <w:color w:val="000000"/>
                <w:sz w:val="22"/>
                <w:szCs w:val="22"/>
              </w:rPr>
              <w:t>PTA-211</w:t>
            </w:r>
          </w:p>
        </w:tc>
        <w:tc>
          <w:tcPr>
            <w:tcW w:w="460" w:type="dxa"/>
            <w:tcBorders>
              <w:top w:val="nil"/>
              <w:left w:val="nil"/>
              <w:bottom w:val="nil"/>
              <w:right w:val="nil"/>
            </w:tcBorders>
            <w:shd w:val="clear" w:color="000000" w:fill="D9D9D9"/>
            <w:noWrap/>
            <w:vAlign w:val="bottom"/>
            <w:hideMark/>
          </w:tcPr>
          <w:p w:rsidR="00007970" w:rsidRPr="00007970" w:rsidRDefault="00007970" w:rsidP="00007970">
            <w:pPr>
              <w:rPr>
                <w:rFonts w:ascii="Calibri" w:hAnsi="Calibri"/>
                <w:color w:val="000000"/>
                <w:sz w:val="22"/>
                <w:szCs w:val="22"/>
              </w:rPr>
            </w:pPr>
            <w:r w:rsidRPr="00007970">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007970" w:rsidRPr="00007970" w:rsidRDefault="00007970" w:rsidP="00007970">
            <w:pPr>
              <w:jc w:val="right"/>
              <w:rPr>
                <w:rFonts w:ascii="Calibri" w:hAnsi="Calibri"/>
                <w:color w:val="000000"/>
                <w:sz w:val="22"/>
                <w:szCs w:val="22"/>
              </w:rPr>
            </w:pPr>
            <w:r w:rsidRPr="00007970">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rsidR="00007970" w:rsidRPr="00007970" w:rsidRDefault="00007970" w:rsidP="00007970">
            <w:pPr>
              <w:jc w:val="right"/>
              <w:rPr>
                <w:rFonts w:ascii="Calibri" w:hAnsi="Calibri"/>
                <w:color w:val="000000"/>
                <w:sz w:val="22"/>
                <w:szCs w:val="22"/>
              </w:rPr>
            </w:pPr>
            <w:r w:rsidRPr="00007970">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rsidR="00007970" w:rsidRPr="00007970" w:rsidRDefault="00007970" w:rsidP="00007970">
            <w:pPr>
              <w:jc w:val="right"/>
              <w:rPr>
                <w:rFonts w:ascii="Calibri" w:hAnsi="Calibri"/>
                <w:color w:val="000000"/>
                <w:sz w:val="22"/>
                <w:szCs w:val="22"/>
              </w:rPr>
            </w:pPr>
            <w:r w:rsidRPr="00007970">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rsidR="00007970" w:rsidRPr="00007970" w:rsidRDefault="00007970" w:rsidP="00007970">
            <w:pPr>
              <w:jc w:val="right"/>
              <w:rPr>
                <w:rFonts w:ascii="Calibri" w:hAnsi="Calibri"/>
                <w:color w:val="000000"/>
                <w:sz w:val="22"/>
                <w:szCs w:val="22"/>
              </w:rPr>
            </w:pPr>
            <w:r w:rsidRPr="00007970">
              <w:rPr>
                <w:rFonts w:ascii="Calibri" w:hAnsi="Calibri"/>
                <w:color w:val="000000"/>
                <w:sz w:val="22"/>
                <w:szCs w:val="22"/>
              </w:rPr>
              <w:t>96.2%</w:t>
            </w:r>
          </w:p>
        </w:tc>
        <w:tc>
          <w:tcPr>
            <w:tcW w:w="940" w:type="dxa"/>
            <w:tcBorders>
              <w:top w:val="nil"/>
              <w:left w:val="nil"/>
              <w:bottom w:val="nil"/>
              <w:right w:val="nil"/>
            </w:tcBorders>
            <w:shd w:val="clear" w:color="000000" w:fill="D9D9D9"/>
            <w:noWrap/>
            <w:vAlign w:val="bottom"/>
            <w:hideMark/>
          </w:tcPr>
          <w:p w:rsidR="00007970" w:rsidRPr="00007970" w:rsidRDefault="00007970" w:rsidP="00007970">
            <w:pPr>
              <w:jc w:val="right"/>
              <w:rPr>
                <w:rFonts w:ascii="Calibri" w:hAnsi="Calibri"/>
                <w:color w:val="000000"/>
                <w:sz w:val="22"/>
                <w:szCs w:val="22"/>
              </w:rPr>
            </w:pPr>
            <w:r w:rsidRPr="00007970">
              <w:rPr>
                <w:rFonts w:ascii="Calibri" w:hAnsi="Calibri"/>
                <w:color w:val="000000"/>
                <w:sz w:val="22"/>
                <w:szCs w:val="22"/>
              </w:rPr>
              <w:t>89.5%</w:t>
            </w:r>
          </w:p>
        </w:tc>
        <w:tc>
          <w:tcPr>
            <w:tcW w:w="940" w:type="dxa"/>
            <w:tcBorders>
              <w:top w:val="nil"/>
              <w:left w:val="nil"/>
              <w:bottom w:val="nil"/>
              <w:right w:val="nil"/>
            </w:tcBorders>
            <w:shd w:val="clear" w:color="000000" w:fill="D9D9D9"/>
            <w:noWrap/>
            <w:vAlign w:val="bottom"/>
            <w:hideMark/>
          </w:tcPr>
          <w:p w:rsidR="00007970" w:rsidRPr="00007970" w:rsidRDefault="00007970" w:rsidP="00007970">
            <w:pPr>
              <w:jc w:val="right"/>
              <w:rPr>
                <w:rFonts w:ascii="Calibri" w:hAnsi="Calibri"/>
                <w:color w:val="000000"/>
                <w:sz w:val="22"/>
                <w:szCs w:val="22"/>
              </w:rPr>
            </w:pPr>
            <w:r w:rsidRPr="00007970">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007970" w:rsidRPr="00007970" w:rsidRDefault="00007970" w:rsidP="00007970">
            <w:pPr>
              <w:jc w:val="right"/>
              <w:rPr>
                <w:rFonts w:ascii="Calibri" w:hAnsi="Calibri"/>
                <w:color w:val="000000"/>
                <w:sz w:val="22"/>
                <w:szCs w:val="22"/>
              </w:rPr>
            </w:pPr>
            <w:r w:rsidRPr="00007970">
              <w:rPr>
                <w:rFonts w:ascii="Calibri" w:hAnsi="Calibri"/>
                <w:color w:val="000000"/>
                <w:sz w:val="22"/>
                <w:szCs w:val="22"/>
              </w:rPr>
              <w:t>.</w:t>
            </w:r>
          </w:p>
        </w:tc>
      </w:tr>
      <w:tr w:rsidR="00007970" w:rsidRPr="00007970" w:rsidTr="00007970">
        <w:trPr>
          <w:trHeight w:val="300"/>
        </w:trPr>
        <w:tc>
          <w:tcPr>
            <w:tcW w:w="1420" w:type="dxa"/>
            <w:tcBorders>
              <w:top w:val="nil"/>
              <w:left w:val="nil"/>
              <w:bottom w:val="nil"/>
              <w:right w:val="nil"/>
            </w:tcBorders>
            <w:shd w:val="clear" w:color="auto" w:fill="auto"/>
            <w:noWrap/>
            <w:vAlign w:val="bottom"/>
            <w:hideMark/>
          </w:tcPr>
          <w:p w:rsidR="00007970" w:rsidRPr="00007970" w:rsidRDefault="00007970" w:rsidP="00007970">
            <w:pPr>
              <w:rPr>
                <w:rFonts w:ascii="Calibri" w:hAnsi="Calibri"/>
                <w:color w:val="000000"/>
                <w:sz w:val="22"/>
                <w:szCs w:val="22"/>
              </w:rPr>
            </w:pPr>
            <w:r w:rsidRPr="00007970">
              <w:rPr>
                <w:rFonts w:ascii="Calibri" w:hAnsi="Calibri"/>
                <w:color w:val="000000"/>
                <w:sz w:val="22"/>
                <w:szCs w:val="22"/>
              </w:rPr>
              <w:t>0681</w:t>
            </w:r>
          </w:p>
        </w:tc>
        <w:tc>
          <w:tcPr>
            <w:tcW w:w="3220" w:type="dxa"/>
            <w:tcBorders>
              <w:top w:val="nil"/>
              <w:left w:val="nil"/>
              <w:bottom w:val="nil"/>
              <w:right w:val="nil"/>
            </w:tcBorders>
            <w:shd w:val="clear" w:color="auto" w:fill="auto"/>
            <w:noWrap/>
            <w:vAlign w:val="bottom"/>
            <w:hideMark/>
          </w:tcPr>
          <w:p w:rsidR="00007970" w:rsidRPr="00007970" w:rsidRDefault="00007970" w:rsidP="00007970">
            <w:pPr>
              <w:rPr>
                <w:rFonts w:ascii="Calibri" w:hAnsi="Calibri"/>
                <w:color w:val="000000"/>
                <w:sz w:val="22"/>
                <w:szCs w:val="22"/>
              </w:rPr>
            </w:pPr>
            <w:r w:rsidRPr="00007970">
              <w:rPr>
                <w:rFonts w:ascii="Calibri" w:hAnsi="Calibri"/>
                <w:color w:val="000000"/>
                <w:sz w:val="22"/>
                <w:szCs w:val="22"/>
              </w:rPr>
              <w:t>Physical Therapist Assistant</w:t>
            </w:r>
          </w:p>
        </w:tc>
        <w:tc>
          <w:tcPr>
            <w:tcW w:w="1760" w:type="dxa"/>
            <w:tcBorders>
              <w:top w:val="nil"/>
              <w:left w:val="nil"/>
              <w:bottom w:val="nil"/>
              <w:right w:val="nil"/>
            </w:tcBorders>
            <w:shd w:val="clear" w:color="auto" w:fill="auto"/>
            <w:noWrap/>
            <w:vAlign w:val="bottom"/>
            <w:hideMark/>
          </w:tcPr>
          <w:p w:rsidR="00007970" w:rsidRPr="00007970" w:rsidRDefault="00007970" w:rsidP="00007970">
            <w:pPr>
              <w:rPr>
                <w:rFonts w:ascii="Calibri" w:hAnsi="Calibri"/>
                <w:color w:val="000000"/>
                <w:sz w:val="22"/>
                <w:szCs w:val="22"/>
              </w:rPr>
            </w:pPr>
            <w:r w:rsidRPr="00007970">
              <w:rPr>
                <w:rFonts w:ascii="Calibri" w:hAnsi="Calibri"/>
                <w:color w:val="000000"/>
                <w:sz w:val="22"/>
                <w:szCs w:val="22"/>
              </w:rPr>
              <w:t>PTA-212</w:t>
            </w:r>
          </w:p>
        </w:tc>
        <w:tc>
          <w:tcPr>
            <w:tcW w:w="460" w:type="dxa"/>
            <w:tcBorders>
              <w:top w:val="nil"/>
              <w:left w:val="nil"/>
              <w:bottom w:val="nil"/>
              <w:right w:val="nil"/>
            </w:tcBorders>
            <w:shd w:val="clear" w:color="auto" w:fill="auto"/>
            <w:noWrap/>
            <w:vAlign w:val="bottom"/>
            <w:hideMark/>
          </w:tcPr>
          <w:p w:rsidR="00007970" w:rsidRPr="00007970" w:rsidRDefault="00007970" w:rsidP="00007970">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rsidR="00007970" w:rsidRPr="00007970" w:rsidRDefault="00007970" w:rsidP="00007970">
            <w:pPr>
              <w:jc w:val="right"/>
              <w:rPr>
                <w:rFonts w:ascii="Calibri" w:hAnsi="Calibri"/>
                <w:color w:val="000000"/>
                <w:sz w:val="22"/>
                <w:szCs w:val="22"/>
              </w:rPr>
            </w:pPr>
            <w:r w:rsidRPr="00007970">
              <w:rPr>
                <w:rFonts w:ascii="Calibri" w:hAnsi="Calibri"/>
                <w:color w:val="000000"/>
                <w:sz w:val="22"/>
                <w:szCs w:val="22"/>
              </w:rPr>
              <w:t>100.0%</w:t>
            </w:r>
          </w:p>
        </w:tc>
        <w:tc>
          <w:tcPr>
            <w:tcW w:w="940" w:type="dxa"/>
            <w:tcBorders>
              <w:top w:val="nil"/>
              <w:left w:val="nil"/>
              <w:bottom w:val="nil"/>
              <w:right w:val="nil"/>
            </w:tcBorders>
            <w:shd w:val="clear" w:color="auto" w:fill="auto"/>
            <w:noWrap/>
            <w:vAlign w:val="bottom"/>
            <w:hideMark/>
          </w:tcPr>
          <w:p w:rsidR="00007970" w:rsidRPr="00007970" w:rsidRDefault="00007970" w:rsidP="00007970">
            <w:pPr>
              <w:jc w:val="right"/>
              <w:rPr>
                <w:rFonts w:ascii="Calibri" w:hAnsi="Calibri"/>
                <w:color w:val="000000"/>
                <w:sz w:val="22"/>
                <w:szCs w:val="22"/>
              </w:rPr>
            </w:pPr>
            <w:r w:rsidRPr="00007970">
              <w:rPr>
                <w:rFonts w:ascii="Calibri" w:hAnsi="Calibri"/>
                <w:color w:val="000000"/>
                <w:sz w:val="22"/>
                <w:szCs w:val="22"/>
              </w:rPr>
              <w:t>100.0%</w:t>
            </w:r>
          </w:p>
        </w:tc>
        <w:tc>
          <w:tcPr>
            <w:tcW w:w="940" w:type="dxa"/>
            <w:tcBorders>
              <w:top w:val="nil"/>
              <w:left w:val="nil"/>
              <w:bottom w:val="nil"/>
              <w:right w:val="nil"/>
            </w:tcBorders>
            <w:shd w:val="clear" w:color="auto" w:fill="auto"/>
            <w:noWrap/>
            <w:vAlign w:val="bottom"/>
            <w:hideMark/>
          </w:tcPr>
          <w:p w:rsidR="00007970" w:rsidRPr="00007970" w:rsidRDefault="00007970" w:rsidP="00007970">
            <w:pPr>
              <w:jc w:val="right"/>
              <w:rPr>
                <w:rFonts w:ascii="Calibri" w:hAnsi="Calibri"/>
                <w:color w:val="000000"/>
                <w:sz w:val="22"/>
                <w:szCs w:val="22"/>
              </w:rPr>
            </w:pPr>
            <w:r w:rsidRPr="00007970">
              <w:rPr>
                <w:rFonts w:ascii="Calibri" w:hAnsi="Calibri"/>
                <w:color w:val="000000"/>
                <w:sz w:val="22"/>
                <w:szCs w:val="22"/>
              </w:rPr>
              <w:t>100.0%</w:t>
            </w:r>
          </w:p>
        </w:tc>
        <w:tc>
          <w:tcPr>
            <w:tcW w:w="940" w:type="dxa"/>
            <w:tcBorders>
              <w:top w:val="nil"/>
              <w:left w:val="nil"/>
              <w:bottom w:val="nil"/>
              <w:right w:val="nil"/>
            </w:tcBorders>
            <w:shd w:val="clear" w:color="auto" w:fill="auto"/>
            <w:noWrap/>
            <w:vAlign w:val="bottom"/>
            <w:hideMark/>
          </w:tcPr>
          <w:p w:rsidR="00007970" w:rsidRPr="00007970" w:rsidRDefault="00007970" w:rsidP="00007970">
            <w:pPr>
              <w:jc w:val="right"/>
              <w:rPr>
                <w:rFonts w:ascii="Calibri" w:hAnsi="Calibri"/>
                <w:color w:val="000000"/>
                <w:sz w:val="22"/>
                <w:szCs w:val="22"/>
              </w:rPr>
            </w:pPr>
            <w:r w:rsidRPr="00007970">
              <w:rPr>
                <w:rFonts w:ascii="Calibri" w:hAnsi="Calibri"/>
                <w:color w:val="000000"/>
                <w:sz w:val="22"/>
                <w:szCs w:val="22"/>
              </w:rPr>
              <w:t>100.0%</w:t>
            </w:r>
          </w:p>
        </w:tc>
        <w:tc>
          <w:tcPr>
            <w:tcW w:w="940" w:type="dxa"/>
            <w:tcBorders>
              <w:top w:val="nil"/>
              <w:left w:val="nil"/>
              <w:bottom w:val="nil"/>
              <w:right w:val="nil"/>
            </w:tcBorders>
            <w:shd w:val="clear" w:color="auto" w:fill="auto"/>
            <w:noWrap/>
            <w:vAlign w:val="bottom"/>
            <w:hideMark/>
          </w:tcPr>
          <w:p w:rsidR="00007970" w:rsidRPr="00007970" w:rsidRDefault="00007970" w:rsidP="00007970">
            <w:pPr>
              <w:jc w:val="right"/>
              <w:rPr>
                <w:rFonts w:ascii="Calibri" w:hAnsi="Calibri"/>
                <w:color w:val="000000"/>
                <w:sz w:val="22"/>
                <w:szCs w:val="22"/>
              </w:rPr>
            </w:pPr>
            <w:r w:rsidRPr="00007970">
              <w:rPr>
                <w:rFonts w:ascii="Calibri" w:hAnsi="Calibri"/>
                <w:color w:val="000000"/>
                <w:sz w:val="22"/>
                <w:szCs w:val="22"/>
              </w:rPr>
              <w:t>100.0%</w:t>
            </w:r>
          </w:p>
        </w:tc>
        <w:tc>
          <w:tcPr>
            <w:tcW w:w="940" w:type="dxa"/>
            <w:tcBorders>
              <w:top w:val="nil"/>
              <w:left w:val="nil"/>
              <w:bottom w:val="nil"/>
              <w:right w:val="nil"/>
            </w:tcBorders>
            <w:shd w:val="clear" w:color="auto" w:fill="auto"/>
            <w:noWrap/>
            <w:vAlign w:val="bottom"/>
            <w:hideMark/>
          </w:tcPr>
          <w:p w:rsidR="00007970" w:rsidRPr="00007970" w:rsidRDefault="00007970" w:rsidP="00007970">
            <w:pPr>
              <w:jc w:val="right"/>
              <w:rPr>
                <w:rFonts w:ascii="Calibri" w:hAnsi="Calibri"/>
                <w:color w:val="000000"/>
                <w:sz w:val="22"/>
                <w:szCs w:val="22"/>
              </w:rPr>
            </w:pPr>
            <w:r w:rsidRPr="00007970">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007970" w:rsidRPr="00007970" w:rsidRDefault="00007970" w:rsidP="00007970">
            <w:pPr>
              <w:jc w:val="right"/>
              <w:rPr>
                <w:rFonts w:ascii="Calibri" w:hAnsi="Calibri"/>
                <w:color w:val="000000"/>
                <w:sz w:val="22"/>
                <w:szCs w:val="22"/>
              </w:rPr>
            </w:pPr>
            <w:r w:rsidRPr="00007970">
              <w:rPr>
                <w:rFonts w:ascii="Calibri" w:hAnsi="Calibri"/>
                <w:color w:val="000000"/>
                <w:sz w:val="22"/>
                <w:szCs w:val="22"/>
              </w:rPr>
              <w:t>.</w:t>
            </w:r>
          </w:p>
        </w:tc>
      </w:tr>
      <w:tr w:rsidR="00007970" w:rsidRPr="00007970" w:rsidTr="00007970">
        <w:trPr>
          <w:trHeight w:val="300"/>
        </w:trPr>
        <w:tc>
          <w:tcPr>
            <w:tcW w:w="1420" w:type="dxa"/>
            <w:tcBorders>
              <w:top w:val="nil"/>
              <w:left w:val="nil"/>
              <w:bottom w:val="nil"/>
              <w:right w:val="nil"/>
            </w:tcBorders>
            <w:shd w:val="clear" w:color="000000" w:fill="D9D9D9"/>
            <w:noWrap/>
            <w:vAlign w:val="bottom"/>
            <w:hideMark/>
          </w:tcPr>
          <w:p w:rsidR="00007970" w:rsidRPr="00007970" w:rsidRDefault="00007970" w:rsidP="00007970">
            <w:pPr>
              <w:rPr>
                <w:rFonts w:ascii="Calibri" w:hAnsi="Calibri"/>
                <w:color w:val="000000"/>
                <w:sz w:val="22"/>
                <w:szCs w:val="22"/>
              </w:rPr>
            </w:pPr>
            <w:r w:rsidRPr="00007970">
              <w:rPr>
                <w:rFonts w:ascii="Calibri" w:hAnsi="Calibri"/>
                <w:color w:val="000000"/>
                <w:sz w:val="22"/>
                <w:szCs w:val="22"/>
              </w:rPr>
              <w:t>0681</w:t>
            </w:r>
          </w:p>
        </w:tc>
        <w:tc>
          <w:tcPr>
            <w:tcW w:w="3220" w:type="dxa"/>
            <w:tcBorders>
              <w:top w:val="nil"/>
              <w:left w:val="nil"/>
              <w:bottom w:val="nil"/>
              <w:right w:val="nil"/>
            </w:tcBorders>
            <w:shd w:val="clear" w:color="000000" w:fill="D9D9D9"/>
            <w:noWrap/>
            <w:vAlign w:val="bottom"/>
            <w:hideMark/>
          </w:tcPr>
          <w:p w:rsidR="00007970" w:rsidRPr="00007970" w:rsidRDefault="00007970" w:rsidP="00007970">
            <w:pPr>
              <w:rPr>
                <w:rFonts w:ascii="Calibri" w:hAnsi="Calibri"/>
                <w:color w:val="000000"/>
                <w:sz w:val="22"/>
                <w:szCs w:val="22"/>
              </w:rPr>
            </w:pPr>
            <w:r w:rsidRPr="00007970">
              <w:rPr>
                <w:rFonts w:ascii="Calibri" w:hAnsi="Calibri"/>
                <w:color w:val="000000"/>
                <w:sz w:val="22"/>
                <w:szCs w:val="22"/>
              </w:rPr>
              <w:t>Physical Therapist Assistant</w:t>
            </w:r>
          </w:p>
        </w:tc>
        <w:tc>
          <w:tcPr>
            <w:tcW w:w="1760" w:type="dxa"/>
            <w:tcBorders>
              <w:top w:val="nil"/>
              <w:left w:val="nil"/>
              <w:bottom w:val="nil"/>
              <w:right w:val="nil"/>
            </w:tcBorders>
            <w:shd w:val="clear" w:color="000000" w:fill="D9D9D9"/>
            <w:noWrap/>
            <w:vAlign w:val="bottom"/>
            <w:hideMark/>
          </w:tcPr>
          <w:p w:rsidR="00007970" w:rsidRPr="00007970" w:rsidRDefault="00007970" w:rsidP="00007970">
            <w:pPr>
              <w:rPr>
                <w:rFonts w:ascii="Calibri" w:hAnsi="Calibri"/>
                <w:color w:val="000000"/>
                <w:sz w:val="22"/>
                <w:szCs w:val="22"/>
              </w:rPr>
            </w:pPr>
            <w:r w:rsidRPr="00007970">
              <w:rPr>
                <w:rFonts w:ascii="Calibri" w:hAnsi="Calibri"/>
                <w:color w:val="000000"/>
                <w:sz w:val="22"/>
                <w:szCs w:val="22"/>
              </w:rPr>
              <w:t>PTA-213</w:t>
            </w:r>
          </w:p>
        </w:tc>
        <w:tc>
          <w:tcPr>
            <w:tcW w:w="460" w:type="dxa"/>
            <w:tcBorders>
              <w:top w:val="nil"/>
              <w:left w:val="nil"/>
              <w:bottom w:val="nil"/>
              <w:right w:val="nil"/>
            </w:tcBorders>
            <w:shd w:val="clear" w:color="000000" w:fill="D9D9D9"/>
            <w:noWrap/>
            <w:vAlign w:val="bottom"/>
            <w:hideMark/>
          </w:tcPr>
          <w:p w:rsidR="00007970" w:rsidRPr="00007970" w:rsidRDefault="00007970" w:rsidP="00007970">
            <w:pPr>
              <w:rPr>
                <w:rFonts w:ascii="Calibri" w:hAnsi="Calibri"/>
                <w:color w:val="000000"/>
                <w:sz w:val="22"/>
                <w:szCs w:val="22"/>
              </w:rPr>
            </w:pPr>
            <w:r w:rsidRPr="00007970">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007970" w:rsidRPr="00007970" w:rsidRDefault="00007970" w:rsidP="00007970">
            <w:pPr>
              <w:jc w:val="right"/>
              <w:rPr>
                <w:rFonts w:ascii="Calibri" w:hAnsi="Calibri"/>
                <w:color w:val="000000"/>
                <w:sz w:val="22"/>
                <w:szCs w:val="22"/>
              </w:rPr>
            </w:pPr>
            <w:r w:rsidRPr="00007970">
              <w:rPr>
                <w:rFonts w:ascii="Calibri" w:hAnsi="Calibri"/>
                <w:color w:val="000000"/>
                <w:sz w:val="22"/>
                <w:szCs w:val="22"/>
              </w:rPr>
              <w:t>96.0%</w:t>
            </w:r>
          </w:p>
        </w:tc>
        <w:tc>
          <w:tcPr>
            <w:tcW w:w="940" w:type="dxa"/>
            <w:tcBorders>
              <w:top w:val="nil"/>
              <w:left w:val="nil"/>
              <w:bottom w:val="nil"/>
              <w:right w:val="nil"/>
            </w:tcBorders>
            <w:shd w:val="clear" w:color="000000" w:fill="D9D9D9"/>
            <w:noWrap/>
            <w:vAlign w:val="bottom"/>
            <w:hideMark/>
          </w:tcPr>
          <w:p w:rsidR="00007970" w:rsidRPr="00007970" w:rsidRDefault="00007970" w:rsidP="00007970">
            <w:pPr>
              <w:jc w:val="right"/>
              <w:rPr>
                <w:rFonts w:ascii="Calibri" w:hAnsi="Calibri"/>
                <w:color w:val="000000"/>
                <w:sz w:val="22"/>
                <w:szCs w:val="22"/>
              </w:rPr>
            </w:pPr>
            <w:r w:rsidRPr="00007970">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rsidR="00007970" w:rsidRPr="00007970" w:rsidRDefault="00007970" w:rsidP="00007970">
            <w:pPr>
              <w:jc w:val="right"/>
              <w:rPr>
                <w:rFonts w:ascii="Calibri" w:hAnsi="Calibri"/>
                <w:color w:val="000000"/>
                <w:sz w:val="22"/>
                <w:szCs w:val="22"/>
              </w:rPr>
            </w:pPr>
            <w:r w:rsidRPr="00007970">
              <w:rPr>
                <w:rFonts w:ascii="Calibri" w:hAnsi="Calibri"/>
                <w:color w:val="000000"/>
                <w:sz w:val="22"/>
                <w:szCs w:val="22"/>
              </w:rPr>
              <w:t>95.2%</w:t>
            </w:r>
          </w:p>
        </w:tc>
        <w:tc>
          <w:tcPr>
            <w:tcW w:w="940" w:type="dxa"/>
            <w:tcBorders>
              <w:top w:val="nil"/>
              <w:left w:val="nil"/>
              <w:bottom w:val="nil"/>
              <w:right w:val="nil"/>
            </w:tcBorders>
            <w:shd w:val="clear" w:color="000000" w:fill="D9D9D9"/>
            <w:noWrap/>
            <w:vAlign w:val="bottom"/>
            <w:hideMark/>
          </w:tcPr>
          <w:p w:rsidR="00007970" w:rsidRPr="00007970" w:rsidRDefault="00007970" w:rsidP="00007970">
            <w:pPr>
              <w:jc w:val="right"/>
              <w:rPr>
                <w:rFonts w:ascii="Calibri" w:hAnsi="Calibri"/>
                <w:color w:val="000000"/>
                <w:sz w:val="22"/>
                <w:szCs w:val="22"/>
              </w:rPr>
            </w:pPr>
            <w:r w:rsidRPr="00007970">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rsidR="00007970" w:rsidRPr="00007970" w:rsidRDefault="00007970" w:rsidP="00007970">
            <w:pPr>
              <w:jc w:val="right"/>
              <w:rPr>
                <w:rFonts w:ascii="Calibri" w:hAnsi="Calibri"/>
                <w:color w:val="000000"/>
                <w:sz w:val="22"/>
                <w:szCs w:val="22"/>
              </w:rPr>
            </w:pPr>
            <w:r w:rsidRPr="00007970">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rsidR="00007970" w:rsidRPr="00007970" w:rsidRDefault="00007970" w:rsidP="00007970">
            <w:pPr>
              <w:jc w:val="right"/>
              <w:rPr>
                <w:rFonts w:ascii="Calibri" w:hAnsi="Calibri"/>
                <w:color w:val="000000"/>
                <w:sz w:val="22"/>
                <w:szCs w:val="22"/>
              </w:rPr>
            </w:pPr>
            <w:r w:rsidRPr="00007970">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rsidR="00007970" w:rsidRPr="00007970" w:rsidRDefault="00007970" w:rsidP="00007970">
            <w:pPr>
              <w:jc w:val="right"/>
              <w:rPr>
                <w:rFonts w:ascii="Calibri" w:hAnsi="Calibri"/>
                <w:color w:val="000000"/>
                <w:sz w:val="22"/>
                <w:szCs w:val="22"/>
              </w:rPr>
            </w:pPr>
            <w:r w:rsidRPr="00007970">
              <w:rPr>
                <w:rFonts w:ascii="Calibri" w:hAnsi="Calibri"/>
                <w:color w:val="000000"/>
                <w:sz w:val="22"/>
                <w:szCs w:val="22"/>
              </w:rPr>
              <w:t>.</w:t>
            </w:r>
          </w:p>
        </w:tc>
      </w:tr>
      <w:tr w:rsidR="00007970" w:rsidRPr="00007970" w:rsidTr="00007970">
        <w:trPr>
          <w:trHeight w:val="300"/>
        </w:trPr>
        <w:tc>
          <w:tcPr>
            <w:tcW w:w="1420" w:type="dxa"/>
            <w:tcBorders>
              <w:top w:val="nil"/>
              <w:left w:val="nil"/>
              <w:bottom w:val="nil"/>
              <w:right w:val="nil"/>
            </w:tcBorders>
            <w:shd w:val="clear" w:color="auto" w:fill="auto"/>
            <w:noWrap/>
            <w:vAlign w:val="bottom"/>
            <w:hideMark/>
          </w:tcPr>
          <w:p w:rsidR="00007970" w:rsidRPr="00007970" w:rsidRDefault="00007970" w:rsidP="00007970">
            <w:pPr>
              <w:rPr>
                <w:rFonts w:ascii="Calibri" w:hAnsi="Calibri"/>
                <w:color w:val="000000"/>
                <w:sz w:val="22"/>
                <w:szCs w:val="22"/>
              </w:rPr>
            </w:pPr>
            <w:r w:rsidRPr="00007970">
              <w:rPr>
                <w:rFonts w:ascii="Calibri" w:hAnsi="Calibri"/>
                <w:color w:val="000000"/>
                <w:sz w:val="22"/>
                <w:szCs w:val="22"/>
              </w:rPr>
              <w:t>0681</w:t>
            </w:r>
          </w:p>
        </w:tc>
        <w:tc>
          <w:tcPr>
            <w:tcW w:w="3220" w:type="dxa"/>
            <w:tcBorders>
              <w:top w:val="nil"/>
              <w:left w:val="nil"/>
              <w:bottom w:val="nil"/>
              <w:right w:val="nil"/>
            </w:tcBorders>
            <w:shd w:val="clear" w:color="auto" w:fill="auto"/>
            <w:noWrap/>
            <w:vAlign w:val="bottom"/>
            <w:hideMark/>
          </w:tcPr>
          <w:p w:rsidR="00007970" w:rsidRPr="00007970" w:rsidRDefault="00007970" w:rsidP="00007970">
            <w:pPr>
              <w:rPr>
                <w:rFonts w:ascii="Calibri" w:hAnsi="Calibri"/>
                <w:color w:val="000000"/>
                <w:sz w:val="22"/>
                <w:szCs w:val="22"/>
              </w:rPr>
            </w:pPr>
            <w:r w:rsidRPr="00007970">
              <w:rPr>
                <w:rFonts w:ascii="Calibri" w:hAnsi="Calibri"/>
                <w:color w:val="000000"/>
                <w:sz w:val="22"/>
                <w:szCs w:val="22"/>
              </w:rPr>
              <w:t>Physical Therapist Assistant</w:t>
            </w:r>
          </w:p>
        </w:tc>
        <w:tc>
          <w:tcPr>
            <w:tcW w:w="1760" w:type="dxa"/>
            <w:tcBorders>
              <w:top w:val="nil"/>
              <w:left w:val="nil"/>
              <w:bottom w:val="nil"/>
              <w:right w:val="nil"/>
            </w:tcBorders>
            <w:shd w:val="clear" w:color="auto" w:fill="auto"/>
            <w:noWrap/>
            <w:vAlign w:val="bottom"/>
            <w:hideMark/>
          </w:tcPr>
          <w:p w:rsidR="00007970" w:rsidRPr="00007970" w:rsidRDefault="00007970" w:rsidP="00007970">
            <w:pPr>
              <w:rPr>
                <w:rFonts w:ascii="Calibri" w:hAnsi="Calibri"/>
                <w:color w:val="000000"/>
                <w:sz w:val="22"/>
                <w:szCs w:val="22"/>
              </w:rPr>
            </w:pPr>
            <w:r w:rsidRPr="00007970">
              <w:rPr>
                <w:rFonts w:ascii="Calibri" w:hAnsi="Calibri"/>
                <w:color w:val="000000"/>
                <w:sz w:val="22"/>
                <w:szCs w:val="22"/>
              </w:rPr>
              <w:t>PTA-221</w:t>
            </w:r>
          </w:p>
        </w:tc>
        <w:tc>
          <w:tcPr>
            <w:tcW w:w="460" w:type="dxa"/>
            <w:tcBorders>
              <w:top w:val="nil"/>
              <w:left w:val="nil"/>
              <w:bottom w:val="nil"/>
              <w:right w:val="nil"/>
            </w:tcBorders>
            <w:shd w:val="clear" w:color="auto" w:fill="auto"/>
            <w:noWrap/>
            <w:vAlign w:val="bottom"/>
            <w:hideMark/>
          </w:tcPr>
          <w:p w:rsidR="00007970" w:rsidRPr="00007970" w:rsidRDefault="00007970" w:rsidP="00007970">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rsidR="00007970" w:rsidRPr="00007970" w:rsidRDefault="00007970" w:rsidP="00007970">
            <w:pPr>
              <w:jc w:val="right"/>
              <w:rPr>
                <w:rFonts w:ascii="Calibri" w:hAnsi="Calibri"/>
                <w:color w:val="000000"/>
                <w:sz w:val="22"/>
                <w:szCs w:val="22"/>
              </w:rPr>
            </w:pPr>
            <w:r w:rsidRPr="00007970">
              <w:rPr>
                <w:rFonts w:ascii="Calibri" w:hAnsi="Calibri"/>
                <w:color w:val="000000"/>
                <w:sz w:val="22"/>
                <w:szCs w:val="22"/>
              </w:rPr>
              <w:t>100.0%</w:t>
            </w:r>
          </w:p>
        </w:tc>
        <w:tc>
          <w:tcPr>
            <w:tcW w:w="940" w:type="dxa"/>
            <w:tcBorders>
              <w:top w:val="nil"/>
              <w:left w:val="nil"/>
              <w:bottom w:val="nil"/>
              <w:right w:val="nil"/>
            </w:tcBorders>
            <w:shd w:val="clear" w:color="auto" w:fill="auto"/>
            <w:noWrap/>
            <w:vAlign w:val="bottom"/>
            <w:hideMark/>
          </w:tcPr>
          <w:p w:rsidR="00007970" w:rsidRPr="00007970" w:rsidRDefault="00007970" w:rsidP="00007970">
            <w:pPr>
              <w:jc w:val="right"/>
              <w:rPr>
                <w:rFonts w:ascii="Calibri" w:hAnsi="Calibri"/>
                <w:color w:val="000000"/>
                <w:sz w:val="22"/>
                <w:szCs w:val="22"/>
              </w:rPr>
            </w:pPr>
            <w:r w:rsidRPr="00007970">
              <w:rPr>
                <w:rFonts w:ascii="Calibri" w:hAnsi="Calibri"/>
                <w:color w:val="000000"/>
                <w:sz w:val="22"/>
                <w:szCs w:val="22"/>
              </w:rPr>
              <w:t>97.5%</w:t>
            </w:r>
          </w:p>
        </w:tc>
        <w:tc>
          <w:tcPr>
            <w:tcW w:w="940" w:type="dxa"/>
            <w:tcBorders>
              <w:top w:val="nil"/>
              <w:left w:val="nil"/>
              <w:bottom w:val="nil"/>
              <w:right w:val="nil"/>
            </w:tcBorders>
            <w:shd w:val="clear" w:color="auto" w:fill="auto"/>
            <w:noWrap/>
            <w:vAlign w:val="bottom"/>
            <w:hideMark/>
          </w:tcPr>
          <w:p w:rsidR="00007970" w:rsidRPr="00007970" w:rsidRDefault="00007970" w:rsidP="00007970">
            <w:pPr>
              <w:jc w:val="right"/>
              <w:rPr>
                <w:rFonts w:ascii="Calibri" w:hAnsi="Calibri"/>
                <w:color w:val="000000"/>
                <w:sz w:val="22"/>
                <w:szCs w:val="22"/>
              </w:rPr>
            </w:pPr>
            <w:r w:rsidRPr="00007970">
              <w:rPr>
                <w:rFonts w:ascii="Calibri" w:hAnsi="Calibri"/>
                <w:color w:val="000000"/>
                <w:sz w:val="22"/>
                <w:szCs w:val="22"/>
              </w:rPr>
              <w:t>83.3%</w:t>
            </w:r>
          </w:p>
        </w:tc>
        <w:tc>
          <w:tcPr>
            <w:tcW w:w="940" w:type="dxa"/>
            <w:tcBorders>
              <w:top w:val="nil"/>
              <w:left w:val="nil"/>
              <w:bottom w:val="nil"/>
              <w:right w:val="nil"/>
            </w:tcBorders>
            <w:shd w:val="clear" w:color="auto" w:fill="auto"/>
            <w:noWrap/>
            <w:vAlign w:val="bottom"/>
            <w:hideMark/>
          </w:tcPr>
          <w:p w:rsidR="00007970" w:rsidRPr="00007970" w:rsidRDefault="00007970" w:rsidP="00007970">
            <w:pPr>
              <w:jc w:val="right"/>
              <w:rPr>
                <w:rFonts w:ascii="Calibri" w:hAnsi="Calibri"/>
                <w:color w:val="000000"/>
                <w:sz w:val="22"/>
                <w:szCs w:val="22"/>
              </w:rPr>
            </w:pPr>
            <w:r w:rsidRPr="00007970">
              <w:rPr>
                <w:rFonts w:ascii="Calibri" w:hAnsi="Calibri"/>
                <w:color w:val="000000"/>
                <w:sz w:val="22"/>
                <w:szCs w:val="22"/>
              </w:rPr>
              <w:t>100.0%</w:t>
            </w:r>
          </w:p>
        </w:tc>
        <w:tc>
          <w:tcPr>
            <w:tcW w:w="940" w:type="dxa"/>
            <w:tcBorders>
              <w:top w:val="nil"/>
              <w:left w:val="nil"/>
              <w:bottom w:val="nil"/>
              <w:right w:val="nil"/>
            </w:tcBorders>
            <w:shd w:val="clear" w:color="auto" w:fill="auto"/>
            <w:noWrap/>
            <w:vAlign w:val="bottom"/>
            <w:hideMark/>
          </w:tcPr>
          <w:p w:rsidR="00007970" w:rsidRPr="00007970" w:rsidRDefault="00007970" w:rsidP="00007970">
            <w:pPr>
              <w:jc w:val="right"/>
              <w:rPr>
                <w:rFonts w:ascii="Calibri" w:hAnsi="Calibri"/>
                <w:color w:val="000000"/>
                <w:sz w:val="22"/>
                <w:szCs w:val="22"/>
              </w:rPr>
            </w:pPr>
            <w:r w:rsidRPr="00007970">
              <w:rPr>
                <w:rFonts w:ascii="Calibri" w:hAnsi="Calibri"/>
                <w:color w:val="000000"/>
                <w:sz w:val="22"/>
                <w:szCs w:val="22"/>
              </w:rPr>
              <w:t>100.0%</w:t>
            </w:r>
          </w:p>
        </w:tc>
        <w:tc>
          <w:tcPr>
            <w:tcW w:w="940" w:type="dxa"/>
            <w:tcBorders>
              <w:top w:val="nil"/>
              <w:left w:val="nil"/>
              <w:bottom w:val="nil"/>
              <w:right w:val="nil"/>
            </w:tcBorders>
            <w:shd w:val="clear" w:color="auto" w:fill="auto"/>
            <w:noWrap/>
            <w:vAlign w:val="bottom"/>
            <w:hideMark/>
          </w:tcPr>
          <w:p w:rsidR="00007970" w:rsidRPr="00007970" w:rsidRDefault="00007970" w:rsidP="00007970">
            <w:pPr>
              <w:jc w:val="right"/>
              <w:rPr>
                <w:rFonts w:ascii="Calibri" w:hAnsi="Calibri"/>
                <w:color w:val="000000"/>
                <w:sz w:val="22"/>
                <w:szCs w:val="22"/>
              </w:rPr>
            </w:pPr>
            <w:r w:rsidRPr="00007970">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007970" w:rsidRPr="00007970" w:rsidRDefault="00007970" w:rsidP="00007970">
            <w:pPr>
              <w:jc w:val="right"/>
              <w:rPr>
                <w:rFonts w:ascii="Calibri" w:hAnsi="Calibri"/>
                <w:color w:val="000000"/>
                <w:sz w:val="22"/>
                <w:szCs w:val="22"/>
              </w:rPr>
            </w:pPr>
            <w:r w:rsidRPr="00007970">
              <w:rPr>
                <w:rFonts w:ascii="Calibri" w:hAnsi="Calibri"/>
                <w:color w:val="000000"/>
                <w:sz w:val="22"/>
                <w:szCs w:val="22"/>
              </w:rPr>
              <w:t>.</w:t>
            </w:r>
          </w:p>
        </w:tc>
      </w:tr>
      <w:tr w:rsidR="00007970" w:rsidRPr="00007970" w:rsidTr="00007970">
        <w:trPr>
          <w:trHeight w:val="300"/>
        </w:trPr>
        <w:tc>
          <w:tcPr>
            <w:tcW w:w="1420" w:type="dxa"/>
            <w:tcBorders>
              <w:top w:val="nil"/>
              <w:left w:val="nil"/>
              <w:bottom w:val="nil"/>
              <w:right w:val="nil"/>
            </w:tcBorders>
            <w:shd w:val="clear" w:color="000000" w:fill="D9D9D9"/>
            <w:noWrap/>
            <w:vAlign w:val="bottom"/>
            <w:hideMark/>
          </w:tcPr>
          <w:p w:rsidR="00007970" w:rsidRPr="00007970" w:rsidRDefault="00007970" w:rsidP="00007970">
            <w:pPr>
              <w:rPr>
                <w:rFonts w:ascii="Calibri" w:hAnsi="Calibri"/>
                <w:color w:val="000000"/>
                <w:sz w:val="22"/>
                <w:szCs w:val="22"/>
              </w:rPr>
            </w:pPr>
            <w:r w:rsidRPr="00007970">
              <w:rPr>
                <w:rFonts w:ascii="Calibri" w:hAnsi="Calibri"/>
                <w:color w:val="000000"/>
                <w:sz w:val="22"/>
                <w:szCs w:val="22"/>
              </w:rPr>
              <w:t>0681</w:t>
            </w:r>
          </w:p>
        </w:tc>
        <w:tc>
          <w:tcPr>
            <w:tcW w:w="3220" w:type="dxa"/>
            <w:tcBorders>
              <w:top w:val="nil"/>
              <w:left w:val="nil"/>
              <w:bottom w:val="nil"/>
              <w:right w:val="nil"/>
            </w:tcBorders>
            <w:shd w:val="clear" w:color="000000" w:fill="D9D9D9"/>
            <w:noWrap/>
            <w:vAlign w:val="bottom"/>
            <w:hideMark/>
          </w:tcPr>
          <w:p w:rsidR="00007970" w:rsidRPr="00007970" w:rsidRDefault="00007970" w:rsidP="00007970">
            <w:pPr>
              <w:rPr>
                <w:rFonts w:ascii="Calibri" w:hAnsi="Calibri"/>
                <w:color w:val="000000"/>
                <w:sz w:val="22"/>
                <w:szCs w:val="22"/>
              </w:rPr>
            </w:pPr>
            <w:r w:rsidRPr="00007970">
              <w:rPr>
                <w:rFonts w:ascii="Calibri" w:hAnsi="Calibri"/>
                <w:color w:val="000000"/>
                <w:sz w:val="22"/>
                <w:szCs w:val="22"/>
              </w:rPr>
              <w:t>Physical Therapist Assistant</w:t>
            </w:r>
          </w:p>
        </w:tc>
        <w:tc>
          <w:tcPr>
            <w:tcW w:w="1760" w:type="dxa"/>
            <w:tcBorders>
              <w:top w:val="nil"/>
              <w:left w:val="nil"/>
              <w:bottom w:val="nil"/>
              <w:right w:val="nil"/>
            </w:tcBorders>
            <w:shd w:val="clear" w:color="000000" w:fill="D9D9D9"/>
            <w:noWrap/>
            <w:vAlign w:val="bottom"/>
            <w:hideMark/>
          </w:tcPr>
          <w:p w:rsidR="00007970" w:rsidRPr="00007970" w:rsidRDefault="00007970" w:rsidP="00007970">
            <w:pPr>
              <w:rPr>
                <w:rFonts w:ascii="Calibri" w:hAnsi="Calibri"/>
                <w:color w:val="000000"/>
                <w:sz w:val="22"/>
                <w:szCs w:val="22"/>
              </w:rPr>
            </w:pPr>
            <w:r w:rsidRPr="00007970">
              <w:rPr>
                <w:rFonts w:ascii="Calibri" w:hAnsi="Calibri"/>
                <w:color w:val="000000"/>
                <w:sz w:val="22"/>
                <w:szCs w:val="22"/>
              </w:rPr>
              <w:t>PTA-2211</w:t>
            </w:r>
          </w:p>
        </w:tc>
        <w:tc>
          <w:tcPr>
            <w:tcW w:w="460" w:type="dxa"/>
            <w:tcBorders>
              <w:top w:val="nil"/>
              <w:left w:val="nil"/>
              <w:bottom w:val="nil"/>
              <w:right w:val="nil"/>
            </w:tcBorders>
            <w:shd w:val="clear" w:color="000000" w:fill="D9D9D9"/>
            <w:noWrap/>
            <w:vAlign w:val="bottom"/>
            <w:hideMark/>
          </w:tcPr>
          <w:p w:rsidR="00007970" w:rsidRPr="00007970" w:rsidRDefault="00007970" w:rsidP="00007970">
            <w:pPr>
              <w:rPr>
                <w:rFonts w:ascii="Calibri" w:hAnsi="Calibri"/>
                <w:color w:val="000000"/>
                <w:sz w:val="22"/>
                <w:szCs w:val="22"/>
              </w:rPr>
            </w:pPr>
            <w:r w:rsidRPr="00007970">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007970" w:rsidRPr="00007970" w:rsidRDefault="00007970" w:rsidP="00007970">
            <w:pPr>
              <w:jc w:val="right"/>
              <w:rPr>
                <w:rFonts w:ascii="Calibri" w:hAnsi="Calibri"/>
                <w:color w:val="000000"/>
                <w:sz w:val="22"/>
                <w:szCs w:val="22"/>
              </w:rPr>
            </w:pPr>
            <w:r w:rsidRPr="00007970">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007970" w:rsidRPr="00007970" w:rsidRDefault="00007970" w:rsidP="00007970">
            <w:pPr>
              <w:jc w:val="right"/>
              <w:rPr>
                <w:rFonts w:ascii="Calibri" w:hAnsi="Calibri"/>
                <w:color w:val="000000"/>
                <w:sz w:val="22"/>
                <w:szCs w:val="22"/>
              </w:rPr>
            </w:pPr>
            <w:r w:rsidRPr="00007970">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007970" w:rsidRPr="00007970" w:rsidRDefault="00007970" w:rsidP="00007970">
            <w:pPr>
              <w:jc w:val="right"/>
              <w:rPr>
                <w:rFonts w:ascii="Calibri" w:hAnsi="Calibri"/>
                <w:color w:val="000000"/>
                <w:sz w:val="22"/>
                <w:szCs w:val="22"/>
              </w:rPr>
            </w:pPr>
            <w:r w:rsidRPr="00007970">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007970" w:rsidRPr="00007970" w:rsidRDefault="00007970" w:rsidP="00007970">
            <w:pPr>
              <w:jc w:val="right"/>
              <w:rPr>
                <w:rFonts w:ascii="Calibri" w:hAnsi="Calibri"/>
                <w:color w:val="000000"/>
                <w:sz w:val="22"/>
                <w:szCs w:val="22"/>
              </w:rPr>
            </w:pPr>
            <w:r w:rsidRPr="00007970">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007970" w:rsidRPr="00007970" w:rsidRDefault="00007970" w:rsidP="00007970">
            <w:pPr>
              <w:jc w:val="right"/>
              <w:rPr>
                <w:rFonts w:ascii="Calibri" w:hAnsi="Calibri"/>
                <w:color w:val="000000"/>
                <w:sz w:val="22"/>
                <w:szCs w:val="22"/>
              </w:rPr>
            </w:pPr>
            <w:r w:rsidRPr="00007970">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007970" w:rsidRPr="00007970" w:rsidRDefault="00007970" w:rsidP="00007970">
            <w:pPr>
              <w:jc w:val="right"/>
              <w:rPr>
                <w:rFonts w:ascii="Calibri" w:hAnsi="Calibri"/>
                <w:color w:val="000000"/>
                <w:sz w:val="22"/>
                <w:szCs w:val="22"/>
              </w:rPr>
            </w:pPr>
            <w:r w:rsidRPr="00007970">
              <w:rPr>
                <w:rFonts w:ascii="Calibri" w:hAnsi="Calibri"/>
                <w:color w:val="000000"/>
                <w:sz w:val="22"/>
                <w:szCs w:val="22"/>
              </w:rPr>
              <w:t>93.9%</w:t>
            </w:r>
          </w:p>
        </w:tc>
        <w:tc>
          <w:tcPr>
            <w:tcW w:w="940" w:type="dxa"/>
            <w:tcBorders>
              <w:top w:val="nil"/>
              <w:left w:val="nil"/>
              <w:bottom w:val="nil"/>
              <w:right w:val="nil"/>
            </w:tcBorders>
            <w:shd w:val="clear" w:color="000000" w:fill="D9D9D9"/>
            <w:noWrap/>
            <w:vAlign w:val="bottom"/>
            <w:hideMark/>
          </w:tcPr>
          <w:p w:rsidR="00007970" w:rsidRPr="00007970" w:rsidRDefault="00007970" w:rsidP="00007970">
            <w:pPr>
              <w:jc w:val="right"/>
              <w:rPr>
                <w:rFonts w:ascii="Calibri" w:hAnsi="Calibri"/>
                <w:color w:val="000000"/>
                <w:sz w:val="22"/>
                <w:szCs w:val="22"/>
              </w:rPr>
            </w:pPr>
            <w:r w:rsidRPr="00007970">
              <w:rPr>
                <w:rFonts w:ascii="Calibri" w:hAnsi="Calibri"/>
                <w:color w:val="000000"/>
                <w:sz w:val="22"/>
                <w:szCs w:val="22"/>
              </w:rPr>
              <w:t>93.5%</w:t>
            </w:r>
          </w:p>
        </w:tc>
      </w:tr>
      <w:tr w:rsidR="00007970" w:rsidRPr="00007970" w:rsidTr="00007970">
        <w:trPr>
          <w:trHeight w:val="300"/>
        </w:trPr>
        <w:tc>
          <w:tcPr>
            <w:tcW w:w="1420" w:type="dxa"/>
            <w:tcBorders>
              <w:top w:val="nil"/>
              <w:left w:val="nil"/>
              <w:bottom w:val="nil"/>
              <w:right w:val="nil"/>
            </w:tcBorders>
            <w:shd w:val="clear" w:color="auto" w:fill="auto"/>
            <w:noWrap/>
            <w:vAlign w:val="bottom"/>
            <w:hideMark/>
          </w:tcPr>
          <w:p w:rsidR="00007970" w:rsidRPr="00007970" w:rsidRDefault="00007970" w:rsidP="00007970">
            <w:pPr>
              <w:rPr>
                <w:rFonts w:ascii="Calibri" w:hAnsi="Calibri"/>
                <w:color w:val="000000"/>
                <w:sz w:val="22"/>
                <w:szCs w:val="22"/>
              </w:rPr>
            </w:pPr>
            <w:r w:rsidRPr="00007970">
              <w:rPr>
                <w:rFonts w:ascii="Calibri" w:hAnsi="Calibri"/>
                <w:color w:val="000000"/>
                <w:sz w:val="22"/>
                <w:szCs w:val="22"/>
              </w:rPr>
              <w:t>0681</w:t>
            </w:r>
          </w:p>
        </w:tc>
        <w:tc>
          <w:tcPr>
            <w:tcW w:w="3220" w:type="dxa"/>
            <w:tcBorders>
              <w:top w:val="nil"/>
              <w:left w:val="nil"/>
              <w:bottom w:val="nil"/>
              <w:right w:val="nil"/>
            </w:tcBorders>
            <w:shd w:val="clear" w:color="auto" w:fill="auto"/>
            <w:noWrap/>
            <w:vAlign w:val="bottom"/>
            <w:hideMark/>
          </w:tcPr>
          <w:p w:rsidR="00007970" w:rsidRPr="00007970" w:rsidRDefault="00007970" w:rsidP="00007970">
            <w:pPr>
              <w:rPr>
                <w:rFonts w:ascii="Calibri" w:hAnsi="Calibri"/>
                <w:color w:val="000000"/>
                <w:sz w:val="22"/>
                <w:szCs w:val="22"/>
              </w:rPr>
            </w:pPr>
            <w:r w:rsidRPr="00007970">
              <w:rPr>
                <w:rFonts w:ascii="Calibri" w:hAnsi="Calibri"/>
                <w:color w:val="000000"/>
                <w:sz w:val="22"/>
                <w:szCs w:val="22"/>
              </w:rPr>
              <w:t>Physical Therapist Assistant</w:t>
            </w:r>
          </w:p>
        </w:tc>
        <w:tc>
          <w:tcPr>
            <w:tcW w:w="1760" w:type="dxa"/>
            <w:tcBorders>
              <w:top w:val="nil"/>
              <w:left w:val="nil"/>
              <w:bottom w:val="nil"/>
              <w:right w:val="nil"/>
            </w:tcBorders>
            <w:shd w:val="clear" w:color="auto" w:fill="auto"/>
            <w:noWrap/>
            <w:vAlign w:val="bottom"/>
            <w:hideMark/>
          </w:tcPr>
          <w:p w:rsidR="00007970" w:rsidRPr="00007970" w:rsidRDefault="00007970" w:rsidP="00007970">
            <w:pPr>
              <w:rPr>
                <w:rFonts w:ascii="Calibri" w:hAnsi="Calibri"/>
                <w:color w:val="000000"/>
                <w:sz w:val="22"/>
                <w:szCs w:val="22"/>
              </w:rPr>
            </w:pPr>
            <w:r w:rsidRPr="00007970">
              <w:rPr>
                <w:rFonts w:ascii="Calibri" w:hAnsi="Calibri"/>
                <w:color w:val="000000"/>
                <w:sz w:val="22"/>
                <w:szCs w:val="22"/>
              </w:rPr>
              <w:t>PTA-2212</w:t>
            </w:r>
          </w:p>
        </w:tc>
        <w:tc>
          <w:tcPr>
            <w:tcW w:w="460" w:type="dxa"/>
            <w:tcBorders>
              <w:top w:val="nil"/>
              <w:left w:val="nil"/>
              <w:bottom w:val="nil"/>
              <w:right w:val="nil"/>
            </w:tcBorders>
            <w:shd w:val="clear" w:color="auto" w:fill="auto"/>
            <w:noWrap/>
            <w:vAlign w:val="bottom"/>
            <w:hideMark/>
          </w:tcPr>
          <w:p w:rsidR="00007970" w:rsidRPr="00007970" w:rsidRDefault="00007970" w:rsidP="00007970">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rsidR="00007970" w:rsidRPr="00007970" w:rsidRDefault="00007970" w:rsidP="00007970">
            <w:pPr>
              <w:jc w:val="right"/>
              <w:rPr>
                <w:rFonts w:ascii="Calibri" w:hAnsi="Calibri"/>
                <w:color w:val="000000"/>
                <w:sz w:val="22"/>
                <w:szCs w:val="22"/>
              </w:rPr>
            </w:pPr>
            <w:r w:rsidRPr="00007970">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007970" w:rsidRPr="00007970" w:rsidRDefault="00007970" w:rsidP="00007970">
            <w:pPr>
              <w:jc w:val="right"/>
              <w:rPr>
                <w:rFonts w:ascii="Calibri" w:hAnsi="Calibri"/>
                <w:color w:val="000000"/>
                <w:sz w:val="22"/>
                <w:szCs w:val="22"/>
              </w:rPr>
            </w:pPr>
            <w:r w:rsidRPr="00007970">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007970" w:rsidRPr="00007970" w:rsidRDefault="00007970" w:rsidP="00007970">
            <w:pPr>
              <w:jc w:val="right"/>
              <w:rPr>
                <w:rFonts w:ascii="Calibri" w:hAnsi="Calibri"/>
                <w:color w:val="000000"/>
                <w:sz w:val="22"/>
                <w:szCs w:val="22"/>
              </w:rPr>
            </w:pPr>
            <w:r w:rsidRPr="00007970">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007970" w:rsidRPr="00007970" w:rsidRDefault="00007970" w:rsidP="00007970">
            <w:pPr>
              <w:jc w:val="right"/>
              <w:rPr>
                <w:rFonts w:ascii="Calibri" w:hAnsi="Calibri"/>
                <w:color w:val="000000"/>
                <w:sz w:val="22"/>
                <w:szCs w:val="22"/>
              </w:rPr>
            </w:pPr>
            <w:r w:rsidRPr="00007970">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007970" w:rsidRPr="00007970" w:rsidRDefault="00007970" w:rsidP="00007970">
            <w:pPr>
              <w:jc w:val="right"/>
              <w:rPr>
                <w:rFonts w:ascii="Calibri" w:hAnsi="Calibri"/>
                <w:color w:val="000000"/>
                <w:sz w:val="22"/>
                <w:szCs w:val="22"/>
              </w:rPr>
            </w:pPr>
            <w:r w:rsidRPr="00007970">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007970" w:rsidRPr="00007970" w:rsidRDefault="00007970" w:rsidP="00007970">
            <w:pPr>
              <w:jc w:val="right"/>
              <w:rPr>
                <w:rFonts w:ascii="Calibri" w:hAnsi="Calibri"/>
                <w:color w:val="000000"/>
                <w:sz w:val="22"/>
                <w:szCs w:val="22"/>
              </w:rPr>
            </w:pPr>
            <w:r w:rsidRPr="00007970">
              <w:rPr>
                <w:rFonts w:ascii="Calibri" w:hAnsi="Calibri"/>
                <w:color w:val="000000"/>
                <w:sz w:val="22"/>
                <w:szCs w:val="22"/>
              </w:rPr>
              <w:t>96.8%</w:t>
            </w:r>
          </w:p>
        </w:tc>
        <w:tc>
          <w:tcPr>
            <w:tcW w:w="940" w:type="dxa"/>
            <w:tcBorders>
              <w:top w:val="nil"/>
              <w:left w:val="nil"/>
              <w:bottom w:val="nil"/>
              <w:right w:val="nil"/>
            </w:tcBorders>
            <w:shd w:val="clear" w:color="auto" w:fill="auto"/>
            <w:noWrap/>
            <w:vAlign w:val="bottom"/>
            <w:hideMark/>
          </w:tcPr>
          <w:p w:rsidR="00007970" w:rsidRPr="00007970" w:rsidRDefault="00007970" w:rsidP="00007970">
            <w:pPr>
              <w:jc w:val="right"/>
              <w:rPr>
                <w:rFonts w:ascii="Calibri" w:hAnsi="Calibri"/>
                <w:color w:val="000000"/>
                <w:sz w:val="22"/>
                <w:szCs w:val="22"/>
              </w:rPr>
            </w:pPr>
            <w:r w:rsidRPr="00007970">
              <w:rPr>
                <w:rFonts w:ascii="Calibri" w:hAnsi="Calibri"/>
                <w:color w:val="000000"/>
                <w:sz w:val="22"/>
                <w:szCs w:val="22"/>
              </w:rPr>
              <w:t>92.9%</w:t>
            </w:r>
          </w:p>
        </w:tc>
      </w:tr>
      <w:tr w:rsidR="00007970" w:rsidRPr="00007970" w:rsidTr="00007970">
        <w:trPr>
          <w:trHeight w:val="300"/>
        </w:trPr>
        <w:tc>
          <w:tcPr>
            <w:tcW w:w="1420" w:type="dxa"/>
            <w:tcBorders>
              <w:top w:val="nil"/>
              <w:left w:val="nil"/>
              <w:bottom w:val="nil"/>
              <w:right w:val="nil"/>
            </w:tcBorders>
            <w:shd w:val="clear" w:color="000000" w:fill="D9D9D9"/>
            <w:noWrap/>
            <w:vAlign w:val="bottom"/>
            <w:hideMark/>
          </w:tcPr>
          <w:p w:rsidR="00007970" w:rsidRPr="00007970" w:rsidRDefault="00007970" w:rsidP="00007970">
            <w:pPr>
              <w:rPr>
                <w:rFonts w:ascii="Calibri" w:hAnsi="Calibri"/>
                <w:color w:val="000000"/>
                <w:sz w:val="22"/>
                <w:szCs w:val="22"/>
              </w:rPr>
            </w:pPr>
            <w:r w:rsidRPr="00007970">
              <w:rPr>
                <w:rFonts w:ascii="Calibri" w:hAnsi="Calibri"/>
                <w:color w:val="000000"/>
                <w:sz w:val="22"/>
                <w:szCs w:val="22"/>
              </w:rPr>
              <w:t>0681</w:t>
            </w:r>
          </w:p>
        </w:tc>
        <w:tc>
          <w:tcPr>
            <w:tcW w:w="3220" w:type="dxa"/>
            <w:tcBorders>
              <w:top w:val="nil"/>
              <w:left w:val="nil"/>
              <w:bottom w:val="nil"/>
              <w:right w:val="nil"/>
            </w:tcBorders>
            <w:shd w:val="clear" w:color="000000" w:fill="D9D9D9"/>
            <w:noWrap/>
            <w:vAlign w:val="bottom"/>
            <w:hideMark/>
          </w:tcPr>
          <w:p w:rsidR="00007970" w:rsidRPr="00007970" w:rsidRDefault="00007970" w:rsidP="00007970">
            <w:pPr>
              <w:rPr>
                <w:rFonts w:ascii="Calibri" w:hAnsi="Calibri"/>
                <w:color w:val="000000"/>
                <w:sz w:val="22"/>
                <w:szCs w:val="22"/>
              </w:rPr>
            </w:pPr>
            <w:r w:rsidRPr="00007970">
              <w:rPr>
                <w:rFonts w:ascii="Calibri" w:hAnsi="Calibri"/>
                <w:color w:val="000000"/>
                <w:sz w:val="22"/>
                <w:szCs w:val="22"/>
              </w:rPr>
              <w:t>Physical Therapist Assistant</w:t>
            </w:r>
          </w:p>
        </w:tc>
        <w:tc>
          <w:tcPr>
            <w:tcW w:w="1760" w:type="dxa"/>
            <w:tcBorders>
              <w:top w:val="nil"/>
              <w:left w:val="nil"/>
              <w:bottom w:val="nil"/>
              <w:right w:val="nil"/>
            </w:tcBorders>
            <w:shd w:val="clear" w:color="000000" w:fill="D9D9D9"/>
            <w:noWrap/>
            <w:vAlign w:val="bottom"/>
            <w:hideMark/>
          </w:tcPr>
          <w:p w:rsidR="00007970" w:rsidRPr="00007970" w:rsidRDefault="00007970" w:rsidP="00007970">
            <w:pPr>
              <w:rPr>
                <w:rFonts w:ascii="Calibri" w:hAnsi="Calibri"/>
                <w:color w:val="000000"/>
                <w:sz w:val="22"/>
                <w:szCs w:val="22"/>
              </w:rPr>
            </w:pPr>
            <w:r w:rsidRPr="00007970">
              <w:rPr>
                <w:rFonts w:ascii="Calibri" w:hAnsi="Calibri"/>
                <w:color w:val="000000"/>
                <w:sz w:val="22"/>
                <w:szCs w:val="22"/>
              </w:rPr>
              <w:t>PTA-222</w:t>
            </w:r>
          </w:p>
        </w:tc>
        <w:tc>
          <w:tcPr>
            <w:tcW w:w="460" w:type="dxa"/>
            <w:tcBorders>
              <w:top w:val="nil"/>
              <w:left w:val="nil"/>
              <w:bottom w:val="nil"/>
              <w:right w:val="nil"/>
            </w:tcBorders>
            <w:shd w:val="clear" w:color="000000" w:fill="D9D9D9"/>
            <w:noWrap/>
            <w:vAlign w:val="bottom"/>
            <w:hideMark/>
          </w:tcPr>
          <w:p w:rsidR="00007970" w:rsidRPr="00007970" w:rsidRDefault="00007970" w:rsidP="00007970">
            <w:pPr>
              <w:rPr>
                <w:rFonts w:ascii="Calibri" w:hAnsi="Calibri"/>
                <w:color w:val="000000"/>
                <w:sz w:val="22"/>
                <w:szCs w:val="22"/>
              </w:rPr>
            </w:pPr>
            <w:r w:rsidRPr="00007970">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007970" w:rsidRPr="00007970" w:rsidRDefault="00007970" w:rsidP="00007970">
            <w:pPr>
              <w:jc w:val="right"/>
              <w:rPr>
                <w:rFonts w:ascii="Calibri" w:hAnsi="Calibri"/>
                <w:color w:val="000000"/>
                <w:sz w:val="22"/>
                <w:szCs w:val="22"/>
              </w:rPr>
            </w:pPr>
            <w:r w:rsidRPr="00007970">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007970" w:rsidRPr="00007970" w:rsidRDefault="00007970" w:rsidP="00007970">
            <w:pPr>
              <w:jc w:val="right"/>
              <w:rPr>
                <w:rFonts w:ascii="Calibri" w:hAnsi="Calibri"/>
                <w:color w:val="000000"/>
                <w:sz w:val="22"/>
                <w:szCs w:val="22"/>
              </w:rPr>
            </w:pPr>
            <w:r w:rsidRPr="00007970">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007970" w:rsidRPr="00007970" w:rsidRDefault="00007970" w:rsidP="00007970">
            <w:pPr>
              <w:jc w:val="right"/>
              <w:rPr>
                <w:rFonts w:ascii="Calibri" w:hAnsi="Calibri"/>
                <w:color w:val="000000"/>
                <w:sz w:val="22"/>
                <w:szCs w:val="22"/>
              </w:rPr>
            </w:pPr>
            <w:r w:rsidRPr="00007970">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007970" w:rsidRPr="00007970" w:rsidRDefault="00007970" w:rsidP="00007970">
            <w:pPr>
              <w:jc w:val="right"/>
              <w:rPr>
                <w:rFonts w:ascii="Calibri" w:hAnsi="Calibri"/>
                <w:color w:val="000000"/>
                <w:sz w:val="22"/>
                <w:szCs w:val="22"/>
              </w:rPr>
            </w:pPr>
            <w:r w:rsidRPr="00007970">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007970" w:rsidRPr="00007970" w:rsidRDefault="00007970" w:rsidP="00007970">
            <w:pPr>
              <w:jc w:val="right"/>
              <w:rPr>
                <w:rFonts w:ascii="Calibri" w:hAnsi="Calibri"/>
                <w:color w:val="000000"/>
                <w:sz w:val="22"/>
                <w:szCs w:val="22"/>
              </w:rPr>
            </w:pPr>
            <w:r w:rsidRPr="00007970">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007970" w:rsidRPr="00007970" w:rsidRDefault="00007970" w:rsidP="00007970">
            <w:pPr>
              <w:jc w:val="right"/>
              <w:rPr>
                <w:rFonts w:ascii="Calibri" w:hAnsi="Calibri"/>
                <w:color w:val="000000"/>
                <w:sz w:val="22"/>
                <w:szCs w:val="22"/>
              </w:rPr>
            </w:pPr>
            <w:r w:rsidRPr="00007970">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007970" w:rsidRPr="00007970" w:rsidRDefault="00007970" w:rsidP="00007970">
            <w:pPr>
              <w:jc w:val="right"/>
              <w:rPr>
                <w:rFonts w:ascii="Calibri" w:hAnsi="Calibri"/>
                <w:color w:val="000000"/>
                <w:sz w:val="22"/>
                <w:szCs w:val="22"/>
              </w:rPr>
            </w:pPr>
            <w:r w:rsidRPr="00007970">
              <w:rPr>
                <w:rFonts w:ascii="Calibri" w:hAnsi="Calibri"/>
                <w:color w:val="000000"/>
                <w:sz w:val="22"/>
                <w:szCs w:val="22"/>
              </w:rPr>
              <w:t>.</w:t>
            </w:r>
          </w:p>
        </w:tc>
      </w:tr>
      <w:tr w:rsidR="00007970" w:rsidRPr="00007970" w:rsidTr="00007970">
        <w:trPr>
          <w:trHeight w:val="300"/>
        </w:trPr>
        <w:tc>
          <w:tcPr>
            <w:tcW w:w="1420" w:type="dxa"/>
            <w:tcBorders>
              <w:top w:val="nil"/>
              <w:left w:val="nil"/>
              <w:bottom w:val="nil"/>
              <w:right w:val="nil"/>
            </w:tcBorders>
            <w:shd w:val="clear" w:color="auto" w:fill="auto"/>
            <w:noWrap/>
            <w:vAlign w:val="bottom"/>
            <w:hideMark/>
          </w:tcPr>
          <w:p w:rsidR="00007970" w:rsidRPr="00007970" w:rsidRDefault="00007970" w:rsidP="00007970">
            <w:pPr>
              <w:rPr>
                <w:rFonts w:ascii="Calibri" w:hAnsi="Calibri"/>
                <w:color w:val="000000"/>
                <w:sz w:val="22"/>
                <w:szCs w:val="22"/>
              </w:rPr>
            </w:pPr>
            <w:r w:rsidRPr="00007970">
              <w:rPr>
                <w:rFonts w:ascii="Calibri" w:hAnsi="Calibri"/>
                <w:color w:val="000000"/>
                <w:sz w:val="22"/>
                <w:szCs w:val="22"/>
              </w:rPr>
              <w:t>0681</w:t>
            </w:r>
          </w:p>
        </w:tc>
        <w:tc>
          <w:tcPr>
            <w:tcW w:w="3220" w:type="dxa"/>
            <w:tcBorders>
              <w:top w:val="nil"/>
              <w:left w:val="nil"/>
              <w:bottom w:val="nil"/>
              <w:right w:val="nil"/>
            </w:tcBorders>
            <w:shd w:val="clear" w:color="auto" w:fill="auto"/>
            <w:noWrap/>
            <w:vAlign w:val="bottom"/>
            <w:hideMark/>
          </w:tcPr>
          <w:p w:rsidR="00007970" w:rsidRPr="00007970" w:rsidRDefault="00007970" w:rsidP="00007970">
            <w:pPr>
              <w:rPr>
                <w:rFonts w:ascii="Calibri" w:hAnsi="Calibri"/>
                <w:color w:val="000000"/>
                <w:sz w:val="22"/>
                <w:szCs w:val="22"/>
              </w:rPr>
            </w:pPr>
            <w:r w:rsidRPr="00007970">
              <w:rPr>
                <w:rFonts w:ascii="Calibri" w:hAnsi="Calibri"/>
                <w:color w:val="000000"/>
                <w:sz w:val="22"/>
                <w:szCs w:val="22"/>
              </w:rPr>
              <w:t>Physical Therapist Assistant</w:t>
            </w:r>
          </w:p>
        </w:tc>
        <w:tc>
          <w:tcPr>
            <w:tcW w:w="1760" w:type="dxa"/>
            <w:tcBorders>
              <w:top w:val="nil"/>
              <w:left w:val="nil"/>
              <w:bottom w:val="nil"/>
              <w:right w:val="nil"/>
            </w:tcBorders>
            <w:shd w:val="clear" w:color="auto" w:fill="auto"/>
            <w:noWrap/>
            <w:vAlign w:val="bottom"/>
            <w:hideMark/>
          </w:tcPr>
          <w:p w:rsidR="00007970" w:rsidRPr="00007970" w:rsidRDefault="00007970" w:rsidP="00007970">
            <w:pPr>
              <w:rPr>
                <w:rFonts w:ascii="Calibri" w:hAnsi="Calibri"/>
                <w:color w:val="000000"/>
                <w:sz w:val="22"/>
                <w:szCs w:val="22"/>
              </w:rPr>
            </w:pPr>
            <w:r w:rsidRPr="00007970">
              <w:rPr>
                <w:rFonts w:ascii="Calibri" w:hAnsi="Calibri"/>
                <w:color w:val="000000"/>
                <w:sz w:val="22"/>
                <w:szCs w:val="22"/>
              </w:rPr>
              <w:t>PTA-2226</w:t>
            </w:r>
          </w:p>
        </w:tc>
        <w:tc>
          <w:tcPr>
            <w:tcW w:w="460" w:type="dxa"/>
            <w:tcBorders>
              <w:top w:val="nil"/>
              <w:left w:val="nil"/>
              <w:bottom w:val="nil"/>
              <w:right w:val="nil"/>
            </w:tcBorders>
            <w:shd w:val="clear" w:color="auto" w:fill="auto"/>
            <w:noWrap/>
            <w:vAlign w:val="bottom"/>
            <w:hideMark/>
          </w:tcPr>
          <w:p w:rsidR="00007970" w:rsidRPr="00007970" w:rsidRDefault="00007970" w:rsidP="00007970">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rsidR="00007970" w:rsidRPr="00007970" w:rsidRDefault="00007970" w:rsidP="00007970">
            <w:pPr>
              <w:jc w:val="right"/>
              <w:rPr>
                <w:rFonts w:ascii="Calibri" w:hAnsi="Calibri"/>
                <w:color w:val="000000"/>
                <w:sz w:val="22"/>
                <w:szCs w:val="22"/>
              </w:rPr>
            </w:pPr>
            <w:r w:rsidRPr="00007970">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007970" w:rsidRPr="00007970" w:rsidRDefault="00007970" w:rsidP="00007970">
            <w:pPr>
              <w:jc w:val="right"/>
              <w:rPr>
                <w:rFonts w:ascii="Calibri" w:hAnsi="Calibri"/>
                <w:color w:val="000000"/>
                <w:sz w:val="22"/>
                <w:szCs w:val="22"/>
              </w:rPr>
            </w:pPr>
            <w:r w:rsidRPr="00007970">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007970" w:rsidRPr="00007970" w:rsidRDefault="00007970" w:rsidP="00007970">
            <w:pPr>
              <w:jc w:val="right"/>
              <w:rPr>
                <w:rFonts w:ascii="Calibri" w:hAnsi="Calibri"/>
                <w:color w:val="000000"/>
                <w:sz w:val="22"/>
                <w:szCs w:val="22"/>
              </w:rPr>
            </w:pPr>
            <w:r w:rsidRPr="00007970">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007970" w:rsidRPr="00007970" w:rsidRDefault="00007970" w:rsidP="00007970">
            <w:pPr>
              <w:jc w:val="right"/>
              <w:rPr>
                <w:rFonts w:ascii="Calibri" w:hAnsi="Calibri"/>
                <w:color w:val="000000"/>
                <w:sz w:val="22"/>
                <w:szCs w:val="22"/>
              </w:rPr>
            </w:pPr>
            <w:r w:rsidRPr="00007970">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007970" w:rsidRPr="00007970" w:rsidRDefault="00007970" w:rsidP="00007970">
            <w:pPr>
              <w:jc w:val="right"/>
              <w:rPr>
                <w:rFonts w:ascii="Calibri" w:hAnsi="Calibri"/>
                <w:color w:val="000000"/>
                <w:sz w:val="22"/>
                <w:szCs w:val="22"/>
              </w:rPr>
            </w:pPr>
            <w:r w:rsidRPr="00007970">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007970" w:rsidRPr="00007970" w:rsidRDefault="00007970" w:rsidP="00007970">
            <w:pPr>
              <w:jc w:val="right"/>
              <w:rPr>
                <w:rFonts w:ascii="Calibri" w:hAnsi="Calibri"/>
                <w:color w:val="000000"/>
                <w:sz w:val="22"/>
                <w:szCs w:val="22"/>
              </w:rPr>
            </w:pPr>
            <w:r w:rsidRPr="00007970">
              <w:rPr>
                <w:rFonts w:ascii="Calibri" w:hAnsi="Calibri"/>
                <w:color w:val="000000"/>
                <w:sz w:val="22"/>
                <w:szCs w:val="22"/>
              </w:rPr>
              <w:t>100.0%</w:t>
            </w:r>
          </w:p>
        </w:tc>
        <w:tc>
          <w:tcPr>
            <w:tcW w:w="940" w:type="dxa"/>
            <w:tcBorders>
              <w:top w:val="nil"/>
              <w:left w:val="nil"/>
              <w:bottom w:val="nil"/>
              <w:right w:val="nil"/>
            </w:tcBorders>
            <w:shd w:val="clear" w:color="auto" w:fill="auto"/>
            <w:noWrap/>
            <w:vAlign w:val="bottom"/>
            <w:hideMark/>
          </w:tcPr>
          <w:p w:rsidR="00007970" w:rsidRPr="00007970" w:rsidRDefault="00007970" w:rsidP="00007970">
            <w:pPr>
              <w:jc w:val="right"/>
              <w:rPr>
                <w:rFonts w:ascii="Calibri" w:hAnsi="Calibri"/>
                <w:color w:val="000000"/>
                <w:sz w:val="22"/>
                <w:szCs w:val="22"/>
              </w:rPr>
            </w:pPr>
            <w:r w:rsidRPr="00007970">
              <w:rPr>
                <w:rFonts w:ascii="Calibri" w:hAnsi="Calibri"/>
                <w:color w:val="000000"/>
                <w:sz w:val="22"/>
                <w:szCs w:val="22"/>
              </w:rPr>
              <w:t>100.0%</w:t>
            </w:r>
          </w:p>
        </w:tc>
      </w:tr>
      <w:tr w:rsidR="00007970" w:rsidRPr="00007970" w:rsidTr="00007970">
        <w:trPr>
          <w:trHeight w:val="300"/>
        </w:trPr>
        <w:tc>
          <w:tcPr>
            <w:tcW w:w="1420" w:type="dxa"/>
            <w:tcBorders>
              <w:top w:val="nil"/>
              <w:left w:val="nil"/>
              <w:bottom w:val="nil"/>
              <w:right w:val="nil"/>
            </w:tcBorders>
            <w:shd w:val="clear" w:color="000000" w:fill="D9D9D9"/>
            <w:noWrap/>
            <w:vAlign w:val="bottom"/>
            <w:hideMark/>
          </w:tcPr>
          <w:p w:rsidR="00007970" w:rsidRPr="00007970" w:rsidRDefault="00007970" w:rsidP="00007970">
            <w:pPr>
              <w:rPr>
                <w:rFonts w:ascii="Calibri" w:hAnsi="Calibri"/>
                <w:color w:val="000000"/>
                <w:sz w:val="22"/>
                <w:szCs w:val="22"/>
              </w:rPr>
            </w:pPr>
            <w:r w:rsidRPr="00007970">
              <w:rPr>
                <w:rFonts w:ascii="Calibri" w:hAnsi="Calibri"/>
                <w:color w:val="000000"/>
                <w:sz w:val="22"/>
                <w:szCs w:val="22"/>
              </w:rPr>
              <w:t>0681</w:t>
            </w:r>
          </w:p>
        </w:tc>
        <w:tc>
          <w:tcPr>
            <w:tcW w:w="3220" w:type="dxa"/>
            <w:tcBorders>
              <w:top w:val="nil"/>
              <w:left w:val="nil"/>
              <w:bottom w:val="nil"/>
              <w:right w:val="nil"/>
            </w:tcBorders>
            <w:shd w:val="clear" w:color="000000" w:fill="D9D9D9"/>
            <w:noWrap/>
            <w:vAlign w:val="bottom"/>
            <w:hideMark/>
          </w:tcPr>
          <w:p w:rsidR="00007970" w:rsidRPr="00007970" w:rsidRDefault="00007970" w:rsidP="00007970">
            <w:pPr>
              <w:rPr>
                <w:rFonts w:ascii="Calibri" w:hAnsi="Calibri"/>
                <w:color w:val="000000"/>
                <w:sz w:val="22"/>
                <w:szCs w:val="22"/>
              </w:rPr>
            </w:pPr>
            <w:r w:rsidRPr="00007970">
              <w:rPr>
                <w:rFonts w:ascii="Calibri" w:hAnsi="Calibri"/>
                <w:color w:val="000000"/>
                <w:sz w:val="22"/>
                <w:szCs w:val="22"/>
              </w:rPr>
              <w:t>Physical Therapist Assistant</w:t>
            </w:r>
          </w:p>
        </w:tc>
        <w:tc>
          <w:tcPr>
            <w:tcW w:w="1760" w:type="dxa"/>
            <w:tcBorders>
              <w:top w:val="nil"/>
              <w:left w:val="nil"/>
              <w:bottom w:val="nil"/>
              <w:right w:val="nil"/>
            </w:tcBorders>
            <w:shd w:val="clear" w:color="000000" w:fill="D9D9D9"/>
            <w:noWrap/>
            <w:vAlign w:val="bottom"/>
            <w:hideMark/>
          </w:tcPr>
          <w:p w:rsidR="00007970" w:rsidRPr="00007970" w:rsidRDefault="00007970" w:rsidP="00007970">
            <w:pPr>
              <w:rPr>
                <w:rFonts w:ascii="Calibri" w:hAnsi="Calibri"/>
                <w:color w:val="000000"/>
                <w:sz w:val="22"/>
                <w:szCs w:val="22"/>
              </w:rPr>
            </w:pPr>
            <w:r w:rsidRPr="00007970">
              <w:rPr>
                <w:rFonts w:ascii="Calibri" w:hAnsi="Calibri"/>
                <w:color w:val="000000"/>
                <w:sz w:val="22"/>
                <w:szCs w:val="22"/>
              </w:rPr>
              <w:t>PTA-223</w:t>
            </w:r>
          </w:p>
        </w:tc>
        <w:tc>
          <w:tcPr>
            <w:tcW w:w="460" w:type="dxa"/>
            <w:tcBorders>
              <w:top w:val="nil"/>
              <w:left w:val="nil"/>
              <w:bottom w:val="nil"/>
              <w:right w:val="nil"/>
            </w:tcBorders>
            <w:shd w:val="clear" w:color="000000" w:fill="D9D9D9"/>
            <w:noWrap/>
            <w:vAlign w:val="bottom"/>
            <w:hideMark/>
          </w:tcPr>
          <w:p w:rsidR="00007970" w:rsidRPr="00007970" w:rsidRDefault="00007970" w:rsidP="00007970">
            <w:pPr>
              <w:rPr>
                <w:rFonts w:ascii="Calibri" w:hAnsi="Calibri"/>
                <w:color w:val="000000"/>
                <w:sz w:val="22"/>
                <w:szCs w:val="22"/>
              </w:rPr>
            </w:pPr>
            <w:r w:rsidRPr="00007970">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007970" w:rsidRPr="00007970" w:rsidRDefault="00007970" w:rsidP="00007970">
            <w:pPr>
              <w:jc w:val="right"/>
              <w:rPr>
                <w:rFonts w:ascii="Calibri" w:hAnsi="Calibri"/>
                <w:color w:val="000000"/>
                <w:sz w:val="22"/>
                <w:szCs w:val="22"/>
              </w:rPr>
            </w:pPr>
            <w:r w:rsidRPr="00007970">
              <w:rPr>
                <w:rFonts w:ascii="Calibri" w:hAnsi="Calibri"/>
                <w:color w:val="000000"/>
                <w:sz w:val="22"/>
                <w:szCs w:val="22"/>
              </w:rPr>
              <w:t>89.3%</w:t>
            </w:r>
          </w:p>
        </w:tc>
        <w:tc>
          <w:tcPr>
            <w:tcW w:w="940" w:type="dxa"/>
            <w:tcBorders>
              <w:top w:val="nil"/>
              <w:left w:val="nil"/>
              <w:bottom w:val="nil"/>
              <w:right w:val="nil"/>
            </w:tcBorders>
            <w:shd w:val="clear" w:color="000000" w:fill="D9D9D9"/>
            <w:noWrap/>
            <w:vAlign w:val="bottom"/>
            <w:hideMark/>
          </w:tcPr>
          <w:p w:rsidR="00007970" w:rsidRPr="00007970" w:rsidRDefault="00007970" w:rsidP="00007970">
            <w:pPr>
              <w:jc w:val="right"/>
              <w:rPr>
                <w:rFonts w:ascii="Calibri" w:hAnsi="Calibri"/>
                <w:color w:val="000000"/>
                <w:sz w:val="22"/>
                <w:szCs w:val="22"/>
              </w:rPr>
            </w:pPr>
            <w:r w:rsidRPr="00007970">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rsidR="00007970" w:rsidRPr="00007970" w:rsidRDefault="00007970" w:rsidP="00007970">
            <w:pPr>
              <w:jc w:val="right"/>
              <w:rPr>
                <w:rFonts w:ascii="Calibri" w:hAnsi="Calibri"/>
                <w:color w:val="000000"/>
                <w:sz w:val="22"/>
                <w:szCs w:val="22"/>
              </w:rPr>
            </w:pPr>
            <w:r w:rsidRPr="00007970">
              <w:rPr>
                <w:rFonts w:ascii="Calibri" w:hAnsi="Calibri"/>
                <w:color w:val="000000"/>
                <w:sz w:val="22"/>
                <w:szCs w:val="22"/>
              </w:rPr>
              <w:t>93.3%</w:t>
            </w:r>
          </w:p>
        </w:tc>
        <w:tc>
          <w:tcPr>
            <w:tcW w:w="940" w:type="dxa"/>
            <w:tcBorders>
              <w:top w:val="nil"/>
              <w:left w:val="nil"/>
              <w:bottom w:val="nil"/>
              <w:right w:val="nil"/>
            </w:tcBorders>
            <w:shd w:val="clear" w:color="000000" w:fill="D9D9D9"/>
            <w:noWrap/>
            <w:vAlign w:val="bottom"/>
            <w:hideMark/>
          </w:tcPr>
          <w:p w:rsidR="00007970" w:rsidRPr="00007970" w:rsidRDefault="00007970" w:rsidP="00007970">
            <w:pPr>
              <w:jc w:val="right"/>
              <w:rPr>
                <w:rFonts w:ascii="Calibri" w:hAnsi="Calibri"/>
                <w:color w:val="000000"/>
                <w:sz w:val="22"/>
                <w:szCs w:val="22"/>
              </w:rPr>
            </w:pPr>
            <w:r w:rsidRPr="00007970">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007970" w:rsidRPr="00007970" w:rsidRDefault="00007970" w:rsidP="00007970">
            <w:pPr>
              <w:jc w:val="right"/>
              <w:rPr>
                <w:rFonts w:ascii="Calibri" w:hAnsi="Calibri"/>
                <w:color w:val="000000"/>
                <w:sz w:val="22"/>
                <w:szCs w:val="22"/>
              </w:rPr>
            </w:pPr>
            <w:r w:rsidRPr="00007970">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007970" w:rsidRPr="00007970" w:rsidRDefault="00007970" w:rsidP="00007970">
            <w:pPr>
              <w:jc w:val="right"/>
              <w:rPr>
                <w:rFonts w:ascii="Calibri" w:hAnsi="Calibri"/>
                <w:color w:val="000000"/>
                <w:sz w:val="22"/>
                <w:szCs w:val="22"/>
              </w:rPr>
            </w:pPr>
            <w:r w:rsidRPr="00007970">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007970" w:rsidRPr="00007970" w:rsidRDefault="00007970" w:rsidP="00007970">
            <w:pPr>
              <w:jc w:val="right"/>
              <w:rPr>
                <w:rFonts w:ascii="Calibri" w:hAnsi="Calibri"/>
                <w:color w:val="000000"/>
                <w:sz w:val="22"/>
                <w:szCs w:val="22"/>
              </w:rPr>
            </w:pPr>
            <w:r w:rsidRPr="00007970">
              <w:rPr>
                <w:rFonts w:ascii="Calibri" w:hAnsi="Calibri"/>
                <w:color w:val="000000"/>
                <w:sz w:val="22"/>
                <w:szCs w:val="22"/>
              </w:rPr>
              <w:t>.</w:t>
            </w:r>
          </w:p>
        </w:tc>
      </w:tr>
      <w:tr w:rsidR="00007970" w:rsidRPr="00007970" w:rsidTr="00007970">
        <w:trPr>
          <w:trHeight w:val="300"/>
        </w:trPr>
        <w:tc>
          <w:tcPr>
            <w:tcW w:w="1420" w:type="dxa"/>
            <w:tcBorders>
              <w:top w:val="nil"/>
              <w:left w:val="nil"/>
              <w:bottom w:val="nil"/>
              <w:right w:val="nil"/>
            </w:tcBorders>
            <w:shd w:val="clear" w:color="auto" w:fill="auto"/>
            <w:noWrap/>
            <w:vAlign w:val="bottom"/>
            <w:hideMark/>
          </w:tcPr>
          <w:p w:rsidR="00007970" w:rsidRPr="00007970" w:rsidRDefault="00007970" w:rsidP="00007970">
            <w:pPr>
              <w:rPr>
                <w:rFonts w:ascii="Calibri" w:hAnsi="Calibri"/>
                <w:color w:val="000000"/>
                <w:sz w:val="22"/>
                <w:szCs w:val="22"/>
              </w:rPr>
            </w:pPr>
            <w:r w:rsidRPr="00007970">
              <w:rPr>
                <w:rFonts w:ascii="Calibri" w:hAnsi="Calibri"/>
                <w:color w:val="000000"/>
                <w:sz w:val="22"/>
                <w:szCs w:val="22"/>
              </w:rPr>
              <w:t>0681</w:t>
            </w:r>
          </w:p>
        </w:tc>
        <w:tc>
          <w:tcPr>
            <w:tcW w:w="3220" w:type="dxa"/>
            <w:tcBorders>
              <w:top w:val="nil"/>
              <w:left w:val="nil"/>
              <w:bottom w:val="nil"/>
              <w:right w:val="nil"/>
            </w:tcBorders>
            <w:shd w:val="clear" w:color="auto" w:fill="auto"/>
            <w:noWrap/>
            <w:vAlign w:val="bottom"/>
            <w:hideMark/>
          </w:tcPr>
          <w:p w:rsidR="00007970" w:rsidRPr="00007970" w:rsidRDefault="00007970" w:rsidP="00007970">
            <w:pPr>
              <w:rPr>
                <w:rFonts w:ascii="Calibri" w:hAnsi="Calibri"/>
                <w:color w:val="000000"/>
                <w:sz w:val="22"/>
                <w:szCs w:val="22"/>
              </w:rPr>
            </w:pPr>
            <w:r w:rsidRPr="00007970">
              <w:rPr>
                <w:rFonts w:ascii="Calibri" w:hAnsi="Calibri"/>
                <w:color w:val="000000"/>
                <w:sz w:val="22"/>
                <w:szCs w:val="22"/>
              </w:rPr>
              <w:t>Physical Therapist Assistant</w:t>
            </w:r>
          </w:p>
        </w:tc>
        <w:tc>
          <w:tcPr>
            <w:tcW w:w="1760" w:type="dxa"/>
            <w:tcBorders>
              <w:top w:val="nil"/>
              <w:left w:val="nil"/>
              <w:bottom w:val="nil"/>
              <w:right w:val="nil"/>
            </w:tcBorders>
            <w:shd w:val="clear" w:color="auto" w:fill="auto"/>
            <w:noWrap/>
            <w:vAlign w:val="bottom"/>
            <w:hideMark/>
          </w:tcPr>
          <w:p w:rsidR="00007970" w:rsidRPr="00007970" w:rsidRDefault="00007970" w:rsidP="00007970">
            <w:pPr>
              <w:rPr>
                <w:rFonts w:ascii="Calibri" w:hAnsi="Calibri"/>
                <w:color w:val="000000"/>
                <w:sz w:val="22"/>
                <w:szCs w:val="22"/>
              </w:rPr>
            </w:pPr>
            <w:r w:rsidRPr="00007970">
              <w:rPr>
                <w:rFonts w:ascii="Calibri" w:hAnsi="Calibri"/>
                <w:color w:val="000000"/>
                <w:sz w:val="22"/>
                <w:szCs w:val="22"/>
              </w:rPr>
              <w:t>PTA-2230</w:t>
            </w:r>
          </w:p>
        </w:tc>
        <w:tc>
          <w:tcPr>
            <w:tcW w:w="460" w:type="dxa"/>
            <w:tcBorders>
              <w:top w:val="nil"/>
              <w:left w:val="nil"/>
              <w:bottom w:val="nil"/>
              <w:right w:val="nil"/>
            </w:tcBorders>
            <w:shd w:val="clear" w:color="auto" w:fill="auto"/>
            <w:noWrap/>
            <w:vAlign w:val="bottom"/>
            <w:hideMark/>
          </w:tcPr>
          <w:p w:rsidR="00007970" w:rsidRPr="00007970" w:rsidRDefault="00007970" w:rsidP="00007970">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rsidR="00007970" w:rsidRPr="00007970" w:rsidRDefault="00007970" w:rsidP="00007970">
            <w:pPr>
              <w:jc w:val="right"/>
              <w:rPr>
                <w:rFonts w:ascii="Calibri" w:hAnsi="Calibri"/>
                <w:color w:val="000000"/>
                <w:sz w:val="22"/>
                <w:szCs w:val="22"/>
              </w:rPr>
            </w:pPr>
            <w:r w:rsidRPr="00007970">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007970" w:rsidRPr="00007970" w:rsidRDefault="00007970" w:rsidP="00007970">
            <w:pPr>
              <w:jc w:val="right"/>
              <w:rPr>
                <w:rFonts w:ascii="Calibri" w:hAnsi="Calibri"/>
                <w:color w:val="000000"/>
                <w:sz w:val="22"/>
                <w:szCs w:val="22"/>
              </w:rPr>
            </w:pPr>
            <w:r w:rsidRPr="00007970">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007970" w:rsidRPr="00007970" w:rsidRDefault="00007970" w:rsidP="00007970">
            <w:pPr>
              <w:jc w:val="right"/>
              <w:rPr>
                <w:rFonts w:ascii="Calibri" w:hAnsi="Calibri"/>
                <w:color w:val="000000"/>
                <w:sz w:val="22"/>
                <w:szCs w:val="22"/>
              </w:rPr>
            </w:pPr>
            <w:r w:rsidRPr="00007970">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007970" w:rsidRPr="00007970" w:rsidRDefault="00007970" w:rsidP="00007970">
            <w:pPr>
              <w:jc w:val="right"/>
              <w:rPr>
                <w:rFonts w:ascii="Calibri" w:hAnsi="Calibri"/>
                <w:color w:val="000000"/>
                <w:sz w:val="22"/>
                <w:szCs w:val="22"/>
              </w:rPr>
            </w:pPr>
            <w:r w:rsidRPr="00007970">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007970" w:rsidRPr="00007970" w:rsidRDefault="00007970" w:rsidP="00007970">
            <w:pPr>
              <w:jc w:val="right"/>
              <w:rPr>
                <w:rFonts w:ascii="Calibri" w:hAnsi="Calibri"/>
                <w:color w:val="000000"/>
                <w:sz w:val="22"/>
                <w:szCs w:val="22"/>
              </w:rPr>
            </w:pPr>
            <w:r w:rsidRPr="00007970">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007970" w:rsidRPr="00007970" w:rsidRDefault="00007970" w:rsidP="00007970">
            <w:pPr>
              <w:jc w:val="right"/>
              <w:rPr>
                <w:rFonts w:ascii="Calibri" w:hAnsi="Calibri"/>
                <w:color w:val="000000"/>
                <w:sz w:val="22"/>
                <w:szCs w:val="22"/>
              </w:rPr>
            </w:pPr>
            <w:r w:rsidRPr="00007970">
              <w:rPr>
                <w:rFonts w:ascii="Calibri" w:hAnsi="Calibri"/>
                <w:color w:val="000000"/>
                <w:sz w:val="22"/>
                <w:szCs w:val="22"/>
              </w:rPr>
              <w:t>100.0%</w:t>
            </w:r>
          </w:p>
        </w:tc>
        <w:tc>
          <w:tcPr>
            <w:tcW w:w="940" w:type="dxa"/>
            <w:tcBorders>
              <w:top w:val="nil"/>
              <w:left w:val="nil"/>
              <w:bottom w:val="nil"/>
              <w:right w:val="nil"/>
            </w:tcBorders>
            <w:shd w:val="clear" w:color="auto" w:fill="auto"/>
            <w:noWrap/>
            <w:vAlign w:val="bottom"/>
            <w:hideMark/>
          </w:tcPr>
          <w:p w:rsidR="00007970" w:rsidRPr="00007970" w:rsidRDefault="00007970" w:rsidP="00007970">
            <w:pPr>
              <w:jc w:val="right"/>
              <w:rPr>
                <w:rFonts w:ascii="Calibri" w:hAnsi="Calibri"/>
                <w:color w:val="000000"/>
                <w:sz w:val="22"/>
                <w:szCs w:val="22"/>
              </w:rPr>
            </w:pPr>
            <w:r w:rsidRPr="00007970">
              <w:rPr>
                <w:rFonts w:ascii="Calibri" w:hAnsi="Calibri"/>
                <w:color w:val="000000"/>
                <w:sz w:val="22"/>
                <w:szCs w:val="22"/>
              </w:rPr>
              <w:t>100.0%</w:t>
            </w:r>
          </w:p>
        </w:tc>
      </w:tr>
      <w:tr w:rsidR="00007970" w:rsidRPr="00007970" w:rsidTr="00007970">
        <w:trPr>
          <w:trHeight w:val="300"/>
        </w:trPr>
        <w:tc>
          <w:tcPr>
            <w:tcW w:w="1420" w:type="dxa"/>
            <w:tcBorders>
              <w:top w:val="nil"/>
              <w:left w:val="nil"/>
              <w:bottom w:val="nil"/>
              <w:right w:val="nil"/>
            </w:tcBorders>
            <w:shd w:val="clear" w:color="000000" w:fill="D9D9D9"/>
            <w:noWrap/>
            <w:vAlign w:val="bottom"/>
            <w:hideMark/>
          </w:tcPr>
          <w:p w:rsidR="00007970" w:rsidRPr="00007970" w:rsidRDefault="00007970" w:rsidP="00007970">
            <w:pPr>
              <w:rPr>
                <w:rFonts w:ascii="Calibri" w:hAnsi="Calibri"/>
                <w:color w:val="000000"/>
                <w:sz w:val="22"/>
                <w:szCs w:val="22"/>
              </w:rPr>
            </w:pPr>
            <w:r w:rsidRPr="00007970">
              <w:rPr>
                <w:rFonts w:ascii="Calibri" w:hAnsi="Calibri"/>
                <w:color w:val="000000"/>
                <w:sz w:val="22"/>
                <w:szCs w:val="22"/>
              </w:rPr>
              <w:t>0681</w:t>
            </w:r>
          </w:p>
        </w:tc>
        <w:tc>
          <w:tcPr>
            <w:tcW w:w="3220" w:type="dxa"/>
            <w:tcBorders>
              <w:top w:val="nil"/>
              <w:left w:val="nil"/>
              <w:bottom w:val="nil"/>
              <w:right w:val="nil"/>
            </w:tcBorders>
            <w:shd w:val="clear" w:color="000000" w:fill="D9D9D9"/>
            <w:noWrap/>
            <w:vAlign w:val="bottom"/>
            <w:hideMark/>
          </w:tcPr>
          <w:p w:rsidR="00007970" w:rsidRPr="00007970" w:rsidRDefault="00007970" w:rsidP="00007970">
            <w:pPr>
              <w:rPr>
                <w:rFonts w:ascii="Calibri" w:hAnsi="Calibri"/>
                <w:color w:val="000000"/>
                <w:sz w:val="22"/>
                <w:szCs w:val="22"/>
              </w:rPr>
            </w:pPr>
            <w:r w:rsidRPr="00007970">
              <w:rPr>
                <w:rFonts w:ascii="Calibri" w:hAnsi="Calibri"/>
                <w:color w:val="000000"/>
                <w:sz w:val="22"/>
                <w:szCs w:val="22"/>
              </w:rPr>
              <w:t>Physical Therapist Assistant</w:t>
            </w:r>
          </w:p>
        </w:tc>
        <w:tc>
          <w:tcPr>
            <w:tcW w:w="1760" w:type="dxa"/>
            <w:tcBorders>
              <w:top w:val="nil"/>
              <w:left w:val="nil"/>
              <w:bottom w:val="nil"/>
              <w:right w:val="nil"/>
            </w:tcBorders>
            <w:shd w:val="clear" w:color="000000" w:fill="D9D9D9"/>
            <w:noWrap/>
            <w:vAlign w:val="bottom"/>
            <w:hideMark/>
          </w:tcPr>
          <w:p w:rsidR="00007970" w:rsidRPr="00007970" w:rsidRDefault="00007970" w:rsidP="00007970">
            <w:pPr>
              <w:rPr>
                <w:rFonts w:ascii="Calibri" w:hAnsi="Calibri"/>
                <w:color w:val="000000"/>
                <w:sz w:val="22"/>
                <w:szCs w:val="22"/>
              </w:rPr>
            </w:pPr>
            <w:r w:rsidRPr="00007970">
              <w:rPr>
                <w:rFonts w:ascii="Calibri" w:hAnsi="Calibri"/>
                <w:color w:val="000000"/>
                <w:sz w:val="22"/>
                <w:szCs w:val="22"/>
              </w:rPr>
              <w:t>PTA-2234</w:t>
            </w:r>
          </w:p>
        </w:tc>
        <w:tc>
          <w:tcPr>
            <w:tcW w:w="460" w:type="dxa"/>
            <w:tcBorders>
              <w:top w:val="nil"/>
              <w:left w:val="nil"/>
              <w:bottom w:val="nil"/>
              <w:right w:val="nil"/>
            </w:tcBorders>
            <w:shd w:val="clear" w:color="000000" w:fill="D9D9D9"/>
            <w:noWrap/>
            <w:vAlign w:val="bottom"/>
            <w:hideMark/>
          </w:tcPr>
          <w:p w:rsidR="00007970" w:rsidRPr="00007970" w:rsidRDefault="00007970" w:rsidP="00007970">
            <w:pPr>
              <w:rPr>
                <w:rFonts w:ascii="Calibri" w:hAnsi="Calibri"/>
                <w:color w:val="000000"/>
                <w:sz w:val="22"/>
                <w:szCs w:val="22"/>
              </w:rPr>
            </w:pPr>
            <w:r w:rsidRPr="00007970">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007970" w:rsidRPr="00007970" w:rsidRDefault="00007970" w:rsidP="00007970">
            <w:pPr>
              <w:jc w:val="right"/>
              <w:rPr>
                <w:rFonts w:ascii="Calibri" w:hAnsi="Calibri"/>
                <w:color w:val="000000"/>
                <w:sz w:val="22"/>
                <w:szCs w:val="22"/>
              </w:rPr>
            </w:pPr>
            <w:r w:rsidRPr="00007970">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007970" w:rsidRPr="00007970" w:rsidRDefault="00007970" w:rsidP="00007970">
            <w:pPr>
              <w:jc w:val="right"/>
              <w:rPr>
                <w:rFonts w:ascii="Calibri" w:hAnsi="Calibri"/>
                <w:color w:val="000000"/>
                <w:sz w:val="22"/>
                <w:szCs w:val="22"/>
              </w:rPr>
            </w:pPr>
            <w:r w:rsidRPr="00007970">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007970" w:rsidRPr="00007970" w:rsidRDefault="00007970" w:rsidP="00007970">
            <w:pPr>
              <w:jc w:val="right"/>
              <w:rPr>
                <w:rFonts w:ascii="Calibri" w:hAnsi="Calibri"/>
                <w:color w:val="000000"/>
                <w:sz w:val="22"/>
                <w:szCs w:val="22"/>
              </w:rPr>
            </w:pPr>
            <w:r w:rsidRPr="00007970">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007970" w:rsidRPr="00007970" w:rsidRDefault="00007970" w:rsidP="00007970">
            <w:pPr>
              <w:jc w:val="right"/>
              <w:rPr>
                <w:rFonts w:ascii="Calibri" w:hAnsi="Calibri"/>
                <w:color w:val="000000"/>
                <w:sz w:val="22"/>
                <w:szCs w:val="22"/>
              </w:rPr>
            </w:pPr>
            <w:r w:rsidRPr="00007970">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007970" w:rsidRPr="00007970" w:rsidRDefault="00007970" w:rsidP="00007970">
            <w:pPr>
              <w:jc w:val="right"/>
              <w:rPr>
                <w:rFonts w:ascii="Calibri" w:hAnsi="Calibri"/>
                <w:color w:val="000000"/>
                <w:sz w:val="22"/>
                <w:szCs w:val="22"/>
              </w:rPr>
            </w:pPr>
            <w:r w:rsidRPr="00007970">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007970" w:rsidRPr="00007970" w:rsidRDefault="00007970" w:rsidP="00007970">
            <w:pPr>
              <w:jc w:val="right"/>
              <w:rPr>
                <w:rFonts w:ascii="Calibri" w:hAnsi="Calibri"/>
                <w:color w:val="000000"/>
                <w:sz w:val="22"/>
                <w:szCs w:val="22"/>
              </w:rPr>
            </w:pPr>
            <w:r w:rsidRPr="00007970">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rsidR="00007970" w:rsidRPr="00007970" w:rsidRDefault="00007970" w:rsidP="00007970">
            <w:pPr>
              <w:jc w:val="right"/>
              <w:rPr>
                <w:rFonts w:ascii="Calibri" w:hAnsi="Calibri"/>
                <w:color w:val="000000"/>
                <w:sz w:val="22"/>
                <w:szCs w:val="22"/>
              </w:rPr>
            </w:pPr>
            <w:r w:rsidRPr="00007970">
              <w:rPr>
                <w:rFonts w:ascii="Calibri" w:hAnsi="Calibri"/>
                <w:color w:val="000000"/>
                <w:sz w:val="22"/>
                <w:szCs w:val="22"/>
              </w:rPr>
              <w:t>100.0%</w:t>
            </w:r>
          </w:p>
        </w:tc>
      </w:tr>
      <w:tr w:rsidR="00007970" w:rsidRPr="00007970" w:rsidTr="00007970">
        <w:trPr>
          <w:trHeight w:val="300"/>
        </w:trPr>
        <w:tc>
          <w:tcPr>
            <w:tcW w:w="1420" w:type="dxa"/>
            <w:tcBorders>
              <w:top w:val="nil"/>
              <w:left w:val="nil"/>
              <w:bottom w:val="nil"/>
              <w:right w:val="nil"/>
            </w:tcBorders>
            <w:shd w:val="clear" w:color="auto" w:fill="auto"/>
            <w:noWrap/>
            <w:vAlign w:val="bottom"/>
            <w:hideMark/>
          </w:tcPr>
          <w:p w:rsidR="00007970" w:rsidRPr="00007970" w:rsidRDefault="00007970" w:rsidP="00007970">
            <w:pPr>
              <w:rPr>
                <w:rFonts w:ascii="Calibri" w:hAnsi="Calibri"/>
                <w:color w:val="000000"/>
                <w:sz w:val="22"/>
                <w:szCs w:val="22"/>
              </w:rPr>
            </w:pPr>
            <w:r w:rsidRPr="00007970">
              <w:rPr>
                <w:rFonts w:ascii="Calibri" w:hAnsi="Calibri"/>
                <w:color w:val="000000"/>
                <w:sz w:val="22"/>
                <w:szCs w:val="22"/>
              </w:rPr>
              <w:t>0681</w:t>
            </w:r>
          </w:p>
        </w:tc>
        <w:tc>
          <w:tcPr>
            <w:tcW w:w="3220" w:type="dxa"/>
            <w:tcBorders>
              <w:top w:val="nil"/>
              <w:left w:val="nil"/>
              <w:bottom w:val="nil"/>
              <w:right w:val="nil"/>
            </w:tcBorders>
            <w:shd w:val="clear" w:color="auto" w:fill="auto"/>
            <w:noWrap/>
            <w:vAlign w:val="bottom"/>
            <w:hideMark/>
          </w:tcPr>
          <w:p w:rsidR="00007970" w:rsidRPr="00007970" w:rsidRDefault="00007970" w:rsidP="00007970">
            <w:pPr>
              <w:rPr>
                <w:rFonts w:ascii="Calibri" w:hAnsi="Calibri"/>
                <w:color w:val="000000"/>
                <w:sz w:val="22"/>
                <w:szCs w:val="22"/>
              </w:rPr>
            </w:pPr>
            <w:r w:rsidRPr="00007970">
              <w:rPr>
                <w:rFonts w:ascii="Calibri" w:hAnsi="Calibri"/>
                <w:color w:val="000000"/>
                <w:sz w:val="22"/>
                <w:szCs w:val="22"/>
              </w:rPr>
              <w:t>Physical Therapist Assistant</w:t>
            </w:r>
          </w:p>
        </w:tc>
        <w:tc>
          <w:tcPr>
            <w:tcW w:w="1760" w:type="dxa"/>
            <w:tcBorders>
              <w:top w:val="nil"/>
              <w:left w:val="nil"/>
              <w:bottom w:val="nil"/>
              <w:right w:val="nil"/>
            </w:tcBorders>
            <w:shd w:val="clear" w:color="auto" w:fill="auto"/>
            <w:noWrap/>
            <w:vAlign w:val="bottom"/>
            <w:hideMark/>
          </w:tcPr>
          <w:p w:rsidR="00007970" w:rsidRPr="00007970" w:rsidRDefault="00007970" w:rsidP="00007970">
            <w:pPr>
              <w:rPr>
                <w:rFonts w:ascii="Calibri" w:hAnsi="Calibri"/>
                <w:color w:val="000000"/>
                <w:sz w:val="22"/>
                <w:szCs w:val="22"/>
              </w:rPr>
            </w:pPr>
            <w:r w:rsidRPr="00007970">
              <w:rPr>
                <w:rFonts w:ascii="Calibri" w:hAnsi="Calibri"/>
                <w:color w:val="000000"/>
                <w:sz w:val="22"/>
                <w:szCs w:val="22"/>
              </w:rPr>
              <w:t>PTA-2238</w:t>
            </w:r>
          </w:p>
        </w:tc>
        <w:tc>
          <w:tcPr>
            <w:tcW w:w="460" w:type="dxa"/>
            <w:tcBorders>
              <w:top w:val="nil"/>
              <w:left w:val="nil"/>
              <w:bottom w:val="nil"/>
              <w:right w:val="nil"/>
            </w:tcBorders>
            <w:shd w:val="clear" w:color="auto" w:fill="auto"/>
            <w:noWrap/>
            <w:vAlign w:val="bottom"/>
            <w:hideMark/>
          </w:tcPr>
          <w:p w:rsidR="00007970" w:rsidRPr="00007970" w:rsidRDefault="00007970" w:rsidP="00007970">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rsidR="00007970" w:rsidRPr="00007970" w:rsidRDefault="00007970" w:rsidP="00007970">
            <w:pPr>
              <w:jc w:val="right"/>
              <w:rPr>
                <w:rFonts w:ascii="Calibri" w:hAnsi="Calibri"/>
                <w:color w:val="000000"/>
                <w:sz w:val="22"/>
                <w:szCs w:val="22"/>
              </w:rPr>
            </w:pPr>
            <w:r w:rsidRPr="00007970">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007970" w:rsidRPr="00007970" w:rsidRDefault="00007970" w:rsidP="00007970">
            <w:pPr>
              <w:jc w:val="right"/>
              <w:rPr>
                <w:rFonts w:ascii="Calibri" w:hAnsi="Calibri"/>
                <w:color w:val="000000"/>
                <w:sz w:val="22"/>
                <w:szCs w:val="22"/>
              </w:rPr>
            </w:pPr>
            <w:r w:rsidRPr="00007970">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007970" w:rsidRPr="00007970" w:rsidRDefault="00007970" w:rsidP="00007970">
            <w:pPr>
              <w:jc w:val="right"/>
              <w:rPr>
                <w:rFonts w:ascii="Calibri" w:hAnsi="Calibri"/>
                <w:color w:val="000000"/>
                <w:sz w:val="22"/>
                <w:szCs w:val="22"/>
              </w:rPr>
            </w:pPr>
            <w:r w:rsidRPr="00007970">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007970" w:rsidRPr="00007970" w:rsidRDefault="00007970" w:rsidP="00007970">
            <w:pPr>
              <w:jc w:val="right"/>
              <w:rPr>
                <w:rFonts w:ascii="Calibri" w:hAnsi="Calibri"/>
                <w:color w:val="000000"/>
                <w:sz w:val="22"/>
                <w:szCs w:val="22"/>
              </w:rPr>
            </w:pPr>
            <w:r w:rsidRPr="00007970">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007970" w:rsidRPr="00007970" w:rsidRDefault="00007970" w:rsidP="00007970">
            <w:pPr>
              <w:jc w:val="right"/>
              <w:rPr>
                <w:rFonts w:ascii="Calibri" w:hAnsi="Calibri"/>
                <w:color w:val="000000"/>
                <w:sz w:val="22"/>
                <w:szCs w:val="22"/>
              </w:rPr>
            </w:pPr>
            <w:r w:rsidRPr="00007970">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007970" w:rsidRPr="00007970" w:rsidRDefault="00007970" w:rsidP="00007970">
            <w:pPr>
              <w:jc w:val="right"/>
              <w:rPr>
                <w:rFonts w:ascii="Calibri" w:hAnsi="Calibri"/>
                <w:color w:val="000000"/>
                <w:sz w:val="22"/>
                <w:szCs w:val="22"/>
              </w:rPr>
            </w:pPr>
            <w:r w:rsidRPr="00007970">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007970" w:rsidRPr="00007970" w:rsidRDefault="00007970" w:rsidP="00007970">
            <w:pPr>
              <w:jc w:val="right"/>
              <w:rPr>
                <w:rFonts w:ascii="Calibri" w:hAnsi="Calibri"/>
                <w:color w:val="000000"/>
                <w:sz w:val="22"/>
                <w:szCs w:val="22"/>
              </w:rPr>
            </w:pPr>
            <w:r w:rsidRPr="00007970">
              <w:rPr>
                <w:rFonts w:ascii="Calibri" w:hAnsi="Calibri"/>
                <w:color w:val="000000"/>
                <w:sz w:val="22"/>
                <w:szCs w:val="22"/>
              </w:rPr>
              <w:t>100.0%</w:t>
            </w:r>
          </w:p>
        </w:tc>
      </w:tr>
      <w:tr w:rsidR="00007970" w:rsidRPr="00007970" w:rsidTr="00007970">
        <w:trPr>
          <w:trHeight w:val="300"/>
        </w:trPr>
        <w:tc>
          <w:tcPr>
            <w:tcW w:w="1420" w:type="dxa"/>
            <w:tcBorders>
              <w:top w:val="nil"/>
              <w:left w:val="nil"/>
              <w:bottom w:val="nil"/>
              <w:right w:val="nil"/>
            </w:tcBorders>
            <w:shd w:val="clear" w:color="000000" w:fill="D9D9D9"/>
            <w:noWrap/>
            <w:vAlign w:val="bottom"/>
            <w:hideMark/>
          </w:tcPr>
          <w:p w:rsidR="00007970" w:rsidRPr="00007970" w:rsidRDefault="00007970" w:rsidP="00007970">
            <w:pPr>
              <w:rPr>
                <w:rFonts w:ascii="Calibri" w:hAnsi="Calibri"/>
                <w:color w:val="000000"/>
                <w:sz w:val="22"/>
                <w:szCs w:val="22"/>
              </w:rPr>
            </w:pPr>
            <w:r w:rsidRPr="00007970">
              <w:rPr>
                <w:rFonts w:ascii="Calibri" w:hAnsi="Calibri"/>
                <w:color w:val="000000"/>
                <w:sz w:val="22"/>
                <w:szCs w:val="22"/>
              </w:rPr>
              <w:t>0681</w:t>
            </w:r>
          </w:p>
        </w:tc>
        <w:tc>
          <w:tcPr>
            <w:tcW w:w="3220" w:type="dxa"/>
            <w:tcBorders>
              <w:top w:val="nil"/>
              <w:left w:val="nil"/>
              <w:bottom w:val="nil"/>
              <w:right w:val="nil"/>
            </w:tcBorders>
            <w:shd w:val="clear" w:color="000000" w:fill="D9D9D9"/>
            <w:noWrap/>
            <w:vAlign w:val="bottom"/>
            <w:hideMark/>
          </w:tcPr>
          <w:p w:rsidR="00007970" w:rsidRPr="00007970" w:rsidRDefault="00007970" w:rsidP="00007970">
            <w:pPr>
              <w:rPr>
                <w:rFonts w:ascii="Calibri" w:hAnsi="Calibri"/>
                <w:color w:val="000000"/>
                <w:sz w:val="22"/>
                <w:szCs w:val="22"/>
              </w:rPr>
            </w:pPr>
            <w:r w:rsidRPr="00007970">
              <w:rPr>
                <w:rFonts w:ascii="Calibri" w:hAnsi="Calibri"/>
                <w:color w:val="000000"/>
                <w:sz w:val="22"/>
                <w:szCs w:val="22"/>
              </w:rPr>
              <w:t>Physical Therapist Assistant</w:t>
            </w:r>
          </w:p>
        </w:tc>
        <w:tc>
          <w:tcPr>
            <w:tcW w:w="1760" w:type="dxa"/>
            <w:tcBorders>
              <w:top w:val="nil"/>
              <w:left w:val="nil"/>
              <w:bottom w:val="nil"/>
              <w:right w:val="nil"/>
            </w:tcBorders>
            <w:shd w:val="clear" w:color="000000" w:fill="D9D9D9"/>
            <w:noWrap/>
            <w:vAlign w:val="bottom"/>
            <w:hideMark/>
          </w:tcPr>
          <w:p w:rsidR="00007970" w:rsidRPr="00007970" w:rsidRDefault="00007970" w:rsidP="00007970">
            <w:pPr>
              <w:rPr>
                <w:rFonts w:ascii="Calibri" w:hAnsi="Calibri"/>
                <w:color w:val="000000"/>
                <w:sz w:val="22"/>
                <w:szCs w:val="22"/>
              </w:rPr>
            </w:pPr>
            <w:r w:rsidRPr="00007970">
              <w:rPr>
                <w:rFonts w:ascii="Calibri" w:hAnsi="Calibri"/>
                <w:color w:val="000000"/>
                <w:sz w:val="22"/>
                <w:szCs w:val="22"/>
              </w:rPr>
              <w:t>PTA-226</w:t>
            </w:r>
          </w:p>
        </w:tc>
        <w:tc>
          <w:tcPr>
            <w:tcW w:w="460" w:type="dxa"/>
            <w:tcBorders>
              <w:top w:val="nil"/>
              <w:left w:val="nil"/>
              <w:bottom w:val="nil"/>
              <w:right w:val="nil"/>
            </w:tcBorders>
            <w:shd w:val="clear" w:color="000000" w:fill="D9D9D9"/>
            <w:noWrap/>
            <w:vAlign w:val="bottom"/>
            <w:hideMark/>
          </w:tcPr>
          <w:p w:rsidR="00007970" w:rsidRPr="00007970" w:rsidRDefault="00007970" w:rsidP="00007970">
            <w:pPr>
              <w:rPr>
                <w:rFonts w:ascii="Calibri" w:hAnsi="Calibri"/>
                <w:color w:val="000000"/>
                <w:sz w:val="22"/>
                <w:szCs w:val="22"/>
              </w:rPr>
            </w:pPr>
            <w:r w:rsidRPr="00007970">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007970" w:rsidRPr="00007970" w:rsidRDefault="00007970" w:rsidP="00007970">
            <w:pPr>
              <w:jc w:val="right"/>
              <w:rPr>
                <w:rFonts w:ascii="Calibri" w:hAnsi="Calibri"/>
                <w:color w:val="000000"/>
                <w:sz w:val="22"/>
                <w:szCs w:val="22"/>
              </w:rPr>
            </w:pPr>
            <w:r w:rsidRPr="00007970">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rsidR="00007970" w:rsidRPr="00007970" w:rsidRDefault="00007970" w:rsidP="00007970">
            <w:pPr>
              <w:jc w:val="right"/>
              <w:rPr>
                <w:rFonts w:ascii="Calibri" w:hAnsi="Calibri"/>
                <w:color w:val="000000"/>
                <w:sz w:val="22"/>
                <w:szCs w:val="22"/>
              </w:rPr>
            </w:pPr>
            <w:r w:rsidRPr="00007970">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rsidR="00007970" w:rsidRPr="00007970" w:rsidRDefault="00007970" w:rsidP="00007970">
            <w:pPr>
              <w:jc w:val="right"/>
              <w:rPr>
                <w:rFonts w:ascii="Calibri" w:hAnsi="Calibri"/>
                <w:color w:val="000000"/>
                <w:sz w:val="22"/>
                <w:szCs w:val="22"/>
              </w:rPr>
            </w:pPr>
            <w:r w:rsidRPr="00007970">
              <w:rPr>
                <w:rFonts w:ascii="Calibri" w:hAnsi="Calibri"/>
                <w:color w:val="000000"/>
                <w:sz w:val="22"/>
                <w:szCs w:val="22"/>
              </w:rPr>
              <w:t>96.3%</w:t>
            </w:r>
          </w:p>
        </w:tc>
        <w:tc>
          <w:tcPr>
            <w:tcW w:w="940" w:type="dxa"/>
            <w:tcBorders>
              <w:top w:val="nil"/>
              <w:left w:val="nil"/>
              <w:bottom w:val="nil"/>
              <w:right w:val="nil"/>
            </w:tcBorders>
            <w:shd w:val="clear" w:color="000000" w:fill="D9D9D9"/>
            <w:noWrap/>
            <w:vAlign w:val="bottom"/>
            <w:hideMark/>
          </w:tcPr>
          <w:p w:rsidR="00007970" w:rsidRPr="00007970" w:rsidRDefault="00007970" w:rsidP="00007970">
            <w:pPr>
              <w:jc w:val="right"/>
              <w:rPr>
                <w:rFonts w:ascii="Calibri" w:hAnsi="Calibri"/>
                <w:color w:val="000000"/>
                <w:sz w:val="22"/>
                <w:szCs w:val="22"/>
              </w:rPr>
            </w:pPr>
            <w:r w:rsidRPr="00007970">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rsidR="00007970" w:rsidRPr="00007970" w:rsidRDefault="00007970" w:rsidP="00007970">
            <w:pPr>
              <w:jc w:val="right"/>
              <w:rPr>
                <w:rFonts w:ascii="Calibri" w:hAnsi="Calibri"/>
                <w:color w:val="000000"/>
                <w:sz w:val="22"/>
                <w:szCs w:val="22"/>
              </w:rPr>
            </w:pPr>
            <w:r w:rsidRPr="00007970">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rsidR="00007970" w:rsidRPr="00007970" w:rsidRDefault="00007970" w:rsidP="00007970">
            <w:pPr>
              <w:jc w:val="right"/>
              <w:rPr>
                <w:rFonts w:ascii="Calibri" w:hAnsi="Calibri"/>
                <w:color w:val="000000"/>
                <w:sz w:val="22"/>
                <w:szCs w:val="22"/>
              </w:rPr>
            </w:pPr>
            <w:r w:rsidRPr="00007970">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007970" w:rsidRPr="00007970" w:rsidRDefault="00007970" w:rsidP="00007970">
            <w:pPr>
              <w:jc w:val="right"/>
              <w:rPr>
                <w:rFonts w:ascii="Calibri" w:hAnsi="Calibri"/>
                <w:color w:val="000000"/>
                <w:sz w:val="22"/>
                <w:szCs w:val="22"/>
              </w:rPr>
            </w:pPr>
            <w:r w:rsidRPr="00007970">
              <w:rPr>
                <w:rFonts w:ascii="Calibri" w:hAnsi="Calibri"/>
                <w:color w:val="000000"/>
                <w:sz w:val="22"/>
                <w:szCs w:val="22"/>
              </w:rPr>
              <w:t>.</w:t>
            </w:r>
          </w:p>
        </w:tc>
      </w:tr>
      <w:tr w:rsidR="00007970" w:rsidRPr="00007970" w:rsidTr="00007970">
        <w:trPr>
          <w:trHeight w:val="300"/>
        </w:trPr>
        <w:tc>
          <w:tcPr>
            <w:tcW w:w="1420" w:type="dxa"/>
            <w:tcBorders>
              <w:top w:val="nil"/>
              <w:left w:val="nil"/>
              <w:bottom w:val="nil"/>
              <w:right w:val="nil"/>
            </w:tcBorders>
            <w:shd w:val="clear" w:color="auto" w:fill="auto"/>
            <w:noWrap/>
            <w:vAlign w:val="bottom"/>
            <w:hideMark/>
          </w:tcPr>
          <w:p w:rsidR="00007970" w:rsidRPr="00007970" w:rsidRDefault="00007970" w:rsidP="00007970">
            <w:pPr>
              <w:rPr>
                <w:rFonts w:ascii="Calibri" w:hAnsi="Calibri"/>
                <w:color w:val="000000"/>
                <w:sz w:val="22"/>
                <w:szCs w:val="22"/>
              </w:rPr>
            </w:pPr>
            <w:r w:rsidRPr="00007970">
              <w:rPr>
                <w:rFonts w:ascii="Calibri" w:hAnsi="Calibri"/>
                <w:color w:val="000000"/>
                <w:sz w:val="22"/>
                <w:szCs w:val="22"/>
              </w:rPr>
              <w:t>0681</w:t>
            </w:r>
          </w:p>
        </w:tc>
        <w:tc>
          <w:tcPr>
            <w:tcW w:w="3220" w:type="dxa"/>
            <w:tcBorders>
              <w:top w:val="nil"/>
              <w:left w:val="nil"/>
              <w:bottom w:val="nil"/>
              <w:right w:val="nil"/>
            </w:tcBorders>
            <w:shd w:val="clear" w:color="auto" w:fill="auto"/>
            <w:noWrap/>
            <w:vAlign w:val="bottom"/>
            <w:hideMark/>
          </w:tcPr>
          <w:p w:rsidR="00007970" w:rsidRPr="00007970" w:rsidRDefault="00007970" w:rsidP="00007970">
            <w:pPr>
              <w:rPr>
                <w:rFonts w:ascii="Calibri" w:hAnsi="Calibri"/>
                <w:color w:val="000000"/>
                <w:sz w:val="22"/>
                <w:szCs w:val="22"/>
              </w:rPr>
            </w:pPr>
            <w:r w:rsidRPr="00007970">
              <w:rPr>
                <w:rFonts w:ascii="Calibri" w:hAnsi="Calibri"/>
                <w:color w:val="000000"/>
                <w:sz w:val="22"/>
                <w:szCs w:val="22"/>
              </w:rPr>
              <w:t>Physical Therapist Assistant</w:t>
            </w:r>
          </w:p>
        </w:tc>
        <w:tc>
          <w:tcPr>
            <w:tcW w:w="1760" w:type="dxa"/>
            <w:tcBorders>
              <w:top w:val="nil"/>
              <w:left w:val="nil"/>
              <w:bottom w:val="nil"/>
              <w:right w:val="nil"/>
            </w:tcBorders>
            <w:shd w:val="clear" w:color="auto" w:fill="auto"/>
            <w:noWrap/>
            <w:vAlign w:val="bottom"/>
            <w:hideMark/>
          </w:tcPr>
          <w:p w:rsidR="00007970" w:rsidRPr="00007970" w:rsidRDefault="00007970" w:rsidP="00007970">
            <w:pPr>
              <w:rPr>
                <w:rFonts w:ascii="Calibri" w:hAnsi="Calibri"/>
                <w:color w:val="000000"/>
                <w:sz w:val="22"/>
                <w:szCs w:val="22"/>
              </w:rPr>
            </w:pPr>
            <w:r w:rsidRPr="00007970">
              <w:rPr>
                <w:rFonts w:ascii="Calibri" w:hAnsi="Calibri"/>
                <w:color w:val="000000"/>
                <w:sz w:val="22"/>
                <w:szCs w:val="22"/>
              </w:rPr>
              <w:t>PTA-228</w:t>
            </w:r>
          </w:p>
        </w:tc>
        <w:tc>
          <w:tcPr>
            <w:tcW w:w="460" w:type="dxa"/>
            <w:tcBorders>
              <w:top w:val="nil"/>
              <w:left w:val="nil"/>
              <w:bottom w:val="nil"/>
              <w:right w:val="nil"/>
            </w:tcBorders>
            <w:shd w:val="clear" w:color="auto" w:fill="auto"/>
            <w:noWrap/>
            <w:vAlign w:val="bottom"/>
            <w:hideMark/>
          </w:tcPr>
          <w:p w:rsidR="00007970" w:rsidRPr="00007970" w:rsidRDefault="00007970" w:rsidP="00007970">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rsidR="00007970" w:rsidRPr="00007970" w:rsidRDefault="00007970" w:rsidP="00007970">
            <w:pPr>
              <w:jc w:val="right"/>
              <w:rPr>
                <w:rFonts w:ascii="Calibri" w:hAnsi="Calibri"/>
                <w:color w:val="000000"/>
                <w:sz w:val="22"/>
                <w:szCs w:val="22"/>
              </w:rPr>
            </w:pPr>
            <w:r w:rsidRPr="00007970">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007970" w:rsidRPr="00007970" w:rsidRDefault="00007970" w:rsidP="00007970">
            <w:pPr>
              <w:jc w:val="right"/>
              <w:rPr>
                <w:rFonts w:ascii="Calibri" w:hAnsi="Calibri"/>
                <w:color w:val="000000"/>
                <w:sz w:val="22"/>
                <w:szCs w:val="22"/>
              </w:rPr>
            </w:pPr>
            <w:r w:rsidRPr="00007970">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007970" w:rsidRPr="00007970" w:rsidRDefault="00007970" w:rsidP="00007970">
            <w:pPr>
              <w:jc w:val="right"/>
              <w:rPr>
                <w:rFonts w:ascii="Calibri" w:hAnsi="Calibri"/>
                <w:color w:val="000000"/>
                <w:sz w:val="22"/>
                <w:szCs w:val="22"/>
              </w:rPr>
            </w:pPr>
            <w:r w:rsidRPr="00007970">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007970" w:rsidRPr="00007970" w:rsidRDefault="00007970" w:rsidP="00007970">
            <w:pPr>
              <w:jc w:val="right"/>
              <w:rPr>
                <w:rFonts w:ascii="Calibri" w:hAnsi="Calibri"/>
                <w:color w:val="000000"/>
                <w:sz w:val="22"/>
                <w:szCs w:val="22"/>
              </w:rPr>
            </w:pPr>
            <w:r w:rsidRPr="00007970">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007970" w:rsidRPr="00007970" w:rsidRDefault="00007970" w:rsidP="00007970">
            <w:pPr>
              <w:jc w:val="right"/>
              <w:rPr>
                <w:rFonts w:ascii="Calibri" w:hAnsi="Calibri"/>
                <w:color w:val="000000"/>
                <w:sz w:val="22"/>
                <w:szCs w:val="22"/>
              </w:rPr>
            </w:pPr>
            <w:r w:rsidRPr="00007970">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007970" w:rsidRPr="00007970" w:rsidRDefault="00007970" w:rsidP="00007970">
            <w:pPr>
              <w:jc w:val="right"/>
              <w:rPr>
                <w:rFonts w:ascii="Calibri" w:hAnsi="Calibri"/>
                <w:color w:val="000000"/>
                <w:sz w:val="22"/>
                <w:szCs w:val="22"/>
              </w:rPr>
            </w:pPr>
            <w:r w:rsidRPr="00007970">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007970" w:rsidRPr="00007970" w:rsidRDefault="00007970" w:rsidP="00007970">
            <w:pPr>
              <w:jc w:val="right"/>
              <w:rPr>
                <w:rFonts w:ascii="Calibri" w:hAnsi="Calibri"/>
                <w:color w:val="000000"/>
                <w:sz w:val="22"/>
                <w:szCs w:val="22"/>
              </w:rPr>
            </w:pPr>
            <w:r w:rsidRPr="00007970">
              <w:rPr>
                <w:rFonts w:ascii="Calibri" w:hAnsi="Calibri"/>
                <w:color w:val="000000"/>
                <w:sz w:val="22"/>
                <w:szCs w:val="22"/>
              </w:rPr>
              <w:t>.</w:t>
            </w:r>
          </w:p>
        </w:tc>
      </w:tr>
      <w:tr w:rsidR="00007970" w:rsidRPr="00007970" w:rsidTr="00007970">
        <w:trPr>
          <w:trHeight w:val="300"/>
        </w:trPr>
        <w:tc>
          <w:tcPr>
            <w:tcW w:w="1420" w:type="dxa"/>
            <w:tcBorders>
              <w:top w:val="nil"/>
              <w:left w:val="nil"/>
              <w:bottom w:val="nil"/>
              <w:right w:val="nil"/>
            </w:tcBorders>
            <w:shd w:val="clear" w:color="000000" w:fill="D9D9D9"/>
            <w:noWrap/>
            <w:vAlign w:val="bottom"/>
            <w:hideMark/>
          </w:tcPr>
          <w:p w:rsidR="00007970" w:rsidRPr="00007970" w:rsidRDefault="00007970" w:rsidP="00007970">
            <w:pPr>
              <w:rPr>
                <w:rFonts w:ascii="Calibri" w:hAnsi="Calibri"/>
                <w:color w:val="000000"/>
                <w:sz w:val="22"/>
                <w:szCs w:val="22"/>
              </w:rPr>
            </w:pPr>
            <w:r w:rsidRPr="00007970">
              <w:rPr>
                <w:rFonts w:ascii="Calibri" w:hAnsi="Calibri"/>
                <w:color w:val="000000"/>
                <w:sz w:val="22"/>
                <w:szCs w:val="22"/>
              </w:rPr>
              <w:t>0681</w:t>
            </w:r>
          </w:p>
        </w:tc>
        <w:tc>
          <w:tcPr>
            <w:tcW w:w="3220" w:type="dxa"/>
            <w:tcBorders>
              <w:top w:val="nil"/>
              <w:left w:val="nil"/>
              <w:bottom w:val="nil"/>
              <w:right w:val="nil"/>
            </w:tcBorders>
            <w:shd w:val="clear" w:color="000000" w:fill="D9D9D9"/>
            <w:noWrap/>
            <w:vAlign w:val="bottom"/>
            <w:hideMark/>
          </w:tcPr>
          <w:p w:rsidR="00007970" w:rsidRPr="00007970" w:rsidRDefault="00007970" w:rsidP="00007970">
            <w:pPr>
              <w:rPr>
                <w:rFonts w:ascii="Calibri" w:hAnsi="Calibri"/>
                <w:color w:val="000000"/>
                <w:sz w:val="22"/>
                <w:szCs w:val="22"/>
              </w:rPr>
            </w:pPr>
            <w:r w:rsidRPr="00007970">
              <w:rPr>
                <w:rFonts w:ascii="Calibri" w:hAnsi="Calibri"/>
                <w:color w:val="000000"/>
                <w:sz w:val="22"/>
                <w:szCs w:val="22"/>
              </w:rPr>
              <w:t>Physical Therapist Assistant</w:t>
            </w:r>
          </w:p>
        </w:tc>
        <w:tc>
          <w:tcPr>
            <w:tcW w:w="1760" w:type="dxa"/>
            <w:tcBorders>
              <w:top w:val="nil"/>
              <w:left w:val="nil"/>
              <w:bottom w:val="nil"/>
              <w:right w:val="nil"/>
            </w:tcBorders>
            <w:shd w:val="clear" w:color="000000" w:fill="D9D9D9"/>
            <w:noWrap/>
            <w:vAlign w:val="bottom"/>
            <w:hideMark/>
          </w:tcPr>
          <w:p w:rsidR="00007970" w:rsidRPr="00007970" w:rsidRDefault="00007970" w:rsidP="00007970">
            <w:pPr>
              <w:rPr>
                <w:rFonts w:ascii="Calibri" w:hAnsi="Calibri"/>
                <w:color w:val="000000"/>
                <w:sz w:val="22"/>
                <w:szCs w:val="22"/>
              </w:rPr>
            </w:pPr>
            <w:r w:rsidRPr="00007970">
              <w:rPr>
                <w:rFonts w:ascii="Calibri" w:hAnsi="Calibri"/>
                <w:color w:val="000000"/>
                <w:sz w:val="22"/>
                <w:szCs w:val="22"/>
              </w:rPr>
              <w:t>PTA-230</w:t>
            </w:r>
          </w:p>
        </w:tc>
        <w:tc>
          <w:tcPr>
            <w:tcW w:w="460" w:type="dxa"/>
            <w:tcBorders>
              <w:top w:val="nil"/>
              <w:left w:val="nil"/>
              <w:bottom w:val="nil"/>
              <w:right w:val="nil"/>
            </w:tcBorders>
            <w:shd w:val="clear" w:color="000000" w:fill="D9D9D9"/>
            <w:noWrap/>
            <w:vAlign w:val="bottom"/>
            <w:hideMark/>
          </w:tcPr>
          <w:p w:rsidR="00007970" w:rsidRPr="00007970" w:rsidRDefault="00007970" w:rsidP="00007970">
            <w:pPr>
              <w:rPr>
                <w:rFonts w:ascii="Calibri" w:hAnsi="Calibri"/>
                <w:color w:val="000000"/>
                <w:sz w:val="22"/>
                <w:szCs w:val="22"/>
              </w:rPr>
            </w:pPr>
            <w:r w:rsidRPr="00007970">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007970" w:rsidRPr="00007970" w:rsidRDefault="00007970" w:rsidP="00007970">
            <w:pPr>
              <w:jc w:val="right"/>
              <w:rPr>
                <w:rFonts w:ascii="Calibri" w:hAnsi="Calibri"/>
                <w:color w:val="000000"/>
                <w:sz w:val="22"/>
                <w:szCs w:val="22"/>
              </w:rPr>
            </w:pPr>
            <w:r w:rsidRPr="00007970">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rsidR="00007970" w:rsidRPr="00007970" w:rsidRDefault="00007970" w:rsidP="00007970">
            <w:pPr>
              <w:jc w:val="right"/>
              <w:rPr>
                <w:rFonts w:ascii="Calibri" w:hAnsi="Calibri"/>
                <w:color w:val="000000"/>
                <w:sz w:val="22"/>
                <w:szCs w:val="22"/>
              </w:rPr>
            </w:pPr>
            <w:r w:rsidRPr="00007970">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rsidR="00007970" w:rsidRPr="00007970" w:rsidRDefault="00007970" w:rsidP="00007970">
            <w:pPr>
              <w:jc w:val="right"/>
              <w:rPr>
                <w:rFonts w:ascii="Calibri" w:hAnsi="Calibri"/>
                <w:color w:val="000000"/>
                <w:sz w:val="22"/>
                <w:szCs w:val="22"/>
              </w:rPr>
            </w:pPr>
            <w:r w:rsidRPr="00007970">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rsidR="00007970" w:rsidRPr="00007970" w:rsidRDefault="00007970" w:rsidP="00007970">
            <w:pPr>
              <w:jc w:val="right"/>
              <w:rPr>
                <w:rFonts w:ascii="Calibri" w:hAnsi="Calibri"/>
                <w:color w:val="000000"/>
                <w:sz w:val="22"/>
                <w:szCs w:val="22"/>
              </w:rPr>
            </w:pPr>
            <w:r w:rsidRPr="00007970">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rsidR="00007970" w:rsidRPr="00007970" w:rsidRDefault="00007970" w:rsidP="00007970">
            <w:pPr>
              <w:jc w:val="right"/>
              <w:rPr>
                <w:rFonts w:ascii="Calibri" w:hAnsi="Calibri"/>
                <w:color w:val="000000"/>
                <w:sz w:val="22"/>
                <w:szCs w:val="22"/>
              </w:rPr>
            </w:pPr>
            <w:r w:rsidRPr="00007970">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rsidR="00007970" w:rsidRPr="00007970" w:rsidRDefault="00007970" w:rsidP="00007970">
            <w:pPr>
              <w:jc w:val="right"/>
              <w:rPr>
                <w:rFonts w:ascii="Calibri" w:hAnsi="Calibri"/>
                <w:color w:val="000000"/>
                <w:sz w:val="22"/>
                <w:szCs w:val="22"/>
              </w:rPr>
            </w:pPr>
            <w:r w:rsidRPr="00007970">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007970" w:rsidRPr="00007970" w:rsidRDefault="00007970" w:rsidP="00007970">
            <w:pPr>
              <w:jc w:val="right"/>
              <w:rPr>
                <w:rFonts w:ascii="Calibri" w:hAnsi="Calibri"/>
                <w:color w:val="000000"/>
                <w:sz w:val="22"/>
                <w:szCs w:val="22"/>
              </w:rPr>
            </w:pPr>
            <w:r w:rsidRPr="00007970">
              <w:rPr>
                <w:rFonts w:ascii="Calibri" w:hAnsi="Calibri"/>
                <w:color w:val="000000"/>
                <w:sz w:val="22"/>
                <w:szCs w:val="22"/>
              </w:rPr>
              <w:t>.</w:t>
            </w:r>
          </w:p>
        </w:tc>
      </w:tr>
      <w:tr w:rsidR="00007970" w:rsidRPr="00007970" w:rsidTr="00007970">
        <w:trPr>
          <w:trHeight w:val="300"/>
        </w:trPr>
        <w:tc>
          <w:tcPr>
            <w:tcW w:w="1420" w:type="dxa"/>
            <w:tcBorders>
              <w:top w:val="nil"/>
              <w:left w:val="nil"/>
              <w:bottom w:val="nil"/>
              <w:right w:val="nil"/>
            </w:tcBorders>
            <w:shd w:val="clear" w:color="auto" w:fill="auto"/>
            <w:noWrap/>
            <w:vAlign w:val="bottom"/>
            <w:hideMark/>
          </w:tcPr>
          <w:p w:rsidR="00007970" w:rsidRPr="00007970" w:rsidRDefault="00007970" w:rsidP="00007970">
            <w:pPr>
              <w:rPr>
                <w:rFonts w:ascii="Calibri" w:hAnsi="Calibri"/>
                <w:color w:val="000000"/>
                <w:sz w:val="22"/>
                <w:szCs w:val="22"/>
              </w:rPr>
            </w:pPr>
            <w:r w:rsidRPr="00007970">
              <w:rPr>
                <w:rFonts w:ascii="Calibri" w:hAnsi="Calibri"/>
                <w:color w:val="000000"/>
                <w:sz w:val="22"/>
                <w:szCs w:val="22"/>
              </w:rPr>
              <w:t>0681</w:t>
            </w:r>
          </w:p>
        </w:tc>
        <w:tc>
          <w:tcPr>
            <w:tcW w:w="3220" w:type="dxa"/>
            <w:tcBorders>
              <w:top w:val="nil"/>
              <w:left w:val="nil"/>
              <w:bottom w:val="nil"/>
              <w:right w:val="nil"/>
            </w:tcBorders>
            <w:shd w:val="clear" w:color="auto" w:fill="auto"/>
            <w:noWrap/>
            <w:vAlign w:val="bottom"/>
            <w:hideMark/>
          </w:tcPr>
          <w:p w:rsidR="00007970" w:rsidRPr="00007970" w:rsidRDefault="00007970" w:rsidP="00007970">
            <w:pPr>
              <w:rPr>
                <w:rFonts w:ascii="Calibri" w:hAnsi="Calibri"/>
                <w:color w:val="000000"/>
                <w:sz w:val="22"/>
                <w:szCs w:val="22"/>
              </w:rPr>
            </w:pPr>
            <w:r w:rsidRPr="00007970">
              <w:rPr>
                <w:rFonts w:ascii="Calibri" w:hAnsi="Calibri"/>
                <w:color w:val="000000"/>
                <w:sz w:val="22"/>
                <w:szCs w:val="22"/>
              </w:rPr>
              <w:t>Physical Therapist Assistant</w:t>
            </w:r>
          </w:p>
        </w:tc>
        <w:tc>
          <w:tcPr>
            <w:tcW w:w="1760" w:type="dxa"/>
            <w:tcBorders>
              <w:top w:val="nil"/>
              <w:left w:val="nil"/>
              <w:bottom w:val="nil"/>
              <w:right w:val="nil"/>
            </w:tcBorders>
            <w:shd w:val="clear" w:color="auto" w:fill="auto"/>
            <w:noWrap/>
            <w:vAlign w:val="bottom"/>
            <w:hideMark/>
          </w:tcPr>
          <w:p w:rsidR="00007970" w:rsidRPr="00007970" w:rsidRDefault="00007970" w:rsidP="00007970">
            <w:pPr>
              <w:rPr>
                <w:rFonts w:ascii="Calibri" w:hAnsi="Calibri"/>
                <w:color w:val="000000"/>
                <w:sz w:val="22"/>
                <w:szCs w:val="22"/>
              </w:rPr>
            </w:pPr>
            <w:r w:rsidRPr="00007970">
              <w:rPr>
                <w:rFonts w:ascii="Calibri" w:hAnsi="Calibri"/>
                <w:color w:val="000000"/>
                <w:sz w:val="22"/>
                <w:szCs w:val="22"/>
              </w:rPr>
              <w:t>PTA-233</w:t>
            </w:r>
          </w:p>
        </w:tc>
        <w:tc>
          <w:tcPr>
            <w:tcW w:w="460" w:type="dxa"/>
            <w:tcBorders>
              <w:top w:val="nil"/>
              <w:left w:val="nil"/>
              <w:bottom w:val="nil"/>
              <w:right w:val="nil"/>
            </w:tcBorders>
            <w:shd w:val="clear" w:color="auto" w:fill="auto"/>
            <w:noWrap/>
            <w:vAlign w:val="bottom"/>
            <w:hideMark/>
          </w:tcPr>
          <w:p w:rsidR="00007970" w:rsidRPr="00007970" w:rsidRDefault="00007970" w:rsidP="00007970">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rsidR="00007970" w:rsidRPr="00007970" w:rsidRDefault="00007970" w:rsidP="00007970">
            <w:pPr>
              <w:jc w:val="right"/>
              <w:rPr>
                <w:rFonts w:ascii="Calibri" w:hAnsi="Calibri"/>
                <w:color w:val="000000"/>
                <w:sz w:val="22"/>
                <w:szCs w:val="22"/>
              </w:rPr>
            </w:pPr>
            <w:r w:rsidRPr="00007970">
              <w:rPr>
                <w:rFonts w:ascii="Calibri" w:hAnsi="Calibri"/>
                <w:color w:val="000000"/>
                <w:sz w:val="22"/>
                <w:szCs w:val="22"/>
              </w:rPr>
              <w:t>100.0%</w:t>
            </w:r>
          </w:p>
        </w:tc>
        <w:tc>
          <w:tcPr>
            <w:tcW w:w="940" w:type="dxa"/>
            <w:tcBorders>
              <w:top w:val="nil"/>
              <w:left w:val="nil"/>
              <w:bottom w:val="nil"/>
              <w:right w:val="nil"/>
            </w:tcBorders>
            <w:shd w:val="clear" w:color="auto" w:fill="auto"/>
            <w:noWrap/>
            <w:vAlign w:val="bottom"/>
            <w:hideMark/>
          </w:tcPr>
          <w:p w:rsidR="00007970" w:rsidRPr="00007970" w:rsidRDefault="00007970" w:rsidP="00007970">
            <w:pPr>
              <w:jc w:val="right"/>
              <w:rPr>
                <w:rFonts w:ascii="Calibri" w:hAnsi="Calibri"/>
                <w:color w:val="000000"/>
                <w:sz w:val="22"/>
                <w:szCs w:val="22"/>
              </w:rPr>
            </w:pPr>
            <w:r w:rsidRPr="00007970">
              <w:rPr>
                <w:rFonts w:ascii="Calibri" w:hAnsi="Calibri"/>
                <w:color w:val="000000"/>
                <w:sz w:val="22"/>
                <w:szCs w:val="22"/>
              </w:rPr>
              <w:t>100.0%</w:t>
            </w:r>
          </w:p>
        </w:tc>
        <w:tc>
          <w:tcPr>
            <w:tcW w:w="940" w:type="dxa"/>
            <w:tcBorders>
              <w:top w:val="nil"/>
              <w:left w:val="nil"/>
              <w:bottom w:val="nil"/>
              <w:right w:val="nil"/>
            </w:tcBorders>
            <w:shd w:val="clear" w:color="auto" w:fill="auto"/>
            <w:noWrap/>
            <w:vAlign w:val="bottom"/>
            <w:hideMark/>
          </w:tcPr>
          <w:p w:rsidR="00007970" w:rsidRPr="00007970" w:rsidRDefault="00007970" w:rsidP="00007970">
            <w:pPr>
              <w:jc w:val="right"/>
              <w:rPr>
                <w:rFonts w:ascii="Calibri" w:hAnsi="Calibri"/>
                <w:color w:val="000000"/>
                <w:sz w:val="22"/>
                <w:szCs w:val="22"/>
              </w:rPr>
            </w:pPr>
            <w:r w:rsidRPr="00007970">
              <w:rPr>
                <w:rFonts w:ascii="Calibri" w:hAnsi="Calibri"/>
                <w:color w:val="000000"/>
                <w:sz w:val="22"/>
                <w:szCs w:val="22"/>
              </w:rPr>
              <w:t>100.0%</w:t>
            </w:r>
          </w:p>
        </w:tc>
        <w:tc>
          <w:tcPr>
            <w:tcW w:w="940" w:type="dxa"/>
            <w:tcBorders>
              <w:top w:val="nil"/>
              <w:left w:val="nil"/>
              <w:bottom w:val="nil"/>
              <w:right w:val="nil"/>
            </w:tcBorders>
            <w:shd w:val="clear" w:color="auto" w:fill="auto"/>
            <w:noWrap/>
            <w:vAlign w:val="bottom"/>
            <w:hideMark/>
          </w:tcPr>
          <w:p w:rsidR="00007970" w:rsidRPr="00007970" w:rsidRDefault="00007970" w:rsidP="00007970">
            <w:pPr>
              <w:jc w:val="right"/>
              <w:rPr>
                <w:rFonts w:ascii="Calibri" w:hAnsi="Calibri"/>
                <w:color w:val="000000"/>
                <w:sz w:val="22"/>
                <w:szCs w:val="22"/>
              </w:rPr>
            </w:pPr>
            <w:r w:rsidRPr="00007970">
              <w:rPr>
                <w:rFonts w:ascii="Calibri" w:hAnsi="Calibri"/>
                <w:color w:val="000000"/>
                <w:sz w:val="22"/>
                <w:szCs w:val="22"/>
              </w:rPr>
              <w:t>100.0%</w:t>
            </w:r>
          </w:p>
        </w:tc>
        <w:tc>
          <w:tcPr>
            <w:tcW w:w="940" w:type="dxa"/>
            <w:tcBorders>
              <w:top w:val="nil"/>
              <w:left w:val="nil"/>
              <w:bottom w:val="nil"/>
              <w:right w:val="nil"/>
            </w:tcBorders>
            <w:shd w:val="clear" w:color="auto" w:fill="auto"/>
            <w:noWrap/>
            <w:vAlign w:val="bottom"/>
            <w:hideMark/>
          </w:tcPr>
          <w:p w:rsidR="00007970" w:rsidRPr="00007970" w:rsidRDefault="00007970" w:rsidP="00007970">
            <w:pPr>
              <w:jc w:val="right"/>
              <w:rPr>
                <w:rFonts w:ascii="Calibri" w:hAnsi="Calibri"/>
                <w:color w:val="000000"/>
                <w:sz w:val="22"/>
                <w:szCs w:val="22"/>
              </w:rPr>
            </w:pPr>
            <w:r w:rsidRPr="00007970">
              <w:rPr>
                <w:rFonts w:ascii="Calibri" w:hAnsi="Calibri"/>
                <w:color w:val="000000"/>
                <w:sz w:val="22"/>
                <w:szCs w:val="22"/>
              </w:rPr>
              <w:t>100.0%</w:t>
            </w:r>
          </w:p>
        </w:tc>
        <w:tc>
          <w:tcPr>
            <w:tcW w:w="940" w:type="dxa"/>
            <w:tcBorders>
              <w:top w:val="nil"/>
              <w:left w:val="nil"/>
              <w:bottom w:val="nil"/>
              <w:right w:val="nil"/>
            </w:tcBorders>
            <w:shd w:val="clear" w:color="auto" w:fill="auto"/>
            <w:noWrap/>
            <w:vAlign w:val="bottom"/>
            <w:hideMark/>
          </w:tcPr>
          <w:p w:rsidR="00007970" w:rsidRPr="00007970" w:rsidRDefault="00007970" w:rsidP="00007970">
            <w:pPr>
              <w:jc w:val="right"/>
              <w:rPr>
                <w:rFonts w:ascii="Calibri" w:hAnsi="Calibri"/>
                <w:color w:val="000000"/>
                <w:sz w:val="22"/>
                <w:szCs w:val="22"/>
              </w:rPr>
            </w:pPr>
            <w:r w:rsidRPr="00007970">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007970" w:rsidRPr="00007970" w:rsidRDefault="00007970" w:rsidP="00007970">
            <w:pPr>
              <w:jc w:val="right"/>
              <w:rPr>
                <w:rFonts w:ascii="Calibri" w:hAnsi="Calibri"/>
                <w:color w:val="000000"/>
                <w:sz w:val="22"/>
                <w:szCs w:val="22"/>
              </w:rPr>
            </w:pPr>
            <w:r w:rsidRPr="00007970">
              <w:rPr>
                <w:rFonts w:ascii="Calibri" w:hAnsi="Calibri"/>
                <w:color w:val="000000"/>
                <w:sz w:val="22"/>
                <w:szCs w:val="22"/>
              </w:rPr>
              <w:t>.</w:t>
            </w:r>
          </w:p>
        </w:tc>
      </w:tr>
      <w:tr w:rsidR="00007970" w:rsidRPr="00007970" w:rsidTr="00007970">
        <w:trPr>
          <w:trHeight w:val="300"/>
        </w:trPr>
        <w:tc>
          <w:tcPr>
            <w:tcW w:w="1420" w:type="dxa"/>
            <w:tcBorders>
              <w:top w:val="nil"/>
              <w:left w:val="nil"/>
              <w:bottom w:val="nil"/>
              <w:right w:val="nil"/>
            </w:tcBorders>
            <w:shd w:val="clear" w:color="000000" w:fill="D9D9D9"/>
            <w:noWrap/>
            <w:vAlign w:val="bottom"/>
            <w:hideMark/>
          </w:tcPr>
          <w:p w:rsidR="00007970" w:rsidRPr="00007970" w:rsidRDefault="00007970" w:rsidP="00007970">
            <w:pPr>
              <w:rPr>
                <w:rFonts w:ascii="Calibri" w:hAnsi="Calibri"/>
                <w:color w:val="000000"/>
                <w:sz w:val="22"/>
                <w:szCs w:val="22"/>
              </w:rPr>
            </w:pPr>
            <w:r w:rsidRPr="00007970">
              <w:rPr>
                <w:rFonts w:ascii="Calibri" w:hAnsi="Calibri"/>
                <w:color w:val="000000"/>
                <w:sz w:val="22"/>
                <w:szCs w:val="22"/>
              </w:rPr>
              <w:t>0681</w:t>
            </w:r>
          </w:p>
        </w:tc>
        <w:tc>
          <w:tcPr>
            <w:tcW w:w="3220" w:type="dxa"/>
            <w:tcBorders>
              <w:top w:val="nil"/>
              <w:left w:val="nil"/>
              <w:bottom w:val="nil"/>
              <w:right w:val="nil"/>
            </w:tcBorders>
            <w:shd w:val="clear" w:color="000000" w:fill="D9D9D9"/>
            <w:noWrap/>
            <w:vAlign w:val="bottom"/>
            <w:hideMark/>
          </w:tcPr>
          <w:p w:rsidR="00007970" w:rsidRPr="00007970" w:rsidRDefault="00007970" w:rsidP="00007970">
            <w:pPr>
              <w:rPr>
                <w:rFonts w:ascii="Calibri" w:hAnsi="Calibri"/>
                <w:color w:val="000000"/>
                <w:sz w:val="22"/>
                <w:szCs w:val="22"/>
              </w:rPr>
            </w:pPr>
            <w:r w:rsidRPr="00007970">
              <w:rPr>
                <w:rFonts w:ascii="Calibri" w:hAnsi="Calibri"/>
                <w:color w:val="000000"/>
                <w:sz w:val="22"/>
                <w:szCs w:val="22"/>
              </w:rPr>
              <w:t>Physical Therapist Assistant</w:t>
            </w:r>
          </w:p>
        </w:tc>
        <w:tc>
          <w:tcPr>
            <w:tcW w:w="1760" w:type="dxa"/>
            <w:tcBorders>
              <w:top w:val="nil"/>
              <w:left w:val="nil"/>
              <w:bottom w:val="nil"/>
              <w:right w:val="nil"/>
            </w:tcBorders>
            <w:shd w:val="clear" w:color="000000" w:fill="D9D9D9"/>
            <w:noWrap/>
            <w:vAlign w:val="bottom"/>
            <w:hideMark/>
          </w:tcPr>
          <w:p w:rsidR="00007970" w:rsidRPr="00007970" w:rsidRDefault="00007970" w:rsidP="00007970">
            <w:pPr>
              <w:rPr>
                <w:rFonts w:ascii="Calibri" w:hAnsi="Calibri"/>
                <w:color w:val="000000"/>
                <w:sz w:val="22"/>
                <w:szCs w:val="22"/>
              </w:rPr>
            </w:pPr>
            <w:r w:rsidRPr="00007970">
              <w:rPr>
                <w:rFonts w:ascii="Calibri" w:hAnsi="Calibri"/>
                <w:color w:val="000000"/>
                <w:sz w:val="22"/>
                <w:szCs w:val="22"/>
              </w:rPr>
              <w:t>PTA-235</w:t>
            </w:r>
          </w:p>
        </w:tc>
        <w:tc>
          <w:tcPr>
            <w:tcW w:w="460" w:type="dxa"/>
            <w:tcBorders>
              <w:top w:val="nil"/>
              <w:left w:val="nil"/>
              <w:bottom w:val="nil"/>
              <w:right w:val="nil"/>
            </w:tcBorders>
            <w:shd w:val="clear" w:color="000000" w:fill="D9D9D9"/>
            <w:noWrap/>
            <w:vAlign w:val="bottom"/>
            <w:hideMark/>
          </w:tcPr>
          <w:p w:rsidR="00007970" w:rsidRPr="00007970" w:rsidRDefault="00007970" w:rsidP="00007970">
            <w:pPr>
              <w:rPr>
                <w:rFonts w:ascii="Calibri" w:hAnsi="Calibri"/>
                <w:color w:val="000000"/>
                <w:sz w:val="22"/>
                <w:szCs w:val="22"/>
              </w:rPr>
            </w:pPr>
            <w:r w:rsidRPr="00007970">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007970" w:rsidRPr="00007970" w:rsidRDefault="00007970" w:rsidP="00007970">
            <w:pPr>
              <w:jc w:val="right"/>
              <w:rPr>
                <w:rFonts w:ascii="Calibri" w:hAnsi="Calibri"/>
                <w:color w:val="000000"/>
                <w:sz w:val="22"/>
                <w:szCs w:val="22"/>
              </w:rPr>
            </w:pPr>
            <w:r w:rsidRPr="00007970">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rsidR="00007970" w:rsidRPr="00007970" w:rsidRDefault="00007970" w:rsidP="00007970">
            <w:pPr>
              <w:jc w:val="right"/>
              <w:rPr>
                <w:rFonts w:ascii="Calibri" w:hAnsi="Calibri"/>
                <w:color w:val="000000"/>
                <w:sz w:val="22"/>
                <w:szCs w:val="22"/>
              </w:rPr>
            </w:pPr>
            <w:r w:rsidRPr="00007970">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rsidR="00007970" w:rsidRPr="00007970" w:rsidRDefault="00007970" w:rsidP="00007970">
            <w:pPr>
              <w:jc w:val="right"/>
              <w:rPr>
                <w:rFonts w:ascii="Calibri" w:hAnsi="Calibri"/>
                <w:color w:val="000000"/>
                <w:sz w:val="22"/>
                <w:szCs w:val="22"/>
              </w:rPr>
            </w:pPr>
            <w:r w:rsidRPr="00007970">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rsidR="00007970" w:rsidRPr="00007970" w:rsidRDefault="00007970" w:rsidP="00007970">
            <w:pPr>
              <w:jc w:val="right"/>
              <w:rPr>
                <w:rFonts w:ascii="Calibri" w:hAnsi="Calibri"/>
                <w:color w:val="000000"/>
                <w:sz w:val="22"/>
                <w:szCs w:val="22"/>
              </w:rPr>
            </w:pPr>
            <w:r w:rsidRPr="00007970">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rsidR="00007970" w:rsidRPr="00007970" w:rsidRDefault="00007970" w:rsidP="00007970">
            <w:pPr>
              <w:jc w:val="right"/>
              <w:rPr>
                <w:rFonts w:ascii="Calibri" w:hAnsi="Calibri"/>
                <w:color w:val="000000"/>
                <w:sz w:val="22"/>
                <w:szCs w:val="22"/>
              </w:rPr>
            </w:pPr>
            <w:r w:rsidRPr="00007970">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rsidR="00007970" w:rsidRPr="00007970" w:rsidRDefault="00007970" w:rsidP="00007970">
            <w:pPr>
              <w:jc w:val="right"/>
              <w:rPr>
                <w:rFonts w:ascii="Calibri" w:hAnsi="Calibri"/>
                <w:color w:val="000000"/>
                <w:sz w:val="22"/>
                <w:szCs w:val="22"/>
              </w:rPr>
            </w:pPr>
            <w:r w:rsidRPr="00007970">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007970" w:rsidRPr="00007970" w:rsidRDefault="00007970" w:rsidP="00007970">
            <w:pPr>
              <w:jc w:val="right"/>
              <w:rPr>
                <w:rFonts w:ascii="Calibri" w:hAnsi="Calibri"/>
                <w:color w:val="000000"/>
                <w:sz w:val="22"/>
                <w:szCs w:val="22"/>
              </w:rPr>
            </w:pPr>
            <w:r w:rsidRPr="00007970">
              <w:rPr>
                <w:rFonts w:ascii="Calibri" w:hAnsi="Calibri"/>
                <w:color w:val="000000"/>
                <w:sz w:val="22"/>
                <w:szCs w:val="22"/>
              </w:rPr>
              <w:t>.</w:t>
            </w:r>
          </w:p>
        </w:tc>
      </w:tr>
      <w:tr w:rsidR="00007970" w:rsidRPr="00007970" w:rsidTr="006856B5">
        <w:trPr>
          <w:trHeight w:val="52"/>
        </w:trPr>
        <w:tc>
          <w:tcPr>
            <w:tcW w:w="1420" w:type="dxa"/>
            <w:tcBorders>
              <w:top w:val="nil"/>
              <w:left w:val="nil"/>
              <w:bottom w:val="nil"/>
              <w:right w:val="nil"/>
            </w:tcBorders>
            <w:shd w:val="clear" w:color="auto" w:fill="auto"/>
            <w:noWrap/>
            <w:vAlign w:val="bottom"/>
            <w:hideMark/>
          </w:tcPr>
          <w:p w:rsidR="00007970" w:rsidRPr="00007970" w:rsidRDefault="00007970" w:rsidP="00007970">
            <w:pPr>
              <w:rPr>
                <w:rFonts w:ascii="Calibri" w:hAnsi="Calibri"/>
                <w:color w:val="000000"/>
                <w:sz w:val="22"/>
                <w:szCs w:val="22"/>
              </w:rPr>
            </w:pPr>
            <w:r w:rsidRPr="00007970">
              <w:rPr>
                <w:rFonts w:ascii="Calibri" w:hAnsi="Calibri"/>
                <w:color w:val="000000"/>
                <w:sz w:val="22"/>
                <w:szCs w:val="22"/>
              </w:rPr>
              <w:t>0681</w:t>
            </w:r>
          </w:p>
        </w:tc>
        <w:tc>
          <w:tcPr>
            <w:tcW w:w="3220" w:type="dxa"/>
            <w:tcBorders>
              <w:top w:val="nil"/>
              <w:left w:val="nil"/>
              <w:bottom w:val="nil"/>
              <w:right w:val="nil"/>
            </w:tcBorders>
            <w:shd w:val="clear" w:color="auto" w:fill="auto"/>
            <w:noWrap/>
            <w:vAlign w:val="bottom"/>
            <w:hideMark/>
          </w:tcPr>
          <w:p w:rsidR="00007970" w:rsidRPr="00007970" w:rsidRDefault="00007970" w:rsidP="00007970">
            <w:pPr>
              <w:rPr>
                <w:rFonts w:ascii="Calibri" w:hAnsi="Calibri"/>
                <w:color w:val="000000"/>
                <w:sz w:val="22"/>
                <w:szCs w:val="22"/>
              </w:rPr>
            </w:pPr>
            <w:r w:rsidRPr="00007970">
              <w:rPr>
                <w:rFonts w:ascii="Calibri" w:hAnsi="Calibri"/>
                <w:color w:val="000000"/>
                <w:sz w:val="22"/>
                <w:szCs w:val="22"/>
              </w:rPr>
              <w:t>Physical Therapist Assistant</w:t>
            </w:r>
          </w:p>
        </w:tc>
        <w:tc>
          <w:tcPr>
            <w:tcW w:w="1760" w:type="dxa"/>
            <w:tcBorders>
              <w:top w:val="nil"/>
              <w:left w:val="nil"/>
              <w:bottom w:val="nil"/>
              <w:right w:val="nil"/>
            </w:tcBorders>
            <w:shd w:val="clear" w:color="auto" w:fill="auto"/>
            <w:noWrap/>
            <w:vAlign w:val="bottom"/>
            <w:hideMark/>
          </w:tcPr>
          <w:p w:rsidR="00007970" w:rsidRPr="00007970" w:rsidRDefault="00007970" w:rsidP="00007970">
            <w:pPr>
              <w:rPr>
                <w:rFonts w:ascii="Calibri" w:hAnsi="Calibri"/>
                <w:color w:val="000000"/>
                <w:sz w:val="22"/>
                <w:szCs w:val="22"/>
              </w:rPr>
            </w:pPr>
            <w:r w:rsidRPr="00007970">
              <w:rPr>
                <w:rFonts w:ascii="Calibri" w:hAnsi="Calibri"/>
                <w:color w:val="000000"/>
                <w:sz w:val="22"/>
                <w:szCs w:val="22"/>
              </w:rPr>
              <w:t>PTA-238</w:t>
            </w:r>
          </w:p>
        </w:tc>
        <w:tc>
          <w:tcPr>
            <w:tcW w:w="460" w:type="dxa"/>
            <w:tcBorders>
              <w:top w:val="nil"/>
              <w:left w:val="nil"/>
              <w:bottom w:val="nil"/>
              <w:right w:val="nil"/>
            </w:tcBorders>
            <w:shd w:val="clear" w:color="auto" w:fill="auto"/>
            <w:noWrap/>
            <w:vAlign w:val="bottom"/>
            <w:hideMark/>
          </w:tcPr>
          <w:p w:rsidR="00007970" w:rsidRPr="00007970" w:rsidRDefault="00007970" w:rsidP="00007970">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rsidR="00007970" w:rsidRPr="00007970" w:rsidRDefault="00007970" w:rsidP="00007970">
            <w:pPr>
              <w:jc w:val="right"/>
              <w:rPr>
                <w:rFonts w:ascii="Calibri" w:hAnsi="Calibri"/>
                <w:color w:val="000000"/>
                <w:sz w:val="22"/>
                <w:szCs w:val="22"/>
              </w:rPr>
            </w:pPr>
            <w:r w:rsidRPr="00007970">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007970" w:rsidRPr="00007970" w:rsidRDefault="00007970" w:rsidP="00007970">
            <w:pPr>
              <w:jc w:val="right"/>
              <w:rPr>
                <w:rFonts w:ascii="Calibri" w:hAnsi="Calibri"/>
                <w:color w:val="000000"/>
                <w:sz w:val="22"/>
                <w:szCs w:val="22"/>
              </w:rPr>
            </w:pPr>
            <w:r w:rsidRPr="00007970">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007970" w:rsidRPr="00007970" w:rsidRDefault="00007970" w:rsidP="00007970">
            <w:pPr>
              <w:jc w:val="right"/>
              <w:rPr>
                <w:rFonts w:ascii="Calibri" w:hAnsi="Calibri"/>
                <w:color w:val="000000"/>
                <w:sz w:val="22"/>
                <w:szCs w:val="22"/>
              </w:rPr>
            </w:pPr>
            <w:r w:rsidRPr="00007970">
              <w:rPr>
                <w:rFonts w:ascii="Calibri" w:hAnsi="Calibri"/>
                <w:color w:val="000000"/>
                <w:sz w:val="22"/>
                <w:szCs w:val="22"/>
              </w:rPr>
              <w:t>90.9%</w:t>
            </w:r>
          </w:p>
        </w:tc>
        <w:tc>
          <w:tcPr>
            <w:tcW w:w="940" w:type="dxa"/>
            <w:tcBorders>
              <w:top w:val="nil"/>
              <w:left w:val="nil"/>
              <w:bottom w:val="nil"/>
              <w:right w:val="nil"/>
            </w:tcBorders>
            <w:shd w:val="clear" w:color="auto" w:fill="auto"/>
            <w:noWrap/>
            <w:vAlign w:val="bottom"/>
            <w:hideMark/>
          </w:tcPr>
          <w:p w:rsidR="00007970" w:rsidRPr="00007970" w:rsidRDefault="00007970" w:rsidP="00007970">
            <w:pPr>
              <w:jc w:val="right"/>
              <w:rPr>
                <w:rFonts w:ascii="Calibri" w:hAnsi="Calibri"/>
                <w:color w:val="000000"/>
                <w:sz w:val="22"/>
                <w:szCs w:val="22"/>
              </w:rPr>
            </w:pPr>
            <w:r w:rsidRPr="00007970">
              <w:rPr>
                <w:rFonts w:ascii="Calibri" w:hAnsi="Calibri"/>
                <w:color w:val="000000"/>
                <w:sz w:val="22"/>
                <w:szCs w:val="22"/>
              </w:rPr>
              <w:t>100.0%</w:t>
            </w:r>
          </w:p>
        </w:tc>
        <w:tc>
          <w:tcPr>
            <w:tcW w:w="940" w:type="dxa"/>
            <w:tcBorders>
              <w:top w:val="nil"/>
              <w:left w:val="nil"/>
              <w:bottom w:val="nil"/>
              <w:right w:val="nil"/>
            </w:tcBorders>
            <w:shd w:val="clear" w:color="auto" w:fill="auto"/>
            <w:noWrap/>
            <w:vAlign w:val="bottom"/>
            <w:hideMark/>
          </w:tcPr>
          <w:p w:rsidR="00007970" w:rsidRPr="00007970" w:rsidRDefault="00007970" w:rsidP="00007970">
            <w:pPr>
              <w:jc w:val="right"/>
              <w:rPr>
                <w:rFonts w:ascii="Calibri" w:hAnsi="Calibri"/>
                <w:color w:val="000000"/>
                <w:sz w:val="22"/>
                <w:szCs w:val="22"/>
              </w:rPr>
            </w:pPr>
            <w:r w:rsidRPr="00007970">
              <w:rPr>
                <w:rFonts w:ascii="Calibri" w:hAnsi="Calibri"/>
                <w:color w:val="000000"/>
                <w:sz w:val="22"/>
                <w:szCs w:val="22"/>
              </w:rPr>
              <w:t>100.0%</w:t>
            </w:r>
          </w:p>
        </w:tc>
        <w:tc>
          <w:tcPr>
            <w:tcW w:w="940" w:type="dxa"/>
            <w:tcBorders>
              <w:top w:val="nil"/>
              <w:left w:val="nil"/>
              <w:bottom w:val="nil"/>
              <w:right w:val="nil"/>
            </w:tcBorders>
            <w:shd w:val="clear" w:color="auto" w:fill="auto"/>
            <w:noWrap/>
            <w:vAlign w:val="bottom"/>
            <w:hideMark/>
          </w:tcPr>
          <w:p w:rsidR="00007970" w:rsidRPr="00007970" w:rsidRDefault="00007970" w:rsidP="00007970">
            <w:pPr>
              <w:jc w:val="right"/>
              <w:rPr>
                <w:rFonts w:ascii="Calibri" w:hAnsi="Calibri"/>
                <w:color w:val="000000"/>
                <w:sz w:val="22"/>
                <w:szCs w:val="22"/>
              </w:rPr>
            </w:pPr>
            <w:r w:rsidRPr="00007970">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007970" w:rsidRPr="00007970" w:rsidRDefault="00007970" w:rsidP="00007970">
            <w:pPr>
              <w:jc w:val="right"/>
              <w:rPr>
                <w:rFonts w:ascii="Calibri" w:hAnsi="Calibri"/>
                <w:color w:val="000000"/>
                <w:sz w:val="22"/>
                <w:szCs w:val="22"/>
              </w:rPr>
            </w:pPr>
            <w:r w:rsidRPr="00007970">
              <w:rPr>
                <w:rFonts w:ascii="Calibri" w:hAnsi="Calibri"/>
                <w:color w:val="000000"/>
                <w:sz w:val="22"/>
                <w:szCs w:val="22"/>
              </w:rPr>
              <w:t>.</w:t>
            </w:r>
          </w:p>
        </w:tc>
      </w:tr>
      <w:tr w:rsidR="00007970" w:rsidRPr="00007970" w:rsidTr="00007970">
        <w:trPr>
          <w:trHeight w:val="300"/>
        </w:trPr>
        <w:tc>
          <w:tcPr>
            <w:tcW w:w="1420" w:type="dxa"/>
            <w:tcBorders>
              <w:top w:val="nil"/>
              <w:left w:val="nil"/>
              <w:bottom w:val="nil"/>
              <w:right w:val="nil"/>
            </w:tcBorders>
            <w:shd w:val="clear" w:color="000000" w:fill="D9D9D9"/>
            <w:noWrap/>
            <w:vAlign w:val="bottom"/>
            <w:hideMark/>
          </w:tcPr>
          <w:p w:rsidR="00007970" w:rsidRPr="00007970" w:rsidRDefault="00007970" w:rsidP="00007970">
            <w:pPr>
              <w:rPr>
                <w:rFonts w:ascii="Calibri" w:hAnsi="Calibri"/>
                <w:color w:val="000000"/>
                <w:sz w:val="22"/>
                <w:szCs w:val="22"/>
              </w:rPr>
            </w:pPr>
            <w:r w:rsidRPr="00007970">
              <w:rPr>
                <w:rFonts w:ascii="Calibri" w:hAnsi="Calibri"/>
                <w:color w:val="000000"/>
                <w:sz w:val="22"/>
                <w:szCs w:val="22"/>
              </w:rPr>
              <w:t>0681</w:t>
            </w:r>
          </w:p>
        </w:tc>
        <w:tc>
          <w:tcPr>
            <w:tcW w:w="3220" w:type="dxa"/>
            <w:tcBorders>
              <w:top w:val="nil"/>
              <w:left w:val="nil"/>
              <w:bottom w:val="nil"/>
              <w:right w:val="nil"/>
            </w:tcBorders>
            <w:shd w:val="clear" w:color="000000" w:fill="D9D9D9"/>
            <w:noWrap/>
            <w:vAlign w:val="bottom"/>
            <w:hideMark/>
          </w:tcPr>
          <w:p w:rsidR="00007970" w:rsidRPr="00007970" w:rsidRDefault="00007970" w:rsidP="00007970">
            <w:pPr>
              <w:rPr>
                <w:rFonts w:ascii="Calibri" w:hAnsi="Calibri"/>
                <w:color w:val="000000"/>
                <w:sz w:val="22"/>
                <w:szCs w:val="22"/>
              </w:rPr>
            </w:pPr>
            <w:r w:rsidRPr="00007970">
              <w:rPr>
                <w:rFonts w:ascii="Calibri" w:hAnsi="Calibri"/>
                <w:color w:val="000000"/>
                <w:sz w:val="22"/>
                <w:szCs w:val="22"/>
              </w:rPr>
              <w:t>Physical Therapist Assistant</w:t>
            </w:r>
          </w:p>
        </w:tc>
        <w:tc>
          <w:tcPr>
            <w:tcW w:w="1760" w:type="dxa"/>
            <w:tcBorders>
              <w:top w:val="nil"/>
              <w:left w:val="nil"/>
              <w:bottom w:val="nil"/>
              <w:right w:val="nil"/>
            </w:tcBorders>
            <w:shd w:val="clear" w:color="000000" w:fill="D9D9D9"/>
            <w:noWrap/>
            <w:vAlign w:val="bottom"/>
            <w:hideMark/>
          </w:tcPr>
          <w:p w:rsidR="00007970" w:rsidRPr="00007970" w:rsidRDefault="00007970" w:rsidP="00007970">
            <w:pPr>
              <w:rPr>
                <w:rFonts w:ascii="Calibri" w:hAnsi="Calibri"/>
                <w:color w:val="000000"/>
                <w:sz w:val="22"/>
                <w:szCs w:val="22"/>
              </w:rPr>
            </w:pPr>
            <w:r w:rsidRPr="00007970">
              <w:rPr>
                <w:rFonts w:ascii="Calibri" w:hAnsi="Calibri"/>
                <w:color w:val="000000"/>
                <w:sz w:val="22"/>
                <w:szCs w:val="22"/>
              </w:rPr>
              <w:t>PTA-240</w:t>
            </w:r>
          </w:p>
        </w:tc>
        <w:tc>
          <w:tcPr>
            <w:tcW w:w="460" w:type="dxa"/>
            <w:tcBorders>
              <w:top w:val="nil"/>
              <w:left w:val="nil"/>
              <w:bottom w:val="nil"/>
              <w:right w:val="nil"/>
            </w:tcBorders>
            <w:shd w:val="clear" w:color="000000" w:fill="D9D9D9"/>
            <w:noWrap/>
            <w:vAlign w:val="bottom"/>
            <w:hideMark/>
          </w:tcPr>
          <w:p w:rsidR="00007970" w:rsidRPr="00007970" w:rsidRDefault="00007970" w:rsidP="00007970">
            <w:pPr>
              <w:rPr>
                <w:rFonts w:ascii="Calibri" w:hAnsi="Calibri"/>
                <w:color w:val="000000"/>
                <w:sz w:val="22"/>
                <w:szCs w:val="22"/>
              </w:rPr>
            </w:pPr>
            <w:r w:rsidRPr="00007970">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007970" w:rsidRPr="00007970" w:rsidRDefault="00007970" w:rsidP="00007970">
            <w:pPr>
              <w:jc w:val="right"/>
              <w:rPr>
                <w:rFonts w:ascii="Calibri" w:hAnsi="Calibri"/>
                <w:color w:val="000000"/>
                <w:sz w:val="22"/>
                <w:szCs w:val="22"/>
              </w:rPr>
            </w:pPr>
            <w:r w:rsidRPr="00007970">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007970" w:rsidRPr="00007970" w:rsidRDefault="00007970" w:rsidP="00007970">
            <w:pPr>
              <w:jc w:val="right"/>
              <w:rPr>
                <w:rFonts w:ascii="Calibri" w:hAnsi="Calibri"/>
                <w:color w:val="000000"/>
                <w:sz w:val="22"/>
                <w:szCs w:val="22"/>
              </w:rPr>
            </w:pPr>
            <w:r w:rsidRPr="00007970">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rsidR="00007970" w:rsidRPr="00007970" w:rsidRDefault="00007970" w:rsidP="00007970">
            <w:pPr>
              <w:jc w:val="right"/>
              <w:rPr>
                <w:rFonts w:ascii="Calibri" w:hAnsi="Calibri"/>
                <w:color w:val="000000"/>
                <w:sz w:val="22"/>
                <w:szCs w:val="22"/>
              </w:rPr>
            </w:pPr>
            <w:r w:rsidRPr="00007970">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rsidR="00007970" w:rsidRPr="00007970" w:rsidRDefault="00007970" w:rsidP="00007970">
            <w:pPr>
              <w:jc w:val="right"/>
              <w:rPr>
                <w:rFonts w:ascii="Calibri" w:hAnsi="Calibri"/>
                <w:color w:val="000000"/>
                <w:sz w:val="22"/>
                <w:szCs w:val="22"/>
              </w:rPr>
            </w:pPr>
            <w:r w:rsidRPr="00007970">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007970" w:rsidRPr="00007970" w:rsidRDefault="00007970" w:rsidP="00007970">
            <w:pPr>
              <w:jc w:val="right"/>
              <w:rPr>
                <w:rFonts w:ascii="Calibri" w:hAnsi="Calibri"/>
                <w:color w:val="000000"/>
                <w:sz w:val="22"/>
                <w:szCs w:val="22"/>
              </w:rPr>
            </w:pPr>
            <w:r w:rsidRPr="00007970">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007970" w:rsidRPr="00007970" w:rsidRDefault="00007970" w:rsidP="00007970">
            <w:pPr>
              <w:jc w:val="right"/>
              <w:rPr>
                <w:rFonts w:ascii="Calibri" w:hAnsi="Calibri"/>
                <w:color w:val="000000"/>
                <w:sz w:val="22"/>
                <w:szCs w:val="22"/>
              </w:rPr>
            </w:pPr>
            <w:r w:rsidRPr="00007970">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007970" w:rsidRPr="00007970" w:rsidRDefault="00007970" w:rsidP="00007970">
            <w:pPr>
              <w:jc w:val="right"/>
              <w:rPr>
                <w:rFonts w:ascii="Calibri" w:hAnsi="Calibri"/>
                <w:color w:val="000000"/>
                <w:sz w:val="22"/>
                <w:szCs w:val="22"/>
              </w:rPr>
            </w:pPr>
            <w:r w:rsidRPr="00007970">
              <w:rPr>
                <w:rFonts w:ascii="Calibri" w:hAnsi="Calibri"/>
                <w:color w:val="000000"/>
                <w:sz w:val="22"/>
                <w:szCs w:val="22"/>
              </w:rPr>
              <w:t>.</w:t>
            </w:r>
          </w:p>
        </w:tc>
      </w:tr>
      <w:tr w:rsidR="00007970" w:rsidRPr="00007970" w:rsidTr="00007970">
        <w:trPr>
          <w:trHeight w:val="300"/>
        </w:trPr>
        <w:tc>
          <w:tcPr>
            <w:tcW w:w="1420" w:type="dxa"/>
            <w:tcBorders>
              <w:top w:val="nil"/>
              <w:left w:val="nil"/>
              <w:bottom w:val="nil"/>
              <w:right w:val="nil"/>
            </w:tcBorders>
            <w:shd w:val="clear" w:color="auto" w:fill="auto"/>
            <w:noWrap/>
            <w:vAlign w:val="bottom"/>
            <w:hideMark/>
          </w:tcPr>
          <w:p w:rsidR="00007970" w:rsidRPr="00007970" w:rsidRDefault="00007970" w:rsidP="00007970">
            <w:pPr>
              <w:rPr>
                <w:rFonts w:ascii="Calibri" w:hAnsi="Calibri"/>
                <w:color w:val="000000"/>
                <w:sz w:val="22"/>
                <w:szCs w:val="22"/>
              </w:rPr>
            </w:pPr>
            <w:r w:rsidRPr="00007970">
              <w:rPr>
                <w:rFonts w:ascii="Calibri" w:hAnsi="Calibri"/>
                <w:color w:val="000000"/>
                <w:sz w:val="22"/>
                <w:szCs w:val="22"/>
              </w:rPr>
              <w:t>0681</w:t>
            </w:r>
          </w:p>
        </w:tc>
        <w:tc>
          <w:tcPr>
            <w:tcW w:w="3220" w:type="dxa"/>
            <w:tcBorders>
              <w:top w:val="nil"/>
              <w:left w:val="nil"/>
              <w:bottom w:val="nil"/>
              <w:right w:val="nil"/>
            </w:tcBorders>
            <w:shd w:val="clear" w:color="auto" w:fill="auto"/>
            <w:noWrap/>
            <w:vAlign w:val="bottom"/>
            <w:hideMark/>
          </w:tcPr>
          <w:p w:rsidR="00007970" w:rsidRPr="00007970" w:rsidRDefault="00007970" w:rsidP="00007970">
            <w:pPr>
              <w:rPr>
                <w:rFonts w:ascii="Calibri" w:hAnsi="Calibri"/>
                <w:color w:val="000000"/>
                <w:sz w:val="22"/>
                <w:szCs w:val="22"/>
              </w:rPr>
            </w:pPr>
            <w:r w:rsidRPr="00007970">
              <w:rPr>
                <w:rFonts w:ascii="Calibri" w:hAnsi="Calibri"/>
                <w:color w:val="000000"/>
                <w:sz w:val="22"/>
                <w:szCs w:val="22"/>
              </w:rPr>
              <w:t>Physical Therapist Assistant</w:t>
            </w:r>
          </w:p>
        </w:tc>
        <w:tc>
          <w:tcPr>
            <w:tcW w:w="1760" w:type="dxa"/>
            <w:tcBorders>
              <w:top w:val="nil"/>
              <w:left w:val="nil"/>
              <w:bottom w:val="nil"/>
              <w:right w:val="nil"/>
            </w:tcBorders>
            <w:shd w:val="clear" w:color="auto" w:fill="auto"/>
            <w:noWrap/>
            <w:vAlign w:val="bottom"/>
            <w:hideMark/>
          </w:tcPr>
          <w:p w:rsidR="00007970" w:rsidRPr="00007970" w:rsidRDefault="00007970" w:rsidP="00007970">
            <w:pPr>
              <w:rPr>
                <w:rFonts w:ascii="Calibri" w:hAnsi="Calibri"/>
                <w:color w:val="000000"/>
                <w:sz w:val="22"/>
                <w:szCs w:val="22"/>
              </w:rPr>
            </w:pPr>
            <w:r w:rsidRPr="00007970">
              <w:rPr>
                <w:rFonts w:ascii="Calibri" w:hAnsi="Calibri"/>
                <w:color w:val="000000"/>
                <w:sz w:val="22"/>
                <w:szCs w:val="22"/>
              </w:rPr>
              <w:t>PTA-297</w:t>
            </w:r>
          </w:p>
        </w:tc>
        <w:tc>
          <w:tcPr>
            <w:tcW w:w="460" w:type="dxa"/>
            <w:tcBorders>
              <w:top w:val="nil"/>
              <w:left w:val="nil"/>
              <w:bottom w:val="nil"/>
              <w:right w:val="nil"/>
            </w:tcBorders>
            <w:shd w:val="clear" w:color="auto" w:fill="auto"/>
            <w:noWrap/>
            <w:vAlign w:val="bottom"/>
            <w:hideMark/>
          </w:tcPr>
          <w:p w:rsidR="00007970" w:rsidRPr="00007970" w:rsidRDefault="00007970" w:rsidP="00007970">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rsidR="00007970" w:rsidRPr="00007970" w:rsidRDefault="00007970" w:rsidP="00007970">
            <w:pPr>
              <w:jc w:val="right"/>
              <w:rPr>
                <w:rFonts w:ascii="Calibri" w:hAnsi="Calibri"/>
                <w:color w:val="000000"/>
                <w:sz w:val="22"/>
                <w:szCs w:val="22"/>
              </w:rPr>
            </w:pPr>
            <w:r w:rsidRPr="00007970">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007970" w:rsidRPr="00007970" w:rsidRDefault="00007970" w:rsidP="00007970">
            <w:pPr>
              <w:jc w:val="right"/>
              <w:rPr>
                <w:rFonts w:ascii="Calibri" w:hAnsi="Calibri"/>
                <w:color w:val="000000"/>
                <w:sz w:val="22"/>
                <w:szCs w:val="22"/>
              </w:rPr>
            </w:pPr>
            <w:r w:rsidRPr="00007970">
              <w:rPr>
                <w:rFonts w:ascii="Calibri" w:hAnsi="Calibri"/>
                <w:color w:val="000000"/>
                <w:sz w:val="22"/>
                <w:szCs w:val="22"/>
              </w:rPr>
              <w:t>84.6%</w:t>
            </w:r>
          </w:p>
        </w:tc>
        <w:tc>
          <w:tcPr>
            <w:tcW w:w="940" w:type="dxa"/>
            <w:tcBorders>
              <w:top w:val="nil"/>
              <w:left w:val="nil"/>
              <w:bottom w:val="nil"/>
              <w:right w:val="nil"/>
            </w:tcBorders>
            <w:shd w:val="clear" w:color="auto" w:fill="auto"/>
            <w:noWrap/>
            <w:vAlign w:val="bottom"/>
            <w:hideMark/>
          </w:tcPr>
          <w:p w:rsidR="00007970" w:rsidRPr="00007970" w:rsidRDefault="00007970" w:rsidP="00007970">
            <w:pPr>
              <w:jc w:val="right"/>
              <w:rPr>
                <w:rFonts w:ascii="Calibri" w:hAnsi="Calibri"/>
                <w:color w:val="000000"/>
                <w:sz w:val="22"/>
                <w:szCs w:val="22"/>
              </w:rPr>
            </w:pPr>
            <w:r w:rsidRPr="00007970">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007970" w:rsidRPr="00007970" w:rsidRDefault="00007970" w:rsidP="00007970">
            <w:pPr>
              <w:jc w:val="right"/>
              <w:rPr>
                <w:rFonts w:ascii="Calibri" w:hAnsi="Calibri"/>
                <w:color w:val="000000"/>
                <w:sz w:val="22"/>
                <w:szCs w:val="22"/>
              </w:rPr>
            </w:pPr>
            <w:r w:rsidRPr="00007970">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007970" w:rsidRPr="00007970" w:rsidRDefault="00007970" w:rsidP="00007970">
            <w:pPr>
              <w:jc w:val="right"/>
              <w:rPr>
                <w:rFonts w:ascii="Calibri" w:hAnsi="Calibri"/>
                <w:color w:val="000000"/>
                <w:sz w:val="22"/>
                <w:szCs w:val="22"/>
              </w:rPr>
            </w:pPr>
            <w:r w:rsidRPr="00007970">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007970" w:rsidRPr="00007970" w:rsidRDefault="00007970" w:rsidP="00007970">
            <w:pPr>
              <w:jc w:val="right"/>
              <w:rPr>
                <w:rFonts w:ascii="Calibri" w:hAnsi="Calibri"/>
                <w:color w:val="000000"/>
                <w:sz w:val="22"/>
                <w:szCs w:val="22"/>
              </w:rPr>
            </w:pPr>
            <w:r w:rsidRPr="00007970">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007970" w:rsidRPr="00007970" w:rsidRDefault="00007970" w:rsidP="00007970">
            <w:pPr>
              <w:jc w:val="right"/>
              <w:rPr>
                <w:rFonts w:ascii="Calibri" w:hAnsi="Calibri"/>
                <w:color w:val="000000"/>
                <w:sz w:val="22"/>
                <w:szCs w:val="22"/>
              </w:rPr>
            </w:pPr>
            <w:r w:rsidRPr="00007970">
              <w:rPr>
                <w:rFonts w:ascii="Calibri" w:hAnsi="Calibri"/>
                <w:color w:val="000000"/>
                <w:sz w:val="22"/>
                <w:szCs w:val="22"/>
              </w:rPr>
              <w:t>.</w:t>
            </w:r>
          </w:p>
        </w:tc>
      </w:tr>
      <w:tr w:rsidR="00007970" w:rsidRPr="00007970" w:rsidTr="00007970">
        <w:trPr>
          <w:trHeight w:val="300"/>
        </w:trPr>
        <w:tc>
          <w:tcPr>
            <w:tcW w:w="1420" w:type="dxa"/>
            <w:tcBorders>
              <w:top w:val="nil"/>
              <w:left w:val="nil"/>
              <w:bottom w:val="nil"/>
              <w:right w:val="nil"/>
            </w:tcBorders>
            <w:shd w:val="clear" w:color="000000" w:fill="D9D9D9"/>
            <w:noWrap/>
            <w:vAlign w:val="bottom"/>
            <w:hideMark/>
          </w:tcPr>
          <w:p w:rsidR="00007970" w:rsidRPr="00007970" w:rsidRDefault="00007970" w:rsidP="00007970">
            <w:pPr>
              <w:rPr>
                <w:rFonts w:ascii="Calibri" w:hAnsi="Calibri"/>
                <w:color w:val="000000"/>
                <w:sz w:val="22"/>
                <w:szCs w:val="22"/>
              </w:rPr>
            </w:pPr>
            <w:r w:rsidRPr="00007970">
              <w:rPr>
                <w:rFonts w:ascii="Calibri" w:hAnsi="Calibri"/>
                <w:color w:val="000000"/>
                <w:sz w:val="22"/>
                <w:szCs w:val="22"/>
              </w:rPr>
              <w:t>0681</w:t>
            </w:r>
            <w:r w:rsidR="006856B5">
              <w:rPr>
                <w:rFonts w:ascii="Calibri" w:hAnsi="Calibri"/>
                <w:color w:val="000000"/>
                <w:sz w:val="22"/>
                <w:szCs w:val="22"/>
              </w:rPr>
              <w:t xml:space="preserve"> </w:t>
            </w:r>
          </w:p>
        </w:tc>
        <w:tc>
          <w:tcPr>
            <w:tcW w:w="3220" w:type="dxa"/>
            <w:tcBorders>
              <w:top w:val="nil"/>
              <w:left w:val="nil"/>
              <w:bottom w:val="nil"/>
              <w:right w:val="nil"/>
            </w:tcBorders>
            <w:shd w:val="clear" w:color="000000" w:fill="D9D9D9"/>
            <w:noWrap/>
            <w:vAlign w:val="bottom"/>
            <w:hideMark/>
          </w:tcPr>
          <w:p w:rsidR="00007970" w:rsidRPr="00007970" w:rsidRDefault="00007970" w:rsidP="00007970">
            <w:pPr>
              <w:rPr>
                <w:rFonts w:ascii="Calibri" w:hAnsi="Calibri"/>
                <w:color w:val="000000"/>
                <w:sz w:val="22"/>
                <w:szCs w:val="22"/>
              </w:rPr>
            </w:pPr>
            <w:r w:rsidRPr="00007970">
              <w:rPr>
                <w:rFonts w:ascii="Calibri" w:hAnsi="Calibri"/>
                <w:color w:val="000000"/>
                <w:sz w:val="22"/>
                <w:szCs w:val="22"/>
              </w:rPr>
              <w:t>Physical Therapist Assistant</w:t>
            </w:r>
          </w:p>
        </w:tc>
        <w:tc>
          <w:tcPr>
            <w:tcW w:w="1760" w:type="dxa"/>
            <w:tcBorders>
              <w:top w:val="nil"/>
              <w:left w:val="nil"/>
              <w:bottom w:val="nil"/>
              <w:right w:val="nil"/>
            </w:tcBorders>
            <w:shd w:val="clear" w:color="000000" w:fill="D9D9D9"/>
            <w:noWrap/>
            <w:vAlign w:val="bottom"/>
            <w:hideMark/>
          </w:tcPr>
          <w:p w:rsidR="00007970" w:rsidRPr="00007970" w:rsidRDefault="00007970" w:rsidP="00007970">
            <w:pPr>
              <w:rPr>
                <w:rFonts w:ascii="Calibri" w:hAnsi="Calibri"/>
                <w:color w:val="000000"/>
                <w:sz w:val="22"/>
                <w:szCs w:val="22"/>
              </w:rPr>
            </w:pPr>
            <w:r w:rsidRPr="00007970">
              <w:rPr>
                <w:rFonts w:ascii="Calibri" w:hAnsi="Calibri"/>
                <w:color w:val="000000"/>
                <w:sz w:val="22"/>
                <w:szCs w:val="22"/>
              </w:rPr>
              <w:t>PTA-9238</w:t>
            </w:r>
          </w:p>
        </w:tc>
        <w:tc>
          <w:tcPr>
            <w:tcW w:w="460" w:type="dxa"/>
            <w:tcBorders>
              <w:top w:val="nil"/>
              <w:left w:val="nil"/>
              <w:bottom w:val="nil"/>
              <w:right w:val="nil"/>
            </w:tcBorders>
            <w:shd w:val="clear" w:color="000000" w:fill="D9D9D9"/>
            <w:noWrap/>
            <w:vAlign w:val="bottom"/>
            <w:hideMark/>
          </w:tcPr>
          <w:p w:rsidR="00007970" w:rsidRPr="00007970" w:rsidRDefault="00007970" w:rsidP="00007970">
            <w:pPr>
              <w:rPr>
                <w:rFonts w:ascii="Calibri" w:hAnsi="Calibri"/>
                <w:color w:val="000000"/>
                <w:sz w:val="22"/>
                <w:szCs w:val="22"/>
              </w:rPr>
            </w:pPr>
            <w:r w:rsidRPr="00007970">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007970" w:rsidRPr="00007970" w:rsidRDefault="00007970" w:rsidP="00007970">
            <w:pPr>
              <w:jc w:val="right"/>
              <w:rPr>
                <w:rFonts w:ascii="Calibri" w:hAnsi="Calibri"/>
                <w:color w:val="000000"/>
                <w:sz w:val="22"/>
                <w:szCs w:val="22"/>
              </w:rPr>
            </w:pPr>
            <w:r w:rsidRPr="00007970">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007970" w:rsidRPr="00007970" w:rsidRDefault="00007970" w:rsidP="00007970">
            <w:pPr>
              <w:jc w:val="right"/>
              <w:rPr>
                <w:rFonts w:ascii="Calibri" w:hAnsi="Calibri"/>
                <w:color w:val="000000"/>
                <w:sz w:val="22"/>
                <w:szCs w:val="22"/>
              </w:rPr>
            </w:pPr>
            <w:r w:rsidRPr="00007970">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007970" w:rsidRPr="00007970" w:rsidRDefault="00007970" w:rsidP="00007970">
            <w:pPr>
              <w:jc w:val="right"/>
              <w:rPr>
                <w:rFonts w:ascii="Calibri" w:hAnsi="Calibri"/>
                <w:color w:val="000000"/>
                <w:sz w:val="22"/>
                <w:szCs w:val="22"/>
              </w:rPr>
            </w:pPr>
            <w:r w:rsidRPr="00007970">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007970" w:rsidRPr="00007970" w:rsidRDefault="00007970" w:rsidP="00007970">
            <w:pPr>
              <w:jc w:val="right"/>
              <w:rPr>
                <w:rFonts w:ascii="Calibri" w:hAnsi="Calibri"/>
                <w:color w:val="000000"/>
                <w:sz w:val="22"/>
                <w:szCs w:val="22"/>
              </w:rPr>
            </w:pPr>
            <w:r w:rsidRPr="00007970">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007970" w:rsidRPr="00007970" w:rsidRDefault="00007970" w:rsidP="00007970">
            <w:pPr>
              <w:jc w:val="right"/>
              <w:rPr>
                <w:rFonts w:ascii="Calibri" w:hAnsi="Calibri"/>
                <w:color w:val="000000"/>
                <w:sz w:val="22"/>
                <w:szCs w:val="22"/>
              </w:rPr>
            </w:pPr>
            <w:r w:rsidRPr="00007970">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007970" w:rsidRPr="00007970" w:rsidRDefault="00007970" w:rsidP="00007970">
            <w:pPr>
              <w:jc w:val="right"/>
              <w:rPr>
                <w:rFonts w:ascii="Calibri" w:hAnsi="Calibri"/>
                <w:color w:val="000000"/>
                <w:sz w:val="22"/>
                <w:szCs w:val="22"/>
              </w:rPr>
            </w:pPr>
            <w:r w:rsidRPr="00007970">
              <w:rPr>
                <w:rFonts w:ascii="Calibri" w:hAnsi="Calibri"/>
                <w:color w:val="000000"/>
                <w:sz w:val="22"/>
                <w:szCs w:val="22"/>
              </w:rPr>
              <w:t>97.1%</w:t>
            </w:r>
          </w:p>
        </w:tc>
        <w:tc>
          <w:tcPr>
            <w:tcW w:w="940" w:type="dxa"/>
            <w:tcBorders>
              <w:top w:val="nil"/>
              <w:left w:val="nil"/>
              <w:bottom w:val="nil"/>
              <w:right w:val="nil"/>
            </w:tcBorders>
            <w:shd w:val="clear" w:color="000000" w:fill="D9D9D9"/>
            <w:noWrap/>
            <w:vAlign w:val="bottom"/>
            <w:hideMark/>
          </w:tcPr>
          <w:p w:rsidR="00007970" w:rsidRPr="00007970" w:rsidRDefault="00007970" w:rsidP="00007970">
            <w:pPr>
              <w:jc w:val="right"/>
              <w:rPr>
                <w:rFonts w:ascii="Calibri" w:hAnsi="Calibri"/>
                <w:color w:val="000000"/>
                <w:sz w:val="22"/>
                <w:szCs w:val="22"/>
              </w:rPr>
            </w:pPr>
            <w:r w:rsidRPr="00007970">
              <w:rPr>
                <w:rFonts w:ascii="Calibri" w:hAnsi="Calibri"/>
                <w:color w:val="000000"/>
                <w:sz w:val="22"/>
                <w:szCs w:val="22"/>
              </w:rPr>
              <w:t>.</w:t>
            </w:r>
          </w:p>
        </w:tc>
      </w:tr>
    </w:tbl>
    <w:p w:rsidR="007D2C36" w:rsidRDefault="007D2C36" w:rsidP="00674F12">
      <w:pPr>
        <w:spacing w:after="200" w:line="276" w:lineRule="auto"/>
        <w:rPr>
          <w:rFonts w:ascii="Arial" w:hAnsi="Arial" w:cs="Arial"/>
          <w:b/>
          <w:color w:val="000000" w:themeColor="text1"/>
        </w:rPr>
        <w:sectPr w:rsidR="007D2C36" w:rsidSect="004D531F">
          <w:pgSz w:w="15840" w:h="12240" w:orient="landscape"/>
          <w:pgMar w:top="1440" w:right="1152" w:bottom="1440" w:left="1152" w:header="720" w:footer="288" w:gutter="0"/>
          <w:cols w:space="720"/>
          <w:docGrid w:linePitch="360"/>
        </w:sectPr>
      </w:pPr>
    </w:p>
    <w:p w:rsidR="007D2C36" w:rsidRDefault="007D2C36" w:rsidP="007D2C36">
      <w:pPr>
        <w:jc w:val="center"/>
        <w:rPr>
          <w:b/>
          <w:sz w:val="28"/>
          <w:szCs w:val="28"/>
        </w:rPr>
      </w:pPr>
      <w:bookmarkStart w:id="2" w:name="ProgramsOutcomeData"/>
      <w:r w:rsidRPr="001F7167">
        <w:rPr>
          <w:b/>
          <w:sz w:val="28"/>
          <w:szCs w:val="28"/>
        </w:rPr>
        <w:lastRenderedPageBreak/>
        <w:t>Physical Therapist Assistant Program Outcomes</w:t>
      </w:r>
      <w:r>
        <w:rPr>
          <w:b/>
          <w:sz w:val="28"/>
          <w:szCs w:val="28"/>
        </w:rPr>
        <w:t xml:space="preserve"> Data</w:t>
      </w:r>
    </w:p>
    <w:bookmarkEnd w:id="2"/>
    <w:p w:rsidR="007D2C36" w:rsidRPr="001F7167" w:rsidRDefault="007D2C36" w:rsidP="007D2C36">
      <w:pPr>
        <w:jc w:val="center"/>
        <w:rPr>
          <w:b/>
          <w:sz w:val="28"/>
          <w:szCs w:val="28"/>
        </w:rPr>
      </w:pPr>
      <w:r>
        <w:rPr>
          <w:b/>
          <w:sz w:val="28"/>
          <w:szCs w:val="28"/>
        </w:rPr>
        <w:t>PTA Program Outcomes</w:t>
      </w:r>
    </w:p>
    <w:p w:rsidR="007D2C36" w:rsidRDefault="007D2C36" w:rsidP="007D2C36">
      <w:pPr>
        <w:pStyle w:val="ListParagraph"/>
        <w:numPr>
          <w:ilvl w:val="0"/>
          <w:numId w:val="29"/>
        </w:numPr>
        <w:spacing w:after="160" w:line="259" w:lineRule="auto"/>
      </w:pPr>
      <w:r w:rsidRPr="009E2D83">
        <w:t>Demonstrate appropriate, effective written, oral and non-verbal communication, which reflects sensitivity and awareness to individual and cultural differences in all aspects of physical therapy services.</w:t>
      </w:r>
    </w:p>
    <w:p w:rsidR="007D2C36" w:rsidRPr="009E2D83" w:rsidRDefault="007D2C36" w:rsidP="007D2C36">
      <w:pPr>
        <w:pStyle w:val="ListParagraph"/>
      </w:pPr>
    </w:p>
    <w:p w:rsidR="007D2C36" w:rsidRDefault="007D2C36" w:rsidP="007D2C36">
      <w:pPr>
        <w:pStyle w:val="ListParagraph"/>
        <w:numPr>
          <w:ilvl w:val="0"/>
          <w:numId w:val="29"/>
        </w:numPr>
        <w:spacing w:after="160" w:line="259" w:lineRule="auto"/>
      </w:pPr>
      <w:r w:rsidRPr="009E2D83">
        <w:t>Provide safe, competent interventions and patient education, based on the plan of care established by the PT to minimize risk to the patient, self and others and ensure appropriate patient outcomes.</w:t>
      </w:r>
    </w:p>
    <w:p w:rsidR="007D2C36" w:rsidRPr="009E2D83" w:rsidRDefault="007D2C36" w:rsidP="007D2C36">
      <w:pPr>
        <w:pStyle w:val="ListParagraph"/>
      </w:pPr>
    </w:p>
    <w:p w:rsidR="007D2C36" w:rsidRDefault="007D2C36" w:rsidP="007D2C36">
      <w:pPr>
        <w:pStyle w:val="ListParagraph"/>
        <w:numPr>
          <w:ilvl w:val="0"/>
          <w:numId w:val="29"/>
        </w:numPr>
        <w:spacing w:after="160" w:line="259" w:lineRule="auto"/>
      </w:pPr>
      <w:r w:rsidRPr="009E2D83">
        <w:t>Demonstrate clinical problem-solving skills in order to adjust the plan of care established by the PT, provide supervision of the physical therapy aide and work effectively on an interdisciplinary team.</w:t>
      </w:r>
    </w:p>
    <w:p w:rsidR="007D2C36" w:rsidRPr="009E2D83" w:rsidRDefault="007D2C36" w:rsidP="007D2C36">
      <w:pPr>
        <w:pStyle w:val="ListParagraph"/>
      </w:pPr>
    </w:p>
    <w:p w:rsidR="007D2C36" w:rsidRDefault="007D2C36" w:rsidP="007D2C36">
      <w:pPr>
        <w:pStyle w:val="ListParagraph"/>
        <w:numPr>
          <w:ilvl w:val="0"/>
          <w:numId w:val="29"/>
        </w:numPr>
        <w:spacing w:line="259" w:lineRule="auto"/>
      </w:pPr>
      <w:r w:rsidRPr="009E2D83">
        <w:t>Provide quality, efficient and cost effective physical therapy services utilizing human and material resources, computer technology and current knowledge of reimbursement and regulatory requirements and state practice acts.</w:t>
      </w:r>
    </w:p>
    <w:p w:rsidR="007D2C36" w:rsidRPr="009E2D83" w:rsidRDefault="007D2C36" w:rsidP="007D2C36"/>
    <w:p w:rsidR="007D2C36" w:rsidRDefault="007D2C36" w:rsidP="007D2C36">
      <w:pPr>
        <w:pStyle w:val="ListParagraph"/>
        <w:numPr>
          <w:ilvl w:val="0"/>
          <w:numId w:val="29"/>
        </w:numPr>
        <w:spacing w:after="160" w:line="259" w:lineRule="auto"/>
      </w:pPr>
      <w:r w:rsidRPr="009E2D83">
        <w:t>Perform data collection techniques as outlined in the plan of care, reported through accurate, timely and legible documentation.</w:t>
      </w:r>
    </w:p>
    <w:p w:rsidR="007D2C36" w:rsidRPr="009E2D83" w:rsidRDefault="007D2C36" w:rsidP="007D2C36">
      <w:pPr>
        <w:pStyle w:val="ListParagraph"/>
      </w:pPr>
    </w:p>
    <w:p w:rsidR="007D2C36" w:rsidRDefault="007D2C36" w:rsidP="007D2C36">
      <w:pPr>
        <w:pStyle w:val="ListParagraph"/>
        <w:numPr>
          <w:ilvl w:val="0"/>
          <w:numId w:val="29"/>
        </w:numPr>
        <w:spacing w:after="160" w:line="259" w:lineRule="auto"/>
      </w:pPr>
      <w:r w:rsidRPr="009E2D83">
        <w:t xml:space="preserve">Participate in professional development based on self-assessment, performance appraisals and demonstration of behaviors reflection conduct expectations outlined in </w:t>
      </w:r>
      <w:r w:rsidRPr="009E2D83">
        <w:rPr>
          <w:i/>
        </w:rPr>
        <w:t>the Code of Ethics and Guide for Professional Conduct</w:t>
      </w:r>
      <w:r w:rsidRPr="009E2D83">
        <w:t xml:space="preserve"> of The American Physical Therapy Association.</w:t>
      </w:r>
    </w:p>
    <w:p w:rsidR="007D2C36" w:rsidRDefault="007D2C36" w:rsidP="007D2C36">
      <w:pPr>
        <w:pStyle w:val="ListParagraph"/>
      </w:pPr>
    </w:p>
    <w:p w:rsidR="007D2C36" w:rsidRDefault="007D2C36" w:rsidP="007D2C36">
      <w:pPr>
        <w:pStyle w:val="ListParagraph"/>
        <w:rPr>
          <w:b/>
          <w:u w:val="single"/>
        </w:rPr>
      </w:pPr>
    </w:p>
    <w:p w:rsidR="007D2C36" w:rsidRDefault="007D2C36" w:rsidP="007D2C36">
      <w:pPr>
        <w:pStyle w:val="ListParagraph"/>
        <w:rPr>
          <w:b/>
          <w:u w:val="single"/>
        </w:rPr>
      </w:pPr>
    </w:p>
    <w:p w:rsidR="007D2C36" w:rsidRDefault="007D2C36" w:rsidP="007D2C36">
      <w:pPr>
        <w:pStyle w:val="ListParagraph"/>
        <w:rPr>
          <w:b/>
          <w:u w:val="single"/>
        </w:rPr>
      </w:pPr>
    </w:p>
    <w:p w:rsidR="007D2C36" w:rsidRDefault="007D2C36" w:rsidP="007D2C36">
      <w:pPr>
        <w:pStyle w:val="ListParagraph"/>
        <w:rPr>
          <w:b/>
          <w:u w:val="single"/>
        </w:rPr>
      </w:pPr>
    </w:p>
    <w:p w:rsidR="007D2C36" w:rsidRDefault="007D2C36" w:rsidP="007D2C36">
      <w:pPr>
        <w:pStyle w:val="ListParagraph"/>
        <w:rPr>
          <w:b/>
          <w:u w:val="single"/>
        </w:rPr>
      </w:pPr>
    </w:p>
    <w:p w:rsidR="007D2C36" w:rsidRDefault="007D2C36" w:rsidP="007D2C36">
      <w:pPr>
        <w:pStyle w:val="ListParagraph"/>
        <w:rPr>
          <w:b/>
          <w:u w:val="single"/>
        </w:rPr>
      </w:pPr>
    </w:p>
    <w:p w:rsidR="007D2C36" w:rsidRDefault="007D2C36" w:rsidP="007D2C36">
      <w:pPr>
        <w:pStyle w:val="ListParagraph"/>
        <w:rPr>
          <w:b/>
          <w:u w:val="single"/>
        </w:rPr>
      </w:pPr>
    </w:p>
    <w:p w:rsidR="007D2C36" w:rsidRDefault="007D2C36" w:rsidP="007D2C36">
      <w:pPr>
        <w:pStyle w:val="ListParagraph"/>
        <w:rPr>
          <w:b/>
          <w:u w:val="single"/>
        </w:rPr>
      </w:pPr>
    </w:p>
    <w:p w:rsidR="007D2C36" w:rsidRDefault="007D2C36" w:rsidP="007D2C36">
      <w:pPr>
        <w:pStyle w:val="ListParagraph"/>
        <w:rPr>
          <w:b/>
          <w:u w:val="single"/>
        </w:rPr>
      </w:pPr>
    </w:p>
    <w:p w:rsidR="007D2C36" w:rsidRDefault="007D2C36" w:rsidP="007D2C36">
      <w:pPr>
        <w:pStyle w:val="ListParagraph"/>
        <w:rPr>
          <w:b/>
          <w:u w:val="single"/>
        </w:rPr>
      </w:pPr>
    </w:p>
    <w:p w:rsidR="007D2C36" w:rsidRDefault="007D2C36" w:rsidP="007D2C36">
      <w:pPr>
        <w:pStyle w:val="ListParagraph"/>
        <w:rPr>
          <w:b/>
          <w:u w:val="single"/>
        </w:rPr>
      </w:pPr>
    </w:p>
    <w:p w:rsidR="007D2C36" w:rsidRDefault="007D2C36" w:rsidP="007D2C36">
      <w:pPr>
        <w:pStyle w:val="ListParagraph"/>
        <w:rPr>
          <w:b/>
          <w:u w:val="single"/>
        </w:rPr>
      </w:pPr>
    </w:p>
    <w:p w:rsidR="007D2C36" w:rsidRDefault="007D2C36" w:rsidP="007D2C36">
      <w:pPr>
        <w:rPr>
          <w:b/>
          <w:u w:val="single"/>
        </w:rPr>
      </w:pPr>
    </w:p>
    <w:p w:rsidR="007D2C36" w:rsidRPr="00962B70" w:rsidRDefault="007D2C36" w:rsidP="007D2C36">
      <w:pPr>
        <w:rPr>
          <w:b/>
          <w:u w:val="single"/>
        </w:rPr>
      </w:pPr>
    </w:p>
    <w:p w:rsidR="007D2C36" w:rsidRDefault="007D2C36" w:rsidP="007D2C36">
      <w:pPr>
        <w:pStyle w:val="ListParagraph"/>
        <w:rPr>
          <w:b/>
          <w:u w:val="single"/>
        </w:rPr>
      </w:pPr>
    </w:p>
    <w:p w:rsidR="007D2C36" w:rsidRDefault="007D2C36" w:rsidP="007D2C36">
      <w:pPr>
        <w:pStyle w:val="ListParagraph"/>
        <w:ind w:hanging="720"/>
        <w:rPr>
          <w:b/>
          <w:u w:val="single"/>
        </w:rPr>
      </w:pPr>
    </w:p>
    <w:p w:rsidR="007D2C36" w:rsidRDefault="007D2C36" w:rsidP="007D2C36">
      <w:pPr>
        <w:pStyle w:val="ListParagraph"/>
        <w:ind w:hanging="720"/>
        <w:rPr>
          <w:b/>
          <w:u w:val="single"/>
        </w:rPr>
      </w:pPr>
    </w:p>
    <w:p w:rsidR="007D2C36" w:rsidRDefault="007D2C36" w:rsidP="007D2C36">
      <w:pPr>
        <w:pStyle w:val="ListParagraph"/>
        <w:ind w:hanging="720"/>
        <w:rPr>
          <w:b/>
          <w:u w:val="single"/>
        </w:rPr>
      </w:pPr>
    </w:p>
    <w:p w:rsidR="007D2C36" w:rsidRDefault="007D2C36" w:rsidP="007D2C36">
      <w:pPr>
        <w:pStyle w:val="ListParagraph"/>
        <w:ind w:hanging="720"/>
        <w:rPr>
          <w:b/>
          <w:u w:val="single"/>
        </w:rPr>
      </w:pPr>
    </w:p>
    <w:p w:rsidR="007D2C36" w:rsidRDefault="007D2C36" w:rsidP="007D2C36">
      <w:pPr>
        <w:pStyle w:val="ListParagraph"/>
        <w:ind w:hanging="720"/>
        <w:rPr>
          <w:b/>
          <w:u w:val="single"/>
        </w:rPr>
      </w:pPr>
      <w:r>
        <w:rPr>
          <w:b/>
          <w:u w:val="single"/>
        </w:rPr>
        <w:lastRenderedPageBreak/>
        <w:t>Graduate Survey Data:</w:t>
      </w:r>
    </w:p>
    <w:p w:rsidR="007D2C36" w:rsidRPr="001F7167" w:rsidRDefault="007D2C36" w:rsidP="007D2C36">
      <w:pPr>
        <w:pStyle w:val="ListParagraph"/>
        <w:rPr>
          <w:b/>
          <w:u w:val="single"/>
        </w:rPr>
      </w:pPr>
    </w:p>
    <w:p w:rsidR="007D2C36" w:rsidRDefault="007D2C36" w:rsidP="007D2C36">
      <w:pPr>
        <w:pStyle w:val="ListParagraph"/>
      </w:pPr>
      <w:bookmarkStart w:id="3" w:name="Fig1"/>
      <w:r>
        <w:rPr>
          <w:noProof/>
        </w:rPr>
        <w:drawing>
          <wp:inline distT="0" distB="0" distL="0" distR="0" wp14:anchorId="7EA75C7E" wp14:editId="7594389E">
            <wp:extent cx="5829300" cy="2743200"/>
            <wp:effectExtent l="0" t="0" r="0"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bookmarkEnd w:id="3"/>
    </w:p>
    <w:p w:rsidR="007D2C36" w:rsidRDefault="007D2C36" w:rsidP="007D2C36">
      <w:pPr>
        <w:pStyle w:val="ListParagraph"/>
      </w:pPr>
      <w:r>
        <w:t xml:space="preserve">Figure 1.  This graph compares the graduates’ perception of the importance of each program outcome to the function of a PTA.  A 1 to 7 scale was used where 1 = Not Important and 7 = Very Important.  </w:t>
      </w:r>
    </w:p>
    <w:p w:rsidR="007D2C36" w:rsidRDefault="007D2C36" w:rsidP="007D2C36">
      <w:pPr>
        <w:pStyle w:val="ListParagraph"/>
      </w:pPr>
    </w:p>
    <w:p w:rsidR="007D2C36" w:rsidRDefault="007D2C36" w:rsidP="007D2C36">
      <w:pPr>
        <w:pStyle w:val="ListParagraph"/>
        <w:rPr>
          <w:noProof/>
        </w:rPr>
      </w:pPr>
    </w:p>
    <w:p w:rsidR="007D2C36" w:rsidRDefault="007D2C36" w:rsidP="007D2C36">
      <w:pPr>
        <w:pStyle w:val="ListParagraph"/>
      </w:pPr>
      <w:bookmarkStart w:id="4" w:name="Fig2"/>
      <w:r>
        <w:rPr>
          <w:noProof/>
        </w:rPr>
        <w:drawing>
          <wp:inline distT="0" distB="0" distL="0" distR="0" wp14:anchorId="524D0680" wp14:editId="6FFF3523">
            <wp:extent cx="5943600" cy="2847340"/>
            <wp:effectExtent l="0" t="0" r="0" b="1016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bookmarkEnd w:id="4"/>
    </w:p>
    <w:p w:rsidR="007D2C36" w:rsidRDefault="007D2C36" w:rsidP="007D2C36">
      <w:pPr>
        <w:pStyle w:val="ListParagraph"/>
      </w:pPr>
      <w:r>
        <w:t xml:space="preserve">Figure 2.  This graph compares the graduates’ satisfaction with their preparation for each program outcome in the PTA program.  A 1 to 7 scale was used where 1 = Not Important and 7 = Very Important.  </w:t>
      </w:r>
    </w:p>
    <w:p w:rsidR="007D2C36" w:rsidRDefault="007D2C36" w:rsidP="007D2C36">
      <w:pPr>
        <w:ind w:left="810" w:hanging="810"/>
      </w:pPr>
      <w:r>
        <w:tab/>
      </w:r>
    </w:p>
    <w:p w:rsidR="007D2C36" w:rsidRDefault="007D2C36" w:rsidP="007D2C36"/>
    <w:p w:rsidR="007D2C36" w:rsidRDefault="007D2C36" w:rsidP="007D2C36">
      <w:pPr>
        <w:jc w:val="center"/>
        <w:rPr>
          <w:b/>
        </w:rPr>
      </w:pPr>
    </w:p>
    <w:p w:rsidR="007D2C36" w:rsidRDefault="007D2C36" w:rsidP="007D2C36">
      <w:pPr>
        <w:jc w:val="center"/>
        <w:rPr>
          <w:b/>
        </w:rPr>
      </w:pPr>
    </w:p>
    <w:p w:rsidR="007D2C36" w:rsidRDefault="007D2C36" w:rsidP="007D2C36">
      <w:pPr>
        <w:jc w:val="center"/>
        <w:rPr>
          <w:b/>
        </w:rPr>
      </w:pPr>
    </w:p>
    <w:p w:rsidR="007D2C36" w:rsidRPr="00BF415A" w:rsidRDefault="007D2C36" w:rsidP="007D2C36">
      <w:pPr>
        <w:jc w:val="center"/>
        <w:rPr>
          <w:b/>
        </w:rPr>
      </w:pPr>
      <w:r w:rsidRPr="00BF415A">
        <w:rPr>
          <w:b/>
        </w:rPr>
        <w:lastRenderedPageBreak/>
        <w:t>Program Outcome #1</w:t>
      </w:r>
    </w:p>
    <w:p w:rsidR="007D2C36" w:rsidRDefault="007D2C36" w:rsidP="007D2C36">
      <w:pPr>
        <w:jc w:val="center"/>
        <w:rPr>
          <w:b/>
        </w:rPr>
      </w:pPr>
      <w:r w:rsidRPr="00BF415A">
        <w:rPr>
          <w:b/>
        </w:rPr>
        <w:t>Demonstrate appropriate, effective written, oral and non-verbal communication, which reflects sensitivity and awareness to individual and cultural differences in all aspects of physical therapy services.</w:t>
      </w:r>
    </w:p>
    <w:p w:rsidR="007D2C36" w:rsidRDefault="007D2C36" w:rsidP="007D2C36">
      <w:pPr>
        <w:jc w:val="center"/>
        <w:rPr>
          <w:b/>
        </w:rPr>
      </w:pPr>
    </w:p>
    <w:p w:rsidR="007D2C36" w:rsidRPr="001F7167" w:rsidRDefault="007D2C36" w:rsidP="007D2C36">
      <w:pPr>
        <w:rPr>
          <w:b/>
        </w:rPr>
      </w:pPr>
      <w:r>
        <w:rPr>
          <w:b/>
          <w:u w:val="single"/>
        </w:rPr>
        <w:t>Clinical Performance Instrument (CPI) Data:</w:t>
      </w:r>
      <w:r>
        <w:rPr>
          <w:b/>
        </w:rPr>
        <w:t xml:space="preserve">  Communication</w:t>
      </w:r>
    </w:p>
    <w:p w:rsidR="007D2C36" w:rsidRPr="001F7167" w:rsidRDefault="007D2C36" w:rsidP="007D2C36">
      <w:pPr>
        <w:rPr>
          <w:b/>
          <w:u w:val="single"/>
        </w:rPr>
      </w:pPr>
    </w:p>
    <w:p w:rsidR="007D2C36" w:rsidRDefault="007D2C36" w:rsidP="007D2C36">
      <w:pPr>
        <w:ind w:left="810" w:hanging="810"/>
        <w:jc w:val="center"/>
      </w:pPr>
      <w:r>
        <w:rPr>
          <w:noProof/>
        </w:rPr>
        <w:drawing>
          <wp:inline distT="0" distB="0" distL="0" distR="0" wp14:anchorId="2CA67B59" wp14:editId="09D6D416">
            <wp:extent cx="4505325" cy="2257425"/>
            <wp:effectExtent l="0" t="0" r="9525" b="9525"/>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7D2C36" w:rsidRDefault="007D2C36" w:rsidP="007D2C36">
      <w:pPr>
        <w:ind w:left="810" w:firstLine="360"/>
      </w:pPr>
      <w:r>
        <w:t>Figure 3.</w:t>
      </w:r>
    </w:p>
    <w:p w:rsidR="007D2C36" w:rsidRDefault="007D2C36" w:rsidP="007D2C36">
      <w:pPr>
        <w:ind w:left="810" w:hanging="810"/>
        <w:jc w:val="center"/>
      </w:pPr>
    </w:p>
    <w:p w:rsidR="007D2C36" w:rsidRDefault="007D2C36" w:rsidP="007D2C36">
      <w:pPr>
        <w:ind w:left="810" w:hanging="810"/>
        <w:jc w:val="center"/>
      </w:pPr>
    </w:p>
    <w:p w:rsidR="007D2C36" w:rsidRDefault="007D2C36" w:rsidP="007D2C36">
      <w:pPr>
        <w:ind w:left="810" w:hanging="810"/>
        <w:jc w:val="center"/>
      </w:pPr>
    </w:p>
    <w:p w:rsidR="007D2C36" w:rsidRDefault="007D2C36" w:rsidP="007D2C36">
      <w:pPr>
        <w:ind w:left="810" w:hanging="810"/>
        <w:jc w:val="center"/>
      </w:pPr>
      <w:r>
        <w:rPr>
          <w:noProof/>
        </w:rPr>
        <w:drawing>
          <wp:inline distT="0" distB="0" distL="0" distR="0" wp14:anchorId="1192FFCD" wp14:editId="4F6C0A9A">
            <wp:extent cx="4562475" cy="2257425"/>
            <wp:effectExtent l="0" t="0" r="9525" b="9525"/>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7D2C36" w:rsidRDefault="007D2C36" w:rsidP="007D2C36">
      <w:pPr>
        <w:ind w:left="810" w:firstLine="270"/>
      </w:pPr>
      <w:r>
        <w:t>Figure 4.</w:t>
      </w:r>
    </w:p>
    <w:p w:rsidR="007D2C36" w:rsidRDefault="007D2C36" w:rsidP="007D2C36">
      <w:pPr>
        <w:ind w:left="810" w:hanging="810"/>
        <w:jc w:val="center"/>
      </w:pPr>
    </w:p>
    <w:p w:rsidR="007D2C36" w:rsidRDefault="007D2C36" w:rsidP="007D2C36">
      <w:pPr>
        <w:ind w:left="810" w:hanging="810"/>
        <w:jc w:val="center"/>
      </w:pPr>
    </w:p>
    <w:p w:rsidR="007D2C36" w:rsidRDefault="007D2C36" w:rsidP="007D2C36"/>
    <w:p w:rsidR="007D2C36" w:rsidRDefault="007D2C36" w:rsidP="007D2C36">
      <w:pPr>
        <w:rPr>
          <w:b/>
          <w:u w:val="single"/>
        </w:rPr>
      </w:pPr>
    </w:p>
    <w:p w:rsidR="007D2C36" w:rsidRDefault="007D2C36" w:rsidP="007D2C36">
      <w:pPr>
        <w:rPr>
          <w:b/>
          <w:u w:val="single"/>
        </w:rPr>
      </w:pPr>
    </w:p>
    <w:p w:rsidR="007D2C36" w:rsidRDefault="007D2C36" w:rsidP="007D2C36">
      <w:pPr>
        <w:rPr>
          <w:b/>
          <w:u w:val="single"/>
        </w:rPr>
      </w:pPr>
    </w:p>
    <w:p w:rsidR="007D2C36" w:rsidRDefault="007D2C36" w:rsidP="007D2C36">
      <w:pPr>
        <w:rPr>
          <w:b/>
          <w:u w:val="single"/>
        </w:rPr>
      </w:pPr>
    </w:p>
    <w:p w:rsidR="007D2C36" w:rsidRDefault="007D2C36" w:rsidP="007D2C36">
      <w:pPr>
        <w:rPr>
          <w:b/>
          <w:u w:val="single"/>
        </w:rPr>
      </w:pPr>
    </w:p>
    <w:p w:rsidR="007D2C36" w:rsidRDefault="007D2C36" w:rsidP="007D2C36">
      <w:pPr>
        <w:rPr>
          <w:b/>
          <w:u w:val="single"/>
        </w:rPr>
      </w:pPr>
    </w:p>
    <w:p w:rsidR="007D2C36" w:rsidRDefault="007D2C36" w:rsidP="007D2C36">
      <w:pPr>
        <w:rPr>
          <w:b/>
        </w:rPr>
      </w:pPr>
      <w:bookmarkStart w:id="5" w:name="Fig5"/>
      <w:r>
        <w:rPr>
          <w:b/>
          <w:u w:val="single"/>
        </w:rPr>
        <w:lastRenderedPageBreak/>
        <w:t>CPI Data:</w:t>
      </w:r>
      <w:r>
        <w:rPr>
          <w:b/>
        </w:rPr>
        <w:t xml:space="preserve">  Cultural Competence</w:t>
      </w:r>
    </w:p>
    <w:bookmarkEnd w:id="5"/>
    <w:p w:rsidR="007D2C36" w:rsidRDefault="007D2C36" w:rsidP="007D2C36">
      <w:pPr>
        <w:rPr>
          <w:b/>
        </w:rPr>
      </w:pPr>
    </w:p>
    <w:p w:rsidR="007D2C36" w:rsidRPr="001F7167" w:rsidRDefault="007D2C36" w:rsidP="007D2C36">
      <w:pPr>
        <w:rPr>
          <w:b/>
        </w:rPr>
      </w:pPr>
    </w:p>
    <w:p w:rsidR="007D2C36" w:rsidRDefault="007D2C36" w:rsidP="007D2C36">
      <w:pPr>
        <w:ind w:left="810" w:hanging="810"/>
        <w:jc w:val="center"/>
      </w:pPr>
      <w:r>
        <w:rPr>
          <w:noProof/>
        </w:rPr>
        <w:drawing>
          <wp:inline distT="0" distB="0" distL="0" distR="0" wp14:anchorId="7EDF9972" wp14:editId="630EB302">
            <wp:extent cx="4648200" cy="2381250"/>
            <wp:effectExtent l="0" t="0" r="0" b="0"/>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7D2C36" w:rsidRDefault="007D2C36" w:rsidP="007D2C36">
      <w:pPr>
        <w:ind w:left="810" w:firstLine="270"/>
      </w:pPr>
      <w:r>
        <w:t>Figure 5.</w:t>
      </w:r>
    </w:p>
    <w:p w:rsidR="007D2C36" w:rsidRDefault="007D2C36" w:rsidP="007D2C36">
      <w:pPr>
        <w:ind w:left="810" w:hanging="810"/>
        <w:jc w:val="center"/>
      </w:pPr>
    </w:p>
    <w:p w:rsidR="007D2C36" w:rsidRDefault="007D2C36" w:rsidP="007D2C36">
      <w:pPr>
        <w:ind w:left="810" w:hanging="810"/>
        <w:jc w:val="center"/>
      </w:pPr>
    </w:p>
    <w:p w:rsidR="007D2C36" w:rsidRDefault="007D2C36" w:rsidP="007D2C36">
      <w:pPr>
        <w:ind w:left="810" w:hanging="810"/>
        <w:jc w:val="center"/>
      </w:pPr>
    </w:p>
    <w:p w:rsidR="007D2C36" w:rsidRDefault="007D2C36" w:rsidP="007D2C36">
      <w:pPr>
        <w:ind w:left="810" w:hanging="810"/>
        <w:jc w:val="center"/>
      </w:pPr>
      <w:bookmarkStart w:id="6" w:name="Fig6"/>
      <w:r>
        <w:rPr>
          <w:noProof/>
        </w:rPr>
        <w:drawing>
          <wp:inline distT="0" distB="0" distL="0" distR="0" wp14:anchorId="45F632A9" wp14:editId="11025C8F">
            <wp:extent cx="4657725" cy="2571750"/>
            <wp:effectExtent l="0" t="0" r="9525" b="0"/>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bookmarkEnd w:id="6"/>
    </w:p>
    <w:p w:rsidR="007D2C36" w:rsidRDefault="007D2C36" w:rsidP="007D2C36">
      <w:pPr>
        <w:ind w:left="810" w:firstLine="180"/>
      </w:pPr>
      <w:r>
        <w:t>Figure 6.</w:t>
      </w:r>
    </w:p>
    <w:p w:rsidR="007D2C36" w:rsidRDefault="007D2C36" w:rsidP="007D2C36">
      <w:pPr>
        <w:ind w:left="810" w:hanging="810"/>
        <w:jc w:val="center"/>
      </w:pPr>
    </w:p>
    <w:p w:rsidR="007D2C36" w:rsidRDefault="007D2C36" w:rsidP="007D2C36">
      <w:pPr>
        <w:ind w:left="810" w:hanging="810"/>
        <w:jc w:val="center"/>
      </w:pPr>
    </w:p>
    <w:p w:rsidR="007D2C36" w:rsidRDefault="007D2C36" w:rsidP="007D2C36">
      <w:pPr>
        <w:ind w:left="810" w:hanging="810"/>
        <w:jc w:val="center"/>
      </w:pPr>
    </w:p>
    <w:p w:rsidR="007D2C36" w:rsidRDefault="007D2C36" w:rsidP="007D2C36">
      <w:pPr>
        <w:ind w:left="810" w:hanging="810"/>
        <w:jc w:val="center"/>
      </w:pPr>
    </w:p>
    <w:p w:rsidR="007D2C36" w:rsidRDefault="007D2C36" w:rsidP="007D2C36">
      <w:pPr>
        <w:ind w:left="810" w:hanging="810"/>
        <w:jc w:val="center"/>
      </w:pPr>
    </w:p>
    <w:p w:rsidR="007D2C36" w:rsidRDefault="007D2C36" w:rsidP="007D2C36">
      <w:pPr>
        <w:ind w:left="810" w:hanging="810"/>
        <w:jc w:val="center"/>
      </w:pPr>
    </w:p>
    <w:p w:rsidR="007D2C36" w:rsidRDefault="007D2C36" w:rsidP="007D2C36">
      <w:pPr>
        <w:ind w:left="810" w:hanging="810"/>
        <w:jc w:val="center"/>
      </w:pPr>
    </w:p>
    <w:p w:rsidR="007D2C36" w:rsidRDefault="007D2C36" w:rsidP="007D2C36">
      <w:pPr>
        <w:ind w:left="810" w:hanging="810"/>
        <w:jc w:val="center"/>
      </w:pPr>
    </w:p>
    <w:p w:rsidR="007D2C36" w:rsidRDefault="007D2C36" w:rsidP="007D2C36">
      <w:pPr>
        <w:ind w:left="810" w:hanging="810"/>
        <w:jc w:val="center"/>
      </w:pPr>
    </w:p>
    <w:p w:rsidR="007D2C36" w:rsidRDefault="007D2C36" w:rsidP="007D2C36">
      <w:pPr>
        <w:ind w:left="810" w:hanging="810"/>
        <w:jc w:val="center"/>
      </w:pPr>
    </w:p>
    <w:p w:rsidR="007D2C36" w:rsidRPr="003268F8" w:rsidRDefault="007D2C36" w:rsidP="007D2C36">
      <w:pPr>
        <w:ind w:left="810" w:hanging="810"/>
        <w:jc w:val="center"/>
        <w:rPr>
          <w:b/>
        </w:rPr>
      </w:pPr>
      <w:r w:rsidRPr="003268F8">
        <w:rPr>
          <w:b/>
        </w:rPr>
        <w:lastRenderedPageBreak/>
        <w:t>Program Outcome #2</w:t>
      </w:r>
    </w:p>
    <w:p w:rsidR="007D2C36" w:rsidRDefault="007D2C36" w:rsidP="007D2C36">
      <w:pPr>
        <w:jc w:val="center"/>
        <w:rPr>
          <w:b/>
        </w:rPr>
      </w:pPr>
      <w:r w:rsidRPr="003268F8">
        <w:rPr>
          <w:b/>
        </w:rPr>
        <w:t>Provide safe, competent interventions and patient education, based on the plan of care established by the PT to minimize risk to the patient, self and others and ensure appropriate patient outcomes.</w:t>
      </w:r>
    </w:p>
    <w:p w:rsidR="007D2C36" w:rsidRDefault="007D2C36" w:rsidP="007D2C36">
      <w:pPr>
        <w:jc w:val="center"/>
        <w:rPr>
          <w:b/>
        </w:rPr>
      </w:pPr>
    </w:p>
    <w:p w:rsidR="007D2C36" w:rsidRDefault="007D2C36" w:rsidP="007D2C36">
      <w:pPr>
        <w:rPr>
          <w:b/>
        </w:rPr>
      </w:pPr>
      <w:r>
        <w:rPr>
          <w:b/>
          <w:u w:val="single"/>
        </w:rPr>
        <w:t>CPI Data:</w:t>
      </w:r>
      <w:r>
        <w:rPr>
          <w:b/>
        </w:rPr>
        <w:t xml:space="preserve">  Safety</w:t>
      </w:r>
    </w:p>
    <w:p w:rsidR="007D2C36" w:rsidRPr="001F7167" w:rsidRDefault="007D2C36" w:rsidP="007D2C36"/>
    <w:p w:rsidR="007D2C36" w:rsidRDefault="007D2C36" w:rsidP="007D2C36">
      <w:pPr>
        <w:jc w:val="center"/>
      </w:pPr>
      <w:r>
        <w:rPr>
          <w:noProof/>
        </w:rPr>
        <w:drawing>
          <wp:inline distT="0" distB="0" distL="0" distR="0" wp14:anchorId="22A5814A" wp14:editId="425DB538">
            <wp:extent cx="4495800" cy="2390775"/>
            <wp:effectExtent l="0" t="0" r="0" b="9525"/>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7D2C36" w:rsidRDefault="007D2C36" w:rsidP="007D2C36">
      <w:pPr>
        <w:ind w:firstLine="1170"/>
      </w:pPr>
      <w:r>
        <w:t>Figure 7.</w:t>
      </w:r>
    </w:p>
    <w:p w:rsidR="007D2C36" w:rsidRDefault="007D2C36" w:rsidP="007D2C36">
      <w:pPr>
        <w:jc w:val="center"/>
      </w:pPr>
    </w:p>
    <w:p w:rsidR="007D2C36" w:rsidRDefault="007D2C36" w:rsidP="007D2C36">
      <w:pPr>
        <w:jc w:val="center"/>
      </w:pPr>
    </w:p>
    <w:p w:rsidR="007D2C36" w:rsidRPr="003268F8" w:rsidRDefault="007D2C36" w:rsidP="007D2C36">
      <w:pPr>
        <w:jc w:val="center"/>
      </w:pPr>
    </w:p>
    <w:p w:rsidR="007D2C36" w:rsidRDefault="007D2C36" w:rsidP="007D2C36">
      <w:pPr>
        <w:ind w:left="810" w:hanging="810"/>
        <w:jc w:val="center"/>
      </w:pPr>
      <w:r>
        <w:rPr>
          <w:noProof/>
        </w:rPr>
        <w:drawing>
          <wp:inline distT="0" distB="0" distL="0" distR="0" wp14:anchorId="1FFE0E2C" wp14:editId="707265E1">
            <wp:extent cx="4467225" cy="2543175"/>
            <wp:effectExtent l="0" t="0" r="9525" b="9525"/>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7D2C36" w:rsidRDefault="007D2C36" w:rsidP="007D2C36">
      <w:pPr>
        <w:ind w:left="810" w:firstLine="360"/>
      </w:pPr>
      <w:r>
        <w:t>Figure 8.</w:t>
      </w:r>
    </w:p>
    <w:p w:rsidR="007D2C36" w:rsidRDefault="007D2C36" w:rsidP="007D2C36">
      <w:pPr>
        <w:ind w:left="810" w:firstLine="360"/>
      </w:pPr>
    </w:p>
    <w:p w:rsidR="007D2C36" w:rsidRDefault="007D2C36" w:rsidP="007D2C36">
      <w:pPr>
        <w:ind w:left="810" w:firstLine="360"/>
      </w:pPr>
    </w:p>
    <w:p w:rsidR="007D2C36" w:rsidRDefault="007D2C36" w:rsidP="007D2C36">
      <w:pPr>
        <w:ind w:left="810" w:firstLine="360"/>
      </w:pPr>
    </w:p>
    <w:p w:rsidR="007D2C36" w:rsidRDefault="007D2C36" w:rsidP="007D2C36">
      <w:pPr>
        <w:ind w:left="810" w:hanging="810"/>
        <w:rPr>
          <w:b/>
          <w:u w:val="single"/>
        </w:rPr>
      </w:pPr>
    </w:p>
    <w:p w:rsidR="007D2C36" w:rsidRDefault="007D2C36" w:rsidP="007D2C36">
      <w:pPr>
        <w:ind w:left="810" w:hanging="810"/>
        <w:rPr>
          <w:b/>
          <w:u w:val="single"/>
        </w:rPr>
      </w:pPr>
    </w:p>
    <w:p w:rsidR="007D2C36" w:rsidRDefault="007D2C36" w:rsidP="007D2C36">
      <w:pPr>
        <w:ind w:left="810" w:hanging="810"/>
        <w:rPr>
          <w:b/>
          <w:u w:val="single"/>
        </w:rPr>
      </w:pPr>
    </w:p>
    <w:p w:rsidR="007D2C36" w:rsidRDefault="007D2C36" w:rsidP="007D2C36">
      <w:pPr>
        <w:ind w:left="810" w:hanging="810"/>
        <w:rPr>
          <w:b/>
        </w:rPr>
      </w:pPr>
      <w:r>
        <w:rPr>
          <w:b/>
          <w:u w:val="single"/>
        </w:rPr>
        <w:lastRenderedPageBreak/>
        <w:t>CPI Data:</w:t>
      </w:r>
      <w:r>
        <w:rPr>
          <w:b/>
        </w:rPr>
        <w:t xml:space="preserve">  Interventions – Therapeutic Exercise</w:t>
      </w:r>
    </w:p>
    <w:p w:rsidR="007D2C36" w:rsidRPr="001F7167" w:rsidRDefault="007D2C36" w:rsidP="007D2C36">
      <w:pPr>
        <w:ind w:left="810" w:hanging="810"/>
        <w:rPr>
          <w:b/>
        </w:rPr>
      </w:pPr>
    </w:p>
    <w:p w:rsidR="007D2C36" w:rsidRDefault="007D2C36" w:rsidP="007D2C36">
      <w:pPr>
        <w:ind w:left="810" w:hanging="810"/>
        <w:jc w:val="center"/>
      </w:pPr>
      <w:bookmarkStart w:id="7" w:name="Fig9"/>
      <w:r>
        <w:rPr>
          <w:noProof/>
        </w:rPr>
        <w:drawing>
          <wp:inline distT="0" distB="0" distL="0" distR="0" wp14:anchorId="6FBB55E8" wp14:editId="00DB9827">
            <wp:extent cx="4505325" cy="2524125"/>
            <wp:effectExtent l="0" t="0" r="9525" b="9525"/>
            <wp:docPr id="1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bookmarkEnd w:id="7"/>
    </w:p>
    <w:p w:rsidR="007D2C36" w:rsidRDefault="007D2C36" w:rsidP="007D2C36">
      <w:pPr>
        <w:ind w:left="810" w:firstLine="270"/>
      </w:pPr>
      <w:r>
        <w:t>Figure 9.</w:t>
      </w:r>
    </w:p>
    <w:p w:rsidR="007D2C36" w:rsidRDefault="007D2C36" w:rsidP="007D2C36">
      <w:pPr>
        <w:ind w:left="810" w:hanging="810"/>
        <w:jc w:val="center"/>
      </w:pPr>
    </w:p>
    <w:p w:rsidR="007D2C36" w:rsidRDefault="007D2C36" w:rsidP="007D2C36">
      <w:pPr>
        <w:ind w:left="810" w:hanging="810"/>
        <w:jc w:val="center"/>
      </w:pPr>
    </w:p>
    <w:p w:rsidR="007D2C36" w:rsidRDefault="007D2C36" w:rsidP="007D2C36">
      <w:pPr>
        <w:ind w:left="810" w:hanging="810"/>
        <w:jc w:val="center"/>
      </w:pPr>
    </w:p>
    <w:p w:rsidR="007D2C36" w:rsidRDefault="007D2C36" w:rsidP="007D2C36">
      <w:pPr>
        <w:ind w:left="810" w:hanging="810"/>
        <w:jc w:val="center"/>
      </w:pPr>
      <w:r>
        <w:rPr>
          <w:noProof/>
        </w:rPr>
        <w:drawing>
          <wp:inline distT="0" distB="0" distL="0" distR="0" wp14:anchorId="0368AED1" wp14:editId="62074691">
            <wp:extent cx="4495800" cy="2695575"/>
            <wp:effectExtent l="0" t="0" r="0" b="9525"/>
            <wp:docPr id="1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7D2C36" w:rsidRDefault="007D2C36" w:rsidP="007D2C36">
      <w:pPr>
        <w:ind w:left="810" w:firstLine="360"/>
      </w:pPr>
      <w:r>
        <w:t>Figure 10.</w:t>
      </w:r>
    </w:p>
    <w:p w:rsidR="007D2C36" w:rsidRDefault="007D2C36" w:rsidP="007D2C36">
      <w:pPr>
        <w:ind w:left="810" w:hanging="810"/>
        <w:jc w:val="center"/>
      </w:pPr>
    </w:p>
    <w:p w:rsidR="007D2C36" w:rsidRDefault="007D2C36" w:rsidP="007D2C36">
      <w:pPr>
        <w:ind w:left="810" w:hanging="810"/>
        <w:jc w:val="center"/>
      </w:pPr>
    </w:p>
    <w:p w:rsidR="007D2C36" w:rsidRDefault="007D2C36" w:rsidP="007D2C36">
      <w:pPr>
        <w:ind w:left="810" w:hanging="810"/>
        <w:jc w:val="center"/>
      </w:pPr>
    </w:p>
    <w:p w:rsidR="007D2C36" w:rsidRDefault="007D2C36" w:rsidP="007D2C36">
      <w:pPr>
        <w:ind w:left="810" w:hanging="810"/>
        <w:jc w:val="center"/>
      </w:pPr>
    </w:p>
    <w:p w:rsidR="007D2C36" w:rsidRDefault="007D2C36" w:rsidP="007D2C36">
      <w:pPr>
        <w:ind w:left="810" w:hanging="810"/>
        <w:jc w:val="center"/>
      </w:pPr>
    </w:p>
    <w:p w:rsidR="007D2C36" w:rsidRDefault="007D2C36" w:rsidP="007D2C36">
      <w:pPr>
        <w:ind w:left="810" w:hanging="810"/>
        <w:rPr>
          <w:b/>
          <w:u w:val="single"/>
        </w:rPr>
      </w:pPr>
    </w:p>
    <w:p w:rsidR="007D2C36" w:rsidRDefault="007D2C36" w:rsidP="007D2C36">
      <w:pPr>
        <w:ind w:left="810" w:hanging="810"/>
        <w:rPr>
          <w:b/>
          <w:u w:val="single"/>
        </w:rPr>
      </w:pPr>
    </w:p>
    <w:p w:rsidR="007D2C36" w:rsidRDefault="007D2C36" w:rsidP="007D2C36">
      <w:pPr>
        <w:ind w:left="810" w:hanging="810"/>
        <w:rPr>
          <w:b/>
          <w:u w:val="single"/>
        </w:rPr>
      </w:pPr>
    </w:p>
    <w:p w:rsidR="007D2C36" w:rsidRDefault="007D2C36" w:rsidP="007D2C36">
      <w:pPr>
        <w:ind w:left="810" w:hanging="810"/>
        <w:rPr>
          <w:b/>
          <w:u w:val="single"/>
        </w:rPr>
      </w:pPr>
    </w:p>
    <w:p w:rsidR="007D2C36" w:rsidRDefault="007D2C36" w:rsidP="007D2C36">
      <w:pPr>
        <w:ind w:left="810" w:hanging="810"/>
        <w:rPr>
          <w:b/>
          <w:u w:val="single"/>
        </w:rPr>
      </w:pPr>
    </w:p>
    <w:p w:rsidR="007D2C36" w:rsidRDefault="007D2C36" w:rsidP="007D2C36">
      <w:pPr>
        <w:ind w:left="810" w:hanging="810"/>
        <w:rPr>
          <w:b/>
        </w:rPr>
      </w:pPr>
      <w:r>
        <w:rPr>
          <w:b/>
          <w:u w:val="single"/>
        </w:rPr>
        <w:lastRenderedPageBreak/>
        <w:t>CPI Data:</w:t>
      </w:r>
      <w:r>
        <w:rPr>
          <w:b/>
        </w:rPr>
        <w:t xml:space="preserve">  Interventions – Therapeutic Techniques</w:t>
      </w:r>
    </w:p>
    <w:p w:rsidR="007D2C36" w:rsidRPr="001F7167" w:rsidRDefault="007D2C36" w:rsidP="007D2C36">
      <w:pPr>
        <w:ind w:left="810" w:hanging="810"/>
        <w:rPr>
          <w:b/>
        </w:rPr>
      </w:pPr>
    </w:p>
    <w:p w:rsidR="007D2C36" w:rsidRDefault="007D2C36" w:rsidP="007D2C36">
      <w:pPr>
        <w:ind w:left="810" w:hanging="810"/>
        <w:jc w:val="center"/>
      </w:pPr>
      <w:r>
        <w:rPr>
          <w:noProof/>
        </w:rPr>
        <w:drawing>
          <wp:inline distT="0" distB="0" distL="0" distR="0" wp14:anchorId="4C2B0851" wp14:editId="29EAEBA3">
            <wp:extent cx="4543425" cy="2543175"/>
            <wp:effectExtent l="0" t="0" r="9525" b="9525"/>
            <wp:docPr id="1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7D2C36" w:rsidRDefault="007D2C36" w:rsidP="007D2C36">
      <w:pPr>
        <w:ind w:left="810" w:firstLine="360"/>
      </w:pPr>
      <w:r>
        <w:t>Figure 11.</w:t>
      </w:r>
    </w:p>
    <w:p w:rsidR="007D2C36" w:rsidRDefault="007D2C36" w:rsidP="007D2C36">
      <w:pPr>
        <w:ind w:left="810" w:hanging="810"/>
        <w:jc w:val="center"/>
      </w:pPr>
    </w:p>
    <w:p w:rsidR="007D2C36" w:rsidRDefault="007D2C36" w:rsidP="007D2C36">
      <w:pPr>
        <w:ind w:left="810" w:hanging="810"/>
        <w:jc w:val="center"/>
      </w:pPr>
    </w:p>
    <w:p w:rsidR="007D2C36" w:rsidRDefault="007D2C36" w:rsidP="007D2C36">
      <w:pPr>
        <w:ind w:left="810" w:hanging="810"/>
        <w:jc w:val="center"/>
      </w:pPr>
    </w:p>
    <w:p w:rsidR="007D2C36" w:rsidRDefault="007D2C36" w:rsidP="007D2C36">
      <w:pPr>
        <w:ind w:left="810" w:hanging="810"/>
        <w:jc w:val="center"/>
      </w:pPr>
      <w:r>
        <w:rPr>
          <w:noProof/>
        </w:rPr>
        <w:drawing>
          <wp:inline distT="0" distB="0" distL="0" distR="0" wp14:anchorId="345E8862" wp14:editId="29A2EBF9">
            <wp:extent cx="4514850" cy="2705100"/>
            <wp:effectExtent l="0" t="0" r="0" b="0"/>
            <wp:docPr id="1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7D2C36" w:rsidRDefault="007D2C36" w:rsidP="007D2C36">
      <w:pPr>
        <w:ind w:left="810" w:firstLine="360"/>
      </w:pPr>
      <w:r>
        <w:t>Figure 12.</w:t>
      </w:r>
    </w:p>
    <w:p w:rsidR="007D2C36" w:rsidRDefault="007D2C36" w:rsidP="007D2C36">
      <w:pPr>
        <w:ind w:left="810" w:hanging="810"/>
        <w:jc w:val="center"/>
      </w:pPr>
    </w:p>
    <w:p w:rsidR="007D2C36" w:rsidRDefault="007D2C36" w:rsidP="007D2C36">
      <w:pPr>
        <w:ind w:left="810" w:hanging="810"/>
        <w:jc w:val="center"/>
      </w:pPr>
    </w:p>
    <w:p w:rsidR="007D2C36" w:rsidRDefault="007D2C36" w:rsidP="007D2C36">
      <w:pPr>
        <w:ind w:left="810" w:hanging="810"/>
        <w:jc w:val="center"/>
      </w:pPr>
    </w:p>
    <w:p w:rsidR="007D2C36" w:rsidRDefault="007D2C36" w:rsidP="007D2C36">
      <w:pPr>
        <w:ind w:left="810" w:hanging="810"/>
        <w:jc w:val="center"/>
      </w:pPr>
    </w:p>
    <w:p w:rsidR="007D2C36" w:rsidRDefault="007D2C36" w:rsidP="007D2C36">
      <w:pPr>
        <w:ind w:left="810" w:hanging="810"/>
        <w:jc w:val="center"/>
      </w:pPr>
    </w:p>
    <w:p w:rsidR="007D2C36" w:rsidRDefault="007D2C36" w:rsidP="007D2C36">
      <w:pPr>
        <w:ind w:left="810" w:hanging="810"/>
        <w:rPr>
          <w:b/>
          <w:u w:val="single"/>
        </w:rPr>
      </w:pPr>
    </w:p>
    <w:p w:rsidR="007D2C36" w:rsidRDefault="007D2C36" w:rsidP="007D2C36">
      <w:pPr>
        <w:ind w:left="810" w:hanging="810"/>
        <w:rPr>
          <w:b/>
          <w:u w:val="single"/>
        </w:rPr>
      </w:pPr>
    </w:p>
    <w:p w:rsidR="007D2C36" w:rsidRDefault="007D2C36" w:rsidP="007D2C36">
      <w:pPr>
        <w:ind w:left="810" w:hanging="810"/>
        <w:rPr>
          <w:b/>
          <w:u w:val="single"/>
        </w:rPr>
      </w:pPr>
    </w:p>
    <w:p w:rsidR="007D2C36" w:rsidRDefault="007D2C36" w:rsidP="007D2C36">
      <w:pPr>
        <w:ind w:left="810" w:hanging="810"/>
        <w:rPr>
          <w:b/>
          <w:u w:val="single"/>
        </w:rPr>
      </w:pPr>
    </w:p>
    <w:p w:rsidR="007D2C36" w:rsidRDefault="007D2C36" w:rsidP="007D2C36">
      <w:pPr>
        <w:ind w:left="810" w:hanging="810"/>
        <w:rPr>
          <w:b/>
        </w:rPr>
      </w:pPr>
      <w:r>
        <w:rPr>
          <w:b/>
          <w:u w:val="single"/>
        </w:rPr>
        <w:lastRenderedPageBreak/>
        <w:t>CPI Data:</w:t>
      </w:r>
      <w:r>
        <w:rPr>
          <w:b/>
        </w:rPr>
        <w:t xml:space="preserve">  Interventions:  Physical Agents and Mechanical Modalities</w:t>
      </w:r>
    </w:p>
    <w:p w:rsidR="007D2C36" w:rsidRPr="001F7167" w:rsidRDefault="007D2C36" w:rsidP="007D2C36">
      <w:pPr>
        <w:ind w:left="810" w:hanging="810"/>
        <w:rPr>
          <w:b/>
        </w:rPr>
      </w:pPr>
    </w:p>
    <w:p w:rsidR="007D2C36" w:rsidRDefault="007D2C36" w:rsidP="007D2C36">
      <w:pPr>
        <w:ind w:left="810" w:hanging="810"/>
        <w:jc w:val="center"/>
      </w:pPr>
      <w:r>
        <w:rPr>
          <w:noProof/>
        </w:rPr>
        <w:drawing>
          <wp:inline distT="0" distB="0" distL="0" distR="0" wp14:anchorId="6A437729" wp14:editId="393F5994">
            <wp:extent cx="4638675" cy="2552700"/>
            <wp:effectExtent l="0" t="0" r="9525" b="0"/>
            <wp:docPr id="2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7D2C36" w:rsidRDefault="007D2C36" w:rsidP="007D2C36">
      <w:pPr>
        <w:ind w:left="810" w:firstLine="270"/>
      </w:pPr>
      <w:r>
        <w:t>Figure 13.</w:t>
      </w:r>
    </w:p>
    <w:p w:rsidR="007D2C36" w:rsidRDefault="007D2C36" w:rsidP="007D2C36">
      <w:pPr>
        <w:ind w:left="810" w:hanging="810"/>
        <w:jc w:val="center"/>
      </w:pPr>
    </w:p>
    <w:p w:rsidR="007D2C36" w:rsidRDefault="007D2C36" w:rsidP="007D2C36">
      <w:pPr>
        <w:ind w:left="810" w:hanging="810"/>
        <w:jc w:val="center"/>
      </w:pPr>
    </w:p>
    <w:p w:rsidR="007D2C36" w:rsidRDefault="007D2C36" w:rsidP="007D2C36">
      <w:pPr>
        <w:ind w:left="810" w:hanging="810"/>
        <w:jc w:val="center"/>
      </w:pPr>
    </w:p>
    <w:p w:rsidR="007D2C36" w:rsidRDefault="007D2C36" w:rsidP="007D2C36">
      <w:pPr>
        <w:ind w:left="810" w:hanging="810"/>
        <w:jc w:val="center"/>
      </w:pPr>
      <w:r>
        <w:rPr>
          <w:noProof/>
        </w:rPr>
        <w:drawing>
          <wp:inline distT="0" distB="0" distL="0" distR="0" wp14:anchorId="4E5C5C01" wp14:editId="48427904">
            <wp:extent cx="4638675" cy="2571750"/>
            <wp:effectExtent l="0" t="0" r="9525" b="0"/>
            <wp:docPr id="2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7D2C36" w:rsidRDefault="007D2C36" w:rsidP="007D2C36">
      <w:pPr>
        <w:ind w:left="810" w:firstLine="180"/>
      </w:pPr>
      <w:r>
        <w:t>Figure 14.</w:t>
      </w:r>
    </w:p>
    <w:p w:rsidR="007D2C36" w:rsidRDefault="007D2C36" w:rsidP="007D2C36">
      <w:pPr>
        <w:ind w:left="810" w:hanging="810"/>
        <w:jc w:val="center"/>
      </w:pPr>
    </w:p>
    <w:p w:rsidR="007D2C36" w:rsidRDefault="007D2C36" w:rsidP="007D2C36">
      <w:pPr>
        <w:ind w:left="810" w:hanging="810"/>
        <w:jc w:val="center"/>
      </w:pPr>
    </w:p>
    <w:p w:rsidR="007D2C36" w:rsidRDefault="007D2C36" w:rsidP="007D2C36">
      <w:pPr>
        <w:ind w:left="810" w:hanging="810"/>
        <w:jc w:val="center"/>
      </w:pPr>
    </w:p>
    <w:p w:rsidR="007D2C36" w:rsidRDefault="007D2C36" w:rsidP="007D2C36">
      <w:pPr>
        <w:ind w:left="810" w:hanging="810"/>
        <w:jc w:val="center"/>
      </w:pPr>
    </w:p>
    <w:p w:rsidR="007D2C36" w:rsidRDefault="007D2C36" w:rsidP="007D2C36">
      <w:pPr>
        <w:ind w:left="810" w:hanging="810"/>
        <w:jc w:val="center"/>
      </w:pPr>
    </w:p>
    <w:p w:rsidR="007D2C36" w:rsidRDefault="007D2C36" w:rsidP="007D2C36">
      <w:pPr>
        <w:ind w:left="810" w:hanging="810"/>
        <w:rPr>
          <w:b/>
          <w:u w:val="single"/>
        </w:rPr>
      </w:pPr>
    </w:p>
    <w:p w:rsidR="007D2C36" w:rsidRDefault="007D2C36" w:rsidP="007D2C36">
      <w:pPr>
        <w:ind w:left="810" w:hanging="810"/>
        <w:rPr>
          <w:b/>
          <w:u w:val="single"/>
        </w:rPr>
      </w:pPr>
    </w:p>
    <w:p w:rsidR="007D2C36" w:rsidRDefault="007D2C36" w:rsidP="007D2C36">
      <w:pPr>
        <w:ind w:left="810" w:hanging="810"/>
        <w:rPr>
          <w:b/>
          <w:u w:val="single"/>
        </w:rPr>
      </w:pPr>
    </w:p>
    <w:p w:rsidR="007D2C36" w:rsidRDefault="007D2C36" w:rsidP="007D2C36">
      <w:pPr>
        <w:ind w:left="810" w:hanging="810"/>
        <w:rPr>
          <w:b/>
          <w:u w:val="single"/>
        </w:rPr>
      </w:pPr>
    </w:p>
    <w:p w:rsidR="007D2C36" w:rsidRDefault="007D2C36" w:rsidP="007D2C36">
      <w:pPr>
        <w:ind w:left="810" w:hanging="810"/>
        <w:rPr>
          <w:b/>
          <w:u w:val="single"/>
        </w:rPr>
      </w:pPr>
    </w:p>
    <w:p w:rsidR="007D2C36" w:rsidRDefault="007D2C36" w:rsidP="007D2C36">
      <w:pPr>
        <w:ind w:left="810" w:hanging="810"/>
        <w:rPr>
          <w:b/>
        </w:rPr>
      </w:pPr>
      <w:r>
        <w:rPr>
          <w:b/>
          <w:u w:val="single"/>
        </w:rPr>
        <w:lastRenderedPageBreak/>
        <w:t>CPI Data:</w:t>
      </w:r>
      <w:r>
        <w:rPr>
          <w:b/>
        </w:rPr>
        <w:t xml:space="preserve">  Interventions – Electrotherapeutic Modalities</w:t>
      </w:r>
    </w:p>
    <w:p w:rsidR="007D2C36" w:rsidRPr="001F7167" w:rsidRDefault="007D2C36" w:rsidP="007D2C36">
      <w:pPr>
        <w:ind w:left="810" w:hanging="810"/>
        <w:rPr>
          <w:b/>
        </w:rPr>
      </w:pPr>
    </w:p>
    <w:p w:rsidR="007D2C36" w:rsidRDefault="007D2C36" w:rsidP="007D2C36">
      <w:pPr>
        <w:ind w:left="810" w:hanging="810"/>
        <w:jc w:val="center"/>
      </w:pPr>
      <w:r>
        <w:rPr>
          <w:noProof/>
        </w:rPr>
        <w:drawing>
          <wp:inline distT="0" distB="0" distL="0" distR="0" wp14:anchorId="39296273" wp14:editId="03B2A102">
            <wp:extent cx="4410075" cy="2552700"/>
            <wp:effectExtent l="0" t="0" r="9525" b="0"/>
            <wp:docPr id="2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7D2C36" w:rsidRDefault="007D2C36" w:rsidP="007D2C36">
      <w:pPr>
        <w:ind w:left="810" w:firstLine="450"/>
      </w:pPr>
      <w:r>
        <w:t>Figure 15.</w:t>
      </w:r>
    </w:p>
    <w:p w:rsidR="007D2C36" w:rsidRDefault="007D2C36" w:rsidP="007D2C36">
      <w:pPr>
        <w:ind w:left="810" w:hanging="810"/>
        <w:jc w:val="center"/>
      </w:pPr>
    </w:p>
    <w:p w:rsidR="007D2C36" w:rsidRDefault="007D2C36" w:rsidP="007D2C36">
      <w:pPr>
        <w:ind w:left="810" w:hanging="810"/>
        <w:jc w:val="center"/>
      </w:pPr>
    </w:p>
    <w:p w:rsidR="007D2C36" w:rsidRDefault="007D2C36" w:rsidP="007D2C36">
      <w:pPr>
        <w:ind w:left="810" w:hanging="810"/>
        <w:jc w:val="center"/>
      </w:pPr>
    </w:p>
    <w:p w:rsidR="007D2C36" w:rsidRDefault="007D2C36" w:rsidP="007D2C36">
      <w:pPr>
        <w:ind w:left="810" w:hanging="810"/>
        <w:jc w:val="center"/>
      </w:pPr>
      <w:r>
        <w:rPr>
          <w:noProof/>
        </w:rPr>
        <w:drawing>
          <wp:inline distT="0" distB="0" distL="0" distR="0" wp14:anchorId="76D78B49" wp14:editId="46076D40">
            <wp:extent cx="4428000" cy="2534400"/>
            <wp:effectExtent l="0" t="0" r="10795" b="18415"/>
            <wp:docPr id="2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7D2C36" w:rsidRDefault="007D2C36" w:rsidP="007D2C36">
      <w:pPr>
        <w:ind w:left="810" w:firstLine="450"/>
      </w:pPr>
      <w:r>
        <w:t>Figure 16.</w:t>
      </w:r>
    </w:p>
    <w:p w:rsidR="007D2C36" w:rsidRDefault="007D2C36" w:rsidP="007D2C36">
      <w:pPr>
        <w:ind w:left="810" w:hanging="810"/>
        <w:jc w:val="center"/>
      </w:pPr>
    </w:p>
    <w:p w:rsidR="007D2C36" w:rsidRDefault="007D2C36" w:rsidP="007D2C36">
      <w:pPr>
        <w:ind w:left="810" w:hanging="810"/>
        <w:jc w:val="center"/>
      </w:pPr>
    </w:p>
    <w:p w:rsidR="007D2C36" w:rsidRDefault="007D2C36" w:rsidP="007D2C36">
      <w:pPr>
        <w:ind w:left="810" w:hanging="810"/>
        <w:jc w:val="center"/>
      </w:pPr>
    </w:p>
    <w:p w:rsidR="007D2C36" w:rsidRDefault="007D2C36" w:rsidP="007D2C36">
      <w:pPr>
        <w:ind w:left="810" w:hanging="810"/>
        <w:jc w:val="center"/>
      </w:pPr>
    </w:p>
    <w:p w:rsidR="007D2C36" w:rsidRDefault="007D2C36" w:rsidP="007D2C36">
      <w:pPr>
        <w:ind w:left="810" w:hanging="810"/>
        <w:jc w:val="center"/>
      </w:pPr>
    </w:p>
    <w:p w:rsidR="007D2C36" w:rsidRDefault="007D2C36" w:rsidP="007D2C36">
      <w:pPr>
        <w:ind w:left="810" w:hanging="810"/>
        <w:rPr>
          <w:b/>
          <w:u w:val="single"/>
        </w:rPr>
      </w:pPr>
    </w:p>
    <w:p w:rsidR="007D2C36" w:rsidRDefault="007D2C36" w:rsidP="007D2C36">
      <w:pPr>
        <w:ind w:left="810" w:hanging="810"/>
        <w:rPr>
          <w:b/>
          <w:u w:val="single"/>
        </w:rPr>
      </w:pPr>
    </w:p>
    <w:p w:rsidR="007D2C36" w:rsidRDefault="007D2C36" w:rsidP="007D2C36">
      <w:pPr>
        <w:ind w:left="810" w:hanging="810"/>
        <w:rPr>
          <w:b/>
          <w:u w:val="single"/>
        </w:rPr>
      </w:pPr>
    </w:p>
    <w:p w:rsidR="007D2C36" w:rsidRDefault="007D2C36" w:rsidP="007D2C36">
      <w:pPr>
        <w:ind w:left="810" w:hanging="810"/>
        <w:rPr>
          <w:b/>
          <w:u w:val="single"/>
        </w:rPr>
      </w:pPr>
    </w:p>
    <w:p w:rsidR="007D2C36" w:rsidRDefault="007D2C36" w:rsidP="007D2C36">
      <w:pPr>
        <w:ind w:left="810" w:hanging="810"/>
        <w:rPr>
          <w:b/>
          <w:u w:val="single"/>
        </w:rPr>
      </w:pPr>
    </w:p>
    <w:p w:rsidR="007D2C36" w:rsidRDefault="007D2C36" w:rsidP="007D2C36">
      <w:pPr>
        <w:ind w:left="810" w:hanging="810"/>
        <w:rPr>
          <w:b/>
        </w:rPr>
      </w:pPr>
      <w:r>
        <w:rPr>
          <w:b/>
          <w:u w:val="single"/>
        </w:rPr>
        <w:lastRenderedPageBreak/>
        <w:t>CPI Data:</w:t>
      </w:r>
      <w:r>
        <w:rPr>
          <w:b/>
        </w:rPr>
        <w:t xml:space="preserve">  Interventions – Functional Training and Application of Devices and Equipment</w:t>
      </w:r>
    </w:p>
    <w:p w:rsidR="007D2C36" w:rsidRPr="001F7167" w:rsidRDefault="007D2C36" w:rsidP="007D2C36">
      <w:pPr>
        <w:ind w:left="810" w:hanging="810"/>
        <w:rPr>
          <w:b/>
        </w:rPr>
      </w:pPr>
    </w:p>
    <w:p w:rsidR="007D2C36" w:rsidRDefault="007D2C36" w:rsidP="007D2C36">
      <w:pPr>
        <w:ind w:left="810" w:hanging="810"/>
        <w:jc w:val="center"/>
      </w:pPr>
      <w:r>
        <w:rPr>
          <w:noProof/>
        </w:rPr>
        <w:drawing>
          <wp:inline distT="0" distB="0" distL="0" distR="0" wp14:anchorId="25F7024C" wp14:editId="101FF37B">
            <wp:extent cx="4400550" cy="2495550"/>
            <wp:effectExtent l="0" t="0" r="0" b="0"/>
            <wp:docPr id="2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7D2C36" w:rsidRDefault="007D2C36" w:rsidP="007D2C36">
      <w:pPr>
        <w:ind w:left="810" w:firstLine="450"/>
      </w:pPr>
      <w:r>
        <w:t>Figure 17.</w:t>
      </w:r>
    </w:p>
    <w:p w:rsidR="007D2C36" w:rsidRDefault="007D2C36" w:rsidP="007D2C36">
      <w:pPr>
        <w:ind w:left="810" w:hanging="810"/>
        <w:jc w:val="center"/>
      </w:pPr>
    </w:p>
    <w:p w:rsidR="007D2C36" w:rsidRDefault="007D2C36" w:rsidP="007D2C36">
      <w:pPr>
        <w:ind w:left="810" w:hanging="810"/>
        <w:jc w:val="center"/>
      </w:pPr>
    </w:p>
    <w:p w:rsidR="007D2C36" w:rsidRDefault="007D2C36" w:rsidP="007D2C36">
      <w:pPr>
        <w:ind w:left="810" w:hanging="810"/>
        <w:jc w:val="center"/>
      </w:pPr>
    </w:p>
    <w:p w:rsidR="007D2C36" w:rsidRDefault="007D2C36" w:rsidP="007D2C36">
      <w:pPr>
        <w:ind w:left="810" w:hanging="810"/>
        <w:jc w:val="center"/>
      </w:pPr>
      <w:r>
        <w:rPr>
          <w:noProof/>
        </w:rPr>
        <w:drawing>
          <wp:inline distT="0" distB="0" distL="0" distR="0" wp14:anchorId="34CC6F4E" wp14:editId="21D6D0F7">
            <wp:extent cx="4429125" cy="2800350"/>
            <wp:effectExtent l="0" t="0" r="9525" b="0"/>
            <wp:docPr id="26"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7D2C36" w:rsidRDefault="007D2C36" w:rsidP="007D2C36">
      <w:pPr>
        <w:ind w:left="810" w:firstLine="450"/>
      </w:pPr>
      <w:r>
        <w:t>Figure 18.</w:t>
      </w:r>
    </w:p>
    <w:p w:rsidR="007D2C36" w:rsidRDefault="007D2C36" w:rsidP="007D2C36">
      <w:pPr>
        <w:ind w:left="810" w:hanging="810"/>
        <w:jc w:val="center"/>
      </w:pPr>
    </w:p>
    <w:p w:rsidR="007D2C36" w:rsidRDefault="007D2C36" w:rsidP="007D2C36">
      <w:pPr>
        <w:ind w:left="810" w:hanging="810"/>
        <w:jc w:val="center"/>
      </w:pPr>
    </w:p>
    <w:p w:rsidR="007D2C36" w:rsidRDefault="007D2C36" w:rsidP="007D2C36">
      <w:pPr>
        <w:ind w:left="810" w:hanging="810"/>
        <w:jc w:val="center"/>
      </w:pPr>
    </w:p>
    <w:p w:rsidR="007D2C36" w:rsidRDefault="007D2C36" w:rsidP="007D2C36">
      <w:pPr>
        <w:ind w:left="810" w:hanging="810"/>
        <w:jc w:val="center"/>
      </w:pPr>
    </w:p>
    <w:p w:rsidR="007D2C36" w:rsidRDefault="007D2C36" w:rsidP="007D2C36">
      <w:pPr>
        <w:ind w:left="810" w:hanging="810"/>
        <w:jc w:val="center"/>
      </w:pPr>
    </w:p>
    <w:p w:rsidR="007D2C36" w:rsidRDefault="007D2C36" w:rsidP="007D2C36">
      <w:pPr>
        <w:ind w:left="810" w:hanging="810"/>
        <w:jc w:val="center"/>
        <w:rPr>
          <w:b/>
        </w:rPr>
      </w:pPr>
    </w:p>
    <w:p w:rsidR="007D2C36" w:rsidRDefault="007D2C36" w:rsidP="007D2C36">
      <w:pPr>
        <w:ind w:left="810" w:hanging="810"/>
        <w:jc w:val="center"/>
        <w:rPr>
          <w:b/>
        </w:rPr>
      </w:pPr>
    </w:p>
    <w:p w:rsidR="007D2C36" w:rsidRDefault="007D2C36" w:rsidP="007D2C36">
      <w:pPr>
        <w:ind w:left="810" w:hanging="810"/>
        <w:jc w:val="center"/>
        <w:rPr>
          <w:b/>
        </w:rPr>
      </w:pPr>
    </w:p>
    <w:p w:rsidR="007D2C36" w:rsidRDefault="007D2C36" w:rsidP="007D2C36">
      <w:pPr>
        <w:ind w:left="810" w:hanging="810"/>
        <w:jc w:val="center"/>
        <w:rPr>
          <w:b/>
        </w:rPr>
      </w:pPr>
    </w:p>
    <w:p w:rsidR="007D2C36" w:rsidRPr="00D7170F" w:rsidRDefault="007D2C36" w:rsidP="007D2C36">
      <w:pPr>
        <w:ind w:left="810" w:hanging="810"/>
        <w:jc w:val="center"/>
        <w:rPr>
          <w:b/>
        </w:rPr>
      </w:pPr>
      <w:r w:rsidRPr="00D7170F">
        <w:rPr>
          <w:b/>
        </w:rPr>
        <w:lastRenderedPageBreak/>
        <w:t>Program Outcome #3</w:t>
      </w:r>
    </w:p>
    <w:p w:rsidR="007D2C36" w:rsidRDefault="007D2C36" w:rsidP="007D2C36">
      <w:pPr>
        <w:jc w:val="center"/>
        <w:rPr>
          <w:b/>
        </w:rPr>
      </w:pPr>
      <w:r w:rsidRPr="00D7170F">
        <w:rPr>
          <w:b/>
        </w:rPr>
        <w:t>Demonstrate clinical problem-solving skills in order to adjust the plan of care established by the PT, provide supervision of the physical therapy aide and work effectively on an interdisciplinary team.</w:t>
      </w:r>
    </w:p>
    <w:p w:rsidR="007D2C36" w:rsidRDefault="007D2C36" w:rsidP="007D2C36">
      <w:pPr>
        <w:rPr>
          <w:b/>
        </w:rPr>
      </w:pPr>
      <w:r>
        <w:rPr>
          <w:b/>
          <w:u w:val="single"/>
        </w:rPr>
        <w:t>CPI Data:</w:t>
      </w:r>
      <w:r>
        <w:rPr>
          <w:b/>
        </w:rPr>
        <w:t xml:space="preserve">  Clinical Problem Solving</w:t>
      </w:r>
    </w:p>
    <w:p w:rsidR="007D2C36" w:rsidRPr="001F7167" w:rsidRDefault="007D2C36" w:rsidP="007D2C36">
      <w:pPr>
        <w:rPr>
          <w:b/>
        </w:rPr>
      </w:pPr>
    </w:p>
    <w:p w:rsidR="007D2C36" w:rsidRDefault="007D2C36" w:rsidP="007D2C36">
      <w:pPr>
        <w:jc w:val="center"/>
      </w:pPr>
      <w:bookmarkStart w:id="8" w:name="Fig19"/>
      <w:r>
        <w:rPr>
          <w:noProof/>
        </w:rPr>
        <w:drawing>
          <wp:inline distT="0" distB="0" distL="0" distR="0" wp14:anchorId="491B4E19" wp14:editId="37900207">
            <wp:extent cx="4562475" cy="2638425"/>
            <wp:effectExtent l="0" t="0" r="9525" b="9525"/>
            <wp:docPr id="27"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bookmarkEnd w:id="8"/>
    </w:p>
    <w:p w:rsidR="007D2C36" w:rsidRDefault="007D2C36" w:rsidP="007D2C36">
      <w:pPr>
        <w:ind w:firstLine="1080"/>
      </w:pPr>
      <w:r>
        <w:t>Figure 19.</w:t>
      </w:r>
    </w:p>
    <w:p w:rsidR="007D2C36" w:rsidRDefault="007D2C36" w:rsidP="007D2C36">
      <w:pPr>
        <w:jc w:val="center"/>
      </w:pPr>
    </w:p>
    <w:p w:rsidR="007D2C36" w:rsidRDefault="007D2C36" w:rsidP="007D2C36">
      <w:pPr>
        <w:jc w:val="center"/>
      </w:pPr>
    </w:p>
    <w:p w:rsidR="007D2C36" w:rsidRDefault="007D2C36" w:rsidP="007D2C36">
      <w:pPr>
        <w:jc w:val="center"/>
      </w:pPr>
    </w:p>
    <w:p w:rsidR="007D2C36" w:rsidRDefault="007D2C36" w:rsidP="007D2C36">
      <w:pPr>
        <w:jc w:val="center"/>
      </w:pPr>
      <w:bookmarkStart w:id="9" w:name="Fig20"/>
      <w:r>
        <w:rPr>
          <w:noProof/>
        </w:rPr>
        <w:drawing>
          <wp:inline distT="0" distB="0" distL="0" distR="0" wp14:anchorId="2AAAA46E" wp14:editId="6F72DA4A">
            <wp:extent cx="4572000" cy="2619375"/>
            <wp:effectExtent l="0" t="0" r="0" b="9525"/>
            <wp:docPr id="28"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bookmarkEnd w:id="9"/>
    </w:p>
    <w:p w:rsidR="007D2C36" w:rsidRDefault="007D2C36" w:rsidP="007D2C36">
      <w:pPr>
        <w:ind w:firstLine="1080"/>
      </w:pPr>
      <w:r>
        <w:t>Figure 20.</w:t>
      </w:r>
    </w:p>
    <w:p w:rsidR="007D2C36" w:rsidRDefault="007D2C36" w:rsidP="007D2C36">
      <w:pPr>
        <w:ind w:firstLine="1080"/>
      </w:pPr>
    </w:p>
    <w:p w:rsidR="007D2C36" w:rsidRDefault="007D2C36" w:rsidP="007D2C36">
      <w:pPr>
        <w:ind w:firstLine="1080"/>
      </w:pPr>
    </w:p>
    <w:p w:rsidR="007D2C36" w:rsidRDefault="007D2C36" w:rsidP="007D2C36">
      <w:pPr>
        <w:ind w:firstLine="1080"/>
      </w:pPr>
    </w:p>
    <w:p w:rsidR="007D2C36" w:rsidRDefault="007D2C36" w:rsidP="007D2C36">
      <w:pPr>
        <w:rPr>
          <w:b/>
          <w:u w:val="single"/>
        </w:rPr>
      </w:pPr>
    </w:p>
    <w:p w:rsidR="007D2C36" w:rsidRDefault="007D2C36" w:rsidP="007D2C36">
      <w:pPr>
        <w:rPr>
          <w:b/>
          <w:u w:val="single"/>
        </w:rPr>
      </w:pPr>
    </w:p>
    <w:p w:rsidR="007D2C36" w:rsidRPr="001F7167" w:rsidRDefault="007D2C36" w:rsidP="007D2C36">
      <w:pPr>
        <w:rPr>
          <w:b/>
        </w:rPr>
      </w:pPr>
      <w:r>
        <w:rPr>
          <w:b/>
          <w:u w:val="single"/>
        </w:rPr>
        <w:lastRenderedPageBreak/>
        <w:t>CPI Data:</w:t>
      </w:r>
      <w:r>
        <w:rPr>
          <w:b/>
        </w:rPr>
        <w:t xml:space="preserve">  Clinical Behavior</w:t>
      </w:r>
    </w:p>
    <w:p w:rsidR="007D2C36" w:rsidRPr="00D7170F" w:rsidRDefault="007D2C36" w:rsidP="007D2C36">
      <w:pPr>
        <w:jc w:val="center"/>
      </w:pPr>
    </w:p>
    <w:p w:rsidR="007D2C36" w:rsidRDefault="007D2C36" w:rsidP="007D2C36">
      <w:pPr>
        <w:ind w:left="810" w:hanging="810"/>
        <w:jc w:val="center"/>
      </w:pPr>
      <w:r>
        <w:rPr>
          <w:noProof/>
        </w:rPr>
        <w:drawing>
          <wp:inline distT="0" distB="0" distL="0" distR="0" wp14:anchorId="242D29EB" wp14:editId="73ADD889">
            <wp:extent cx="4467225" cy="2476500"/>
            <wp:effectExtent l="0" t="0" r="9525" b="0"/>
            <wp:docPr id="29"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rsidR="007D2C36" w:rsidRDefault="007D2C36" w:rsidP="007D2C36">
      <w:pPr>
        <w:ind w:left="810" w:firstLine="360"/>
      </w:pPr>
      <w:r>
        <w:t>Figure 21.</w:t>
      </w:r>
    </w:p>
    <w:p w:rsidR="007D2C36" w:rsidRDefault="007D2C36" w:rsidP="007D2C36">
      <w:pPr>
        <w:ind w:left="810" w:hanging="810"/>
        <w:jc w:val="center"/>
      </w:pPr>
    </w:p>
    <w:p w:rsidR="007D2C36" w:rsidRDefault="007D2C36" w:rsidP="007D2C36">
      <w:pPr>
        <w:ind w:left="810" w:hanging="810"/>
        <w:jc w:val="center"/>
      </w:pPr>
    </w:p>
    <w:p w:rsidR="007D2C36" w:rsidRDefault="007D2C36" w:rsidP="007D2C36">
      <w:pPr>
        <w:ind w:left="810" w:hanging="810"/>
        <w:jc w:val="center"/>
      </w:pPr>
    </w:p>
    <w:p w:rsidR="007D2C36" w:rsidRDefault="007D2C36" w:rsidP="007D2C36">
      <w:pPr>
        <w:ind w:left="810" w:hanging="810"/>
        <w:jc w:val="center"/>
      </w:pPr>
      <w:r>
        <w:rPr>
          <w:noProof/>
        </w:rPr>
        <w:drawing>
          <wp:inline distT="0" distB="0" distL="0" distR="0" wp14:anchorId="6F58FA80" wp14:editId="438EEEB8">
            <wp:extent cx="4514850" cy="2667000"/>
            <wp:effectExtent l="0" t="0" r="0" b="0"/>
            <wp:docPr id="30"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7D2C36" w:rsidRDefault="007D2C36" w:rsidP="007D2C36">
      <w:pPr>
        <w:ind w:left="810" w:firstLine="360"/>
      </w:pPr>
      <w:r>
        <w:t>Figure 22.</w:t>
      </w:r>
    </w:p>
    <w:p w:rsidR="007D2C36" w:rsidRDefault="007D2C36" w:rsidP="007D2C36">
      <w:pPr>
        <w:ind w:left="810" w:hanging="810"/>
        <w:jc w:val="center"/>
      </w:pPr>
    </w:p>
    <w:p w:rsidR="007D2C36" w:rsidRDefault="007D2C36" w:rsidP="007D2C36"/>
    <w:p w:rsidR="007D2C36" w:rsidRDefault="007D2C36" w:rsidP="007D2C36"/>
    <w:p w:rsidR="007D2C36" w:rsidRDefault="007D2C36" w:rsidP="007D2C36"/>
    <w:p w:rsidR="007D2C36" w:rsidRPr="00BC35B3" w:rsidRDefault="007D2C36" w:rsidP="007D2C36">
      <w:pPr>
        <w:rPr>
          <w:b/>
        </w:rPr>
      </w:pPr>
    </w:p>
    <w:p w:rsidR="007D2C36" w:rsidRDefault="007D2C36" w:rsidP="007D2C36">
      <w:pPr>
        <w:ind w:left="810" w:hanging="810"/>
        <w:jc w:val="center"/>
        <w:rPr>
          <w:b/>
        </w:rPr>
      </w:pPr>
    </w:p>
    <w:p w:rsidR="007D2C36" w:rsidRDefault="007D2C36" w:rsidP="007D2C36">
      <w:pPr>
        <w:ind w:left="810" w:hanging="810"/>
        <w:jc w:val="center"/>
        <w:rPr>
          <w:b/>
        </w:rPr>
      </w:pPr>
    </w:p>
    <w:p w:rsidR="007D2C36" w:rsidRDefault="007D2C36" w:rsidP="007D2C36">
      <w:pPr>
        <w:ind w:left="810" w:hanging="810"/>
        <w:jc w:val="center"/>
        <w:rPr>
          <w:b/>
        </w:rPr>
      </w:pPr>
    </w:p>
    <w:p w:rsidR="007D2C36" w:rsidRDefault="007D2C36" w:rsidP="007D2C36">
      <w:pPr>
        <w:ind w:left="810" w:hanging="810"/>
        <w:jc w:val="center"/>
        <w:rPr>
          <w:b/>
        </w:rPr>
      </w:pPr>
    </w:p>
    <w:p w:rsidR="007D2C36" w:rsidRDefault="007D2C36" w:rsidP="007D2C36">
      <w:pPr>
        <w:ind w:left="810" w:hanging="810"/>
        <w:jc w:val="center"/>
        <w:rPr>
          <w:b/>
        </w:rPr>
      </w:pPr>
    </w:p>
    <w:p w:rsidR="007D2C36" w:rsidRPr="007004FB" w:rsidRDefault="007D2C36" w:rsidP="007D2C36">
      <w:pPr>
        <w:ind w:left="810" w:hanging="810"/>
        <w:jc w:val="center"/>
        <w:rPr>
          <w:b/>
        </w:rPr>
      </w:pPr>
      <w:r w:rsidRPr="007004FB">
        <w:rPr>
          <w:b/>
        </w:rPr>
        <w:lastRenderedPageBreak/>
        <w:t>Program Outcome #4</w:t>
      </w:r>
    </w:p>
    <w:p w:rsidR="007D2C36" w:rsidRDefault="007D2C36" w:rsidP="007D2C36">
      <w:pPr>
        <w:jc w:val="center"/>
        <w:rPr>
          <w:b/>
        </w:rPr>
      </w:pPr>
      <w:r w:rsidRPr="007004FB">
        <w:rPr>
          <w:b/>
        </w:rPr>
        <w:t>Provide quality, efficient and cost effective physical therapy services utilizing human and material resources, computer technology and current knowledge of reimbursement and regulatory requirements and state practice acts.</w:t>
      </w:r>
    </w:p>
    <w:p w:rsidR="007D2C36" w:rsidRDefault="007D2C36" w:rsidP="007D2C36">
      <w:pPr>
        <w:rPr>
          <w:b/>
          <w:u w:val="single"/>
        </w:rPr>
      </w:pPr>
    </w:p>
    <w:p w:rsidR="007D2C36" w:rsidRDefault="007D2C36" w:rsidP="007D2C36">
      <w:pPr>
        <w:rPr>
          <w:b/>
        </w:rPr>
      </w:pPr>
      <w:r>
        <w:rPr>
          <w:b/>
          <w:u w:val="single"/>
        </w:rPr>
        <w:t>CPI Data:</w:t>
      </w:r>
      <w:r>
        <w:rPr>
          <w:b/>
        </w:rPr>
        <w:t xml:space="preserve">  Accountability</w:t>
      </w:r>
    </w:p>
    <w:p w:rsidR="007D2C36" w:rsidRPr="00BC35B3" w:rsidRDefault="007D2C36" w:rsidP="007D2C36">
      <w:pPr>
        <w:rPr>
          <w:b/>
        </w:rPr>
      </w:pPr>
    </w:p>
    <w:p w:rsidR="007D2C36" w:rsidRDefault="007D2C36" w:rsidP="007D2C36">
      <w:pPr>
        <w:jc w:val="center"/>
      </w:pPr>
      <w:bookmarkStart w:id="10" w:name="Fig23"/>
      <w:r>
        <w:rPr>
          <w:noProof/>
        </w:rPr>
        <w:drawing>
          <wp:inline distT="0" distB="0" distL="0" distR="0" wp14:anchorId="5D68EA2D" wp14:editId="1CEC9851">
            <wp:extent cx="4543425" cy="2428875"/>
            <wp:effectExtent l="0" t="0" r="9525" b="9525"/>
            <wp:docPr id="31"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bookmarkEnd w:id="10"/>
    </w:p>
    <w:p w:rsidR="007D2C36" w:rsidRDefault="007D2C36" w:rsidP="007D2C36">
      <w:pPr>
        <w:ind w:firstLine="1170"/>
      </w:pPr>
      <w:r>
        <w:t>Figure 23.</w:t>
      </w:r>
    </w:p>
    <w:p w:rsidR="007D2C36" w:rsidRDefault="007D2C36" w:rsidP="007D2C36">
      <w:pPr>
        <w:jc w:val="center"/>
      </w:pPr>
    </w:p>
    <w:p w:rsidR="007D2C36" w:rsidRDefault="007D2C36" w:rsidP="007D2C36">
      <w:pPr>
        <w:jc w:val="center"/>
      </w:pPr>
    </w:p>
    <w:p w:rsidR="007D2C36" w:rsidRDefault="007D2C36" w:rsidP="007D2C36">
      <w:pPr>
        <w:jc w:val="center"/>
      </w:pPr>
    </w:p>
    <w:p w:rsidR="007D2C36" w:rsidRDefault="007D2C36" w:rsidP="007D2C36">
      <w:pPr>
        <w:jc w:val="center"/>
      </w:pPr>
      <w:bookmarkStart w:id="11" w:name="Fig24"/>
      <w:r>
        <w:rPr>
          <w:noProof/>
        </w:rPr>
        <w:drawing>
          <wp:inline distT="0" distB="0" distL="0" distR="0" wp14:anchorId="3B9C1858" wp14:editId="6E5EB54B">
            <wp:extent cx="4600575" cy="2647950"/>
            <wp:effectExtent l="0" t="0" r="9525" b="0"/>
            <wp:docPr id="32"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bookmarkEnd w:id="11"/>
    </w:p>
    <w:p w:rsidR="007D2C36" w:rsidRDefault="007D2C36" w:rsidP="007D2C36">
      <w:pPr>
        <w:ind w:firstLine="1080"/>
      </w:pPr>
      <w:r>
        <w:t>Figure 24.</w:t>
      </w:r>
    </w:p>
    <w:p w:rsidR="007D2C36" w:rsidRDefault="007D2C36" w:rsidP="007D2C36">
      <w:pPr>
        <w:ind w:firstLine="1080"/>
      </w:pPr>
    </w:p>
    <w:p w:rsidR="007D2C36" w:rsidRDefault="007D2C36" w:rsidP="007D2C36">
      <w:pPr>
        <w:ind w:firstLine="1080"/>
      </w:pPr>
    </w:p>
    <w:p w:rsidR="007D2C36" w:rsidRDefault="007D2C36" w:rsidP="007D2C36">
      <w:pPr>
        <w:ind w:firstLine="1080"/>
      </w:pPr>
    </w:p>
    <w:p w:rsidR="007D2C36" w:rsidRDefault="007D2C36" w:rsidP="007D2C36">
      <w:pPr>
        <w:rPr>
          <w:b/>
          <w:u w:val="single"/>
        </w:rPr>
      </w:pPr>
    </w:p>
    <w:p w:rsidR="007D2C36" w:rsidRDefault="007D2C36" w:rsidP="007D2C36">
      <w:pPr>
        <w:rPr>
          <w:b/>
          <w:u w:val="single"/>
        </w:rPr>
      </w:pPr>
    </w:p>
    <w:p w:rsidR="007D2C36" w:rsidRDefault="007D2C36" w:rsidP="007D2C36">
      <w:pPr>
        <w:rPr>
          <w:b/>
        </w:rPr>
      </w:pPr>
      <w:r>
        <w:rPr>
          <w:b/>
          <w:u w:val="single"/>
        </w:rPr>
        <w:lastRenderedPageBreak/>
        <w:t>CPI Data:</w:t>
      </w:r>
      <w:r>
        <w:rPr>
          <w:b/>
        </w:rPr>
        <w:t xml:space="preserve">  Resource Management</w:t>
      </w:r>
    </w:p>
    <w:p w:rsidR="007D2C36" w:rsidRPr="00BC35B3" w:rsidRDefault="007D2C36" w:rsidP="007D2C36">
      <w:pPr>
        <w:rPr>
          <w:b/>
        </w:rPr>
      </w:pPr>
    </w:p>
    <w:p w:rsidR="007D2C36" w:rsidRDefault="007D2C36" w:rsidP="007D2C36">
      <w:pPr>
        <w:jc w:val="center"/>
      </w:pPr>
      <w:bookmarkStart w:id="12" w:name="Fig25"/>
      <w:r>
        <w:rPr>
          <w:noProof/>
        </w:rPr>
        <w:drawing>
          <wp:inline distT="0" distB="0" distL="0" distR="0" wp14:anchorId="425DE978" wp14:editId="27D277BD">
            <wp:extent cx="4524375" cy="2619375"/>
            <wp:effectExtent l="0" t="0" r="9525" b="9525"/>
            <wp:docPr id="33" name="Chart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bookmarkEnd w:id="12"/>
    </w:p>
    <w:p w:rsidR="007D2C36" w:rsidRDefault="007D2C36" w:rsidP="007D2C36">
      <w:pPr>
        <w:ind w:firstLine="1170"/>
      </w:pPr>
      <w:r>
        <w:t>Figure 25.</w:t>
      </w:r>
    </w:p>
    <w:p w:rsidR="007D2C36" w:rsidRDefault="007D2C36" w:rsidP="007D2C36">
      <w:pPr>
        <w:jc w:val="center"/>
      </w:pPr>
    </w:p>
    <w:p w:rsidR="007D2C36" w:rsidRDefault="007D2C36" w:rsidP="007D2C36">
      <w:pPr>
        <w:jc w:val="center"/>
      </w:pPr>
    </w:p>
    <w:p w:rsidR="007D2C36" w:rsidRDefault="007D2C36" w:rsidP="007D2C36">
      <w:pPr>
        <w:jc w:val="center"/>
      </w:pPr>
    </w:p>
    <w:p w:rsidR="007D2C36" w:rsidRDefault="007D2C36" w:rsidP="007D2C36">
      <w:pPr>
        <w:jc w:val="center"/>
      </w:pPr>
      <w:bookmarkStart w:id="13" w:name="Fig26"/>
      <w:r>
        <w:rPr>
          <w:noProof/>
        </w:rPr>
        <w:drawing>
          <wp:inline distT="0" distB="0" distL="0" distR="0" wp14:anchorId="50484AA7" wp14:editId="0064BCF7">
            <wp:extent cx="4521600" cy="2786400"/>
            <wp:effectExtent l="0" t="0" r="12700" b="13970"/>
            <wp:docPr id="34" name="Chart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bookmarkEnd w:id="13"/>
    </w:p>
    <w:p w:rsidR="007D2C36" w:rsidRDefault="007D2C36" w:rsidP="007D2C36">
      <w:pPr>
        <w:ind w:firstLine="1170"/>
      </w:pPr>
      <w:r>
        <w:t>Figure 26.</w:t>
      </w:r>
    </w:p>
    <w:p w:rsidR="007D2C36" w:rsidRDefault="007D2C36" w:rsidP="007D2C36"/>
    <w:p w:rsidR="007D2C36" w:rsidRDefault="007D2C36" w:rsidP="007D2C36"/>
    <w:p w:rsidR="007D2C36" w:rsidRDefault="007D2C36" w:rsidP="007D2C36"/>
    <w:p w:rsidR="007D2C36" w:rsidRDefault="007D2C36" w:rsidP="007D2C36"/>
    <w:p w:rsidR="007D2C36" w:rsidRDefault="007D2C36" w:rsidP="007D2C36">
      <w:pPr>
        <w:ind w:left="810" w:hanging="810"/>
        <w:jc w:val="center"/>
        <w:rPr>
          <w:b/>
        </w:rPr>
      </w:pPr>
    </w:p>
    <w:p w:rsidR="007D2C36" w:rsidRDefault="007D2C36" w:rsidP="007D2C36">
      <w:pPr>
        <w:ind w:left="810" w:hanging="810"/>
        <w:jc w:val="center"/>
        <w:rPr>
          <w:b/>
        </w:rPr>
      </w:pPr>
    </w:p>
    <w:p w:rsidR="007D2C36" w:rsidRDefault="007D2C36" w:rsidP="007D2C36">
      <w:pPr>
        <w:ind w:left="810" w:hanging="810"/>
        <w:jc w:val="center"/>
        <w:rPr>
          <w:b/>
        </w:rPr>
      </w:pPr>
    </w:p>
    <w:p w:rsidR="007D2C36" w:rsidRDefault="007D2C36" w:rsidP="007D2C36">
      <w:pPr>
        <w:ind w:left="810" w:hanging="810"/>
        <w:jc w:val="center"/>
        <w:rPr>
          <w:b/>
        </w:rPr>
      </w:pPr>
    </w:p>
    <w:p w:rsidR="007D2C36" w:rsidRPr="003B745F" w:rsidRDefault="007D2C36" w:rsidP="007D2C36">
      <w:pPr>
        <w:ind w:left="810" w:hanging="810"/>
        <w:jc w:val="center"/>
        <w:rPr>
          <w:b/>
        </w:rPr>
      </w:pPr>
      <w:r w:rsidRPr="003B745F">
        <w:rPr>
          <w:b/>
        </w:rPr>
        <w:lastRenderedPageBreak/>
        <w:t>Program Outcome #5</w:t>
      </w:r>
    </w:p>
    <w:p w:rsidR="007D2C36" w:rsidRDefault="007D2C36" w:rsidP="007D2C36">
      <w:pPr>
        <w:jc w:val="center"/>
        <w:rPr>
          <w:b/>
        </w:rPr>
      </w:pPr>
      <w:r w:rsidRPr="003B745F">
        <w:rPr>
          <w:b/>
        </w:rPr>
        <w:t>Perform data collection techniques as outlined in the plan of care, reported through accurate, timely and legible documentation.</w:t>
      </w:r>
    </w:p>
    <w:p w:rsidR="007D2C36" w:rsidRDefault="007D2C36" w:rsidP="007D2C36">
      <w:pPr>
        <w:rPr>
          <w:b/>
          <w:u w:val="single"/>
        </w:rPr>
      </w:pPr>
    </w:p>
    <w:p w:rsidR="007D2C36" w:rsidRDefault="007D2C36" w:rsidP="007D2C36">
      <w:pPr>
        <w:rPr>
          <w:b/>
        </w:rPr>
      </w:pPr>
      <w:r>
        <w:rPr>
          <w:b/>
          <w:u w:val="single"/>
        </w:rPr>
        <w:t>CPI Data:</w:t>
      </w:r>
      <w:r>
        <w:rPr>
          <w:b/>
        </w:rPr>
        <w:t xml:space="preserve">  Documentation</w:t>
      </w:r>
    </w:p>
    <w:p w:rsidR="007D2C36" w:rsidRPr="00BC35B3" w:rsidRDefault="007D2C36" w:rsidP="007D2C36">
      <w:pPr>
        <w:rPr>
          <w:b/>
        </w:rPr>
      </w:pPr>
    </w:p>
    <w:p w:rsidR="007D2C36" w:rsidRDefault="007D2C36" w:rsidP="007D2C36">
      <w:pPr>
        <w:jc w:val="center"/>
      </w:pPr>
      <w:bookmarkStart w:id="14" w:name="Fig27"/>
      <w:r>
        <w:rPr>
          <w:noProof/>
        </w:rPr>
        <w:drawing>
          <wp:inline distT="0" distB="0" distL="0" distR="0" wp14:anchorId="33B21078" wp14:editId="512EA309">
            <wp:extent cx="4324350" cy="2352675"/>
            <wp:effectExtent l="0" t="0" r="0" b="9525"/>
            <wp:docPr id="35" name="Chart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bookmarkEnd w:id="14"/>
    </w:p>
    <w:p w:rsidR="007D2C36" w:rsidRDefault="007D2C36" w:rsidP="007D2C36">
      <w:pPr>
        <w:ind w:firstLine="1260"/>
      </w:pPr>
      <w:r>
        <w:t>Figure 27.</w:t>
      </w:r>
    </w:p>
    <w:p w:rsidR="007D2C36" w:rsidRDefault="007D2C36" w:rsidP="007D2C36">
      <w:pPr>
        <w:jc w:val="center"/>
      </w:pPr>
    </w:p>
    <w:p w:rsidR="007D2C36" w:rsidRDefault="007D2C36" w:rsidP="007D2C36">
      <w:pPr>
        <w:jc w:val="center"/>
      </w:pPr>
    </w:p>
    <w:p w:rsidR="007D2C36" w:rsidRPr="003B745F" w:rsidRDefault="007D2C36" w:rsidP="007D2C36">
      <w:pPr>
        <w:jc w:val="center"/>
      </w:pPr>
    </w:p>
    <w:p w:rsidR="007D2C36" w:rsidRDefault="007D2C36" w:rsidP="007D2C36">
      <w:pPr>
        <w:ind w:left="810" w:hanging="810"/>
        <w:jc w:val="center"/>
      </w:pPr>
      <w:bookmarkStart w:id="15" w:name="Fig28"/>
      <w:r>
        <w:rPr>
          <w:noProof/>
        </w:rPr>
        <w:drawing>
          <wp:inline distT="0" distB="0" distL="0" distR="0" wp14:anchorId="05317786" wp14:editId="55C30EB2">
            <wp:extent cx="4295775" cy="2543175"/>
            <wp:effectExtent l="0" t="0" r="9525" b="9525"/>
            <wp:docPr id="36" name="Chart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bookmarkEnd w:id="15"/>
    </w:p>
    <w:p w:rsidR="007D2C36" w:rsidRDefault="007D2C36" w:rsidP="007D2C36">
      <w:pPr>
        <w:ind w:left="810" w:firstLine="540"/>
      </w:pPr>
      <w:r>
        <w:t>Figure 28.</w:t>
      </w:r>
    </w:p>
    <w:p w:rsidR="007D2C36" w:rsidRDefault="007D2C36" w:rsidP="007D2C36">
      <w:pPr>
        <w:ind w:left="810" w:hanging="810"/>
        <w:jc w:val="center"/>
      </w:pPr>
    </w:p>
    <w:p w:rsidR="007D2C36" w:rsidRDefault="007D2C36" w:rsidP="007D2C36">
      <w:pPr>
        <w:ind w:left="810" w:hanging="810"/>
        <w:jc w:val="center"/>
      </w:pPr>
    </w:p>
    <w:p w:rsidR="007D2C36" w:rsidRDefault="007D2C36" w:rsidP="007D2C36">
      <w:pPr>
        <w:ind w:left="810" w:hanging="810"/>
        <w:jc w:val="center"/>
      </w:pPr>
    </w:p>
    <w:p w:rsidR="007D2C36" w:rsidRDefault="007D2C36" w:rsidP="007D2C36">
      <w:pPr>
        <w:ind w:left="810" w:hanging="810"/>
        <w:jc w:val="center"/>
        <w:rPr>
          <w:b/>
        </w:rPr>
      </w:pPr>
    </w:p>
    <w:p w:rsidR="007D2C36" w:rsidRDefault="007D2C36" w:rsidP="007D2C36">
      <w:pPr>
        <w:ind w:left="810" w:hanging="810"/>
        <w:jc w:val="center"/>
        <w:rPr>
          <w:b/>
        </w:rPr>
      </w:pPr>
    </w:p>
    <w:p w:rsidR="007D2C36" w:rsidRDefault="007D2C36" w:rsidP="007D2C36">
      <w:pPr>
        <w:ind w:left="810" w:hanging="810"/>
        <w:jc w:val="center"/>
        <w:rPr>
          <w:b/>
        </w:rPr>
      </w:pPr>
    </w:p>
    <w:p w:rsidR="007D2C36" w:rsidRDefault="007D2C36" w:rsidP="007D2C36">
      <w:pPr>
        <w:ind w:left="810" w:hanging="810"/>
        <w:jc w:val="center"/>
        <w:rPr>
          <w:b/>
        </w:rPr>
      </w:pPr>
    </w:p>
    <w:p w:rsidR="007D2C36" w:rsidRPr="0078448A" w:rsidRDefault="007D2C36" w:rsidP="007D2C36">
      <w:pPr>
        <w:ind w:left="810" w:hanging="810"/>
        <w:jc w:val="center"/>
        <w:rPr>
          <w:b/>
        </w:rPr>
      </w:pPr>
      <w:r w:rsidRPr="0078448A">
        <w:rPr>
          <w:b/>
        </w:rPr>
        <w:lastRenderedPageBreak/>
        <w:t>Program</w:t>
      </w:r>
      <w:r>
        <w:rPr>
          <w:b/>
        </w:rPr>
        <w:t xml:space="preserve"> Outcome</w:t>
      </w:r>
      <w:r w:rsidRPr="0078448A">
        <w:rPr>
          <w:b/>
        </w:rPr>
        <w:t xml:space="preserve"> #6</w:t>
      </w:r>
    </w:p>
    <w:p w:rsidR="007D2C36" w:rsidRDefault="007D2C36" w:rsidP="007D2C36">
      <w:pPr>
        <w:jc w:val="center"/>
        <w:rPr>
          <w:b/>
        </w:rPr>
      </w:pPr>
      <w:r w:rsidRPr="0078448A">
        <w:rPr>
          <w:b/>
        </w:rPr>
        <w:t xml:space="preserve">Participate in professional development based on self-assessment, performance appraisals and demonstration of behaviors reflection conduct expectations outlined in </w:t>
      </w:r>
      <w:r w:rsidRPr="0078448A">
        <w:rPr>
          <w:b/>
          <w:i/>
        </w:rPr>
        <w:t>the Code of Ethics and Guide for Professional Conduct</w:t>
      </w:r>
      <w:r w:rsidRPr="0078448A">
        <w:rPr>
          <w:b/>
        </w:rPr>
        <w:t xml:space="preserve"> of The American Physical Therapy Association.</w:t>
      </w:r>
    </w:p>
    <w:p w:rsidR="007D2C36" w:rsidRDefault="007D2C36" w:rsidP="007D2C36">
      <w:pPr>
        <w:rPr>
          <w:b/>
          <w:u w:val="single"/>
        </w:rPr>
      </w:pPr>
    </w:p>
    <w:p w:rsidR="007D2C36" w:rsidRDefault="007D2C36" w:rsidP="007D2C36">
      <w:pPr>
        <w:rPr>
          <w:b/>
        </w:rPr>
      </w:pPr>
      <w:r>
        <w:rPr>
          <w:b/>
          <w:u w:val="single"/>
        </w:rPr>
        <w:t>CPI Data:</w:t>
      </w:r>
      <w:r>
        <w:rPr>
          <w:b/>
        </w:rPr>
        <w:t xml:space="preserve">  Self-Assessment and Lifelong learning</w:t>
      </w:r>
    </w:p>
    <w:p w:rsidR="007D2C36" w:rsidRPr="00BC35B3" w:rsidRDefault="007D2C36" w:rsidP="007D2C36">
      <w:pPr>
        <w:rPr>
          <w:b/>
        </w:rPr>
      </w:pPr>
    </w:p>
    <w:p w:rsidR="007D2C36" w:rsidRDefault="007D2C36" w:rsidP="007D2C36">
      <w:pPr>
        <w:ind w:left="810" w:hanging="810"/>
        <w:jc w:val="center"/>
      </w:pPr>
      <w:r>
        <w:rPr>
          <w:noProof/>
        </w:rPr>
        <w:drawing>
          <wp:inline distT="0" distB="0" distL="0" distR="0" wp14:anchorId="3717934A" wp14:editId="1E7A4272">
            <wp:extent cx="4543425" cy="2171700"/>
            <wp:effectExtent l="0" t="0" r="9525" b="0"/>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rsidR="007D2C36" w:rsidRDefault="007D2C36" w:rsidP="007D2C36">
      <w:pPr>
        <w:ind w:left="810" w:firstLine="270"/>
      </w:pPr>
      <w:r>
        <w:t>Figure 29.</w:t>
      </w:r>
    </w:p>
    <w:p w:rsidR="007D2C36" w:rsidRDefault="007D2C36" w:rsidP="007D2C36">
      <w:pPr>
        <w:ind w:left="810" w:hanging="810"/>
        <w:jc w:val="center"/>
      </w:pPr>
    </w:p>
    <w:p w:rsidR="007D2C36" w:rsidRDefault="007D2C36" w:rsidP="007D2C36">
      <w:pPr>
        <w:ind w:left="810" w:hanging="810"/>
        <w:jc w:val="center"/>
      </w:pPr>
    </w:p>
    <w:p w:rsidR="007D2C36" w:rsidRDefault="007D2C36" w:rsidP="007D2C36">
      <w:pPr>
        <w:ind w:left="810" w:hanging="810"/>
        <w:jc w:val="center"/>
      </w:pPr>
    </w:p>
    <w:p w:rsidR="007D2C36" w:rsidRDefault="007D2C36" w:rsidP="007D2C36">
      <w:pPr>
        <w:ind w:left="810" w:hanging="810"/>
        <w:jc w:val="center"/>
      </w:pPr>
      <w:r>
        <w:rPr>
          <w:noProof/>
        </w:rPr>
        <w:drawing>
          <wp:inline distT="0" distB="0" distL="0" distR="0" wp14:anchorId="5353CA9B" wp14:editId="5090892E">
            <wp:extent cx="4608000" cy="2268000"/>
            <wp:effectExtent l="0" t="0" r="2540" b="18415"/>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7D2C36" w:rsidRDefault="007D2C36" w:rsidP="007D2C36">
      <w:pPr>
        <w:ind w:left="810" w:firstLine="270"/>
      </w:pPr>
      <w:r>
        <w:t>Figure 30.</w:t>
      </w:r>
    </w:p>
    <w:p w:rsidR="007D2C36" w:rsidRDefault="007D2C36" w:rsidP="007D2C36">
      <w:pPr>
        <w:ind w:left="810" w:hanging="810"/>
        <w:jc w:val="center"/>
      </w:pPr>
    </w:p>
    <w:p w:rsidR="007D2C36" w:rsidRDefault="007D2C36" w:rsidP="007D2C36">
      <w:pPr>
        <w:ind w:left="810" w:hanging="810"/>
        <w:jc w:val="center"/>
      </w:pPr>
    </w:p>
    <w:p w:rsidR="007D2C36" w:rsidRDefault="007D2C36" w:rsidP="007D2C36">
      <w:pPr>
        <w:ind w:left="810" w:hanging="810"/>
        <w:jc w:val="center"/>
      </w:pPr>
    </w:p>
    <w:p w:rsidR="007D2C36" w:rsidRDefault="007D2C36" w:rsidP="007D2C36">
      <w:pPr>
        <w:ind w:left="810" w:hanging="810"/>
        <w:jc w:val="center"/>
      </w:pPr>
    </w:p>
    <w:p w:rsidR="007D2C36" w:rsidRDefault="007D2C36" w:rsidP="007D2C36">
      <w:pPr>
        <w:ind w:left="810" w:hanging="810"/>
        <w:jc w:val="center"/>
      </w:pPr>
    </w:p>
    <w:p w:rsidR="007D2C36" w:rsidRDefault="007D2C36" w:rsidP="007D2C36">
      <w:pPr>
        <w:ind w:left="810" w:hanging="810"/>
        <w:rPr>
          <w:b/>
          <w:u w:val="single"/>
        </w:rPr>
      </w:pPr>
    </w:p>
    <w:p w:rsidR="007D2C36" w:rsidRDefault="007D2C36" w:rsidP="007D2C36">
      <w:pPr>
        <w:ind w:left="810" w:hanging="810"/>
        <w:rPr>
          <w:b/>
          <w:u w:val="single"/>
        </w:rPr>
      </w:pPr>
    </w:p>
    <w:p w:rsidR="007D2C36" w:rsidRDefault="007D2C36" w:rsidP="007D2C36">
      <w:pPr>
        <w:ind w:left="810" w:hanging="810"/>
        <w:rPr>
          <w:b/>
          <w:u w:val="single"/>
        </w:rPr>
      </w:pPr>
    </w:p>
    <w:p w:rsidR="007D2C36" w:rsidRDefault="007D2C36" w:rsidP="007D2C36">
      <w:pPr>
        <w:ind w:left="810" w:hanging="810"/>
        <w:rPr>
          <w:b/>
          <w:u w:val="single"/>
        </w:rPr>
      </w:pPr>
    </w:p>
    <w:p w:rsidR="007D2C36" w:rsidRPr="00BC35B3" w:rsidRDefault="007D2C36" w:rsidP="007D2C36">
      <w:pPr>
        <w:ind w:left="810" w:hanging="810"/>
        <w:rPr>
          <w:b/>
        </w:rPr>
      </w:pPr>
      <w:bookmarkStart w:id="16" w:name="Fig31"/>
      <w:r>
        <w:rPr>
          <w:b/>
          <w:u w:val="single"/>
        </w:rPr>
        <w:lastRenderedPageBreak/>
        <w:t>CPI Data:</w:t>
      </w:r>
      <w:r>
        <w:rPr>
          <w:b/>
        </w:rPr>
        <w:t xml:space="preserve">  Overall</w:t>
      </w:r>
    </w:p>
    <w:bookmarkEnd w:id="16"/>
    <w:p w:rsidR="007D2C36" w:rsidRDefault="007D2C36" w:rsidP="007D2C36">
      <w:pPr>
        <w:ind w:left="810" w:hanging="810"/>
        <w:jc w:val="center"/>
      </w:pPr>
      <w:r>
        <w:rPr>
          <w:noProof/>
        </w:rPr>
        <w:drawing>
          <wp:inline distT="0" distB="0" distL="0" distR="0" wp14:anchorId="53EB80A0" wp14:editId="0CB26EF1">
            <wp:extent cx="6562725" cy="3733800"/>
            <wp:effectExtent l="0" t="0" r="9525" b="0"/>
            <wp:docPr id="2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rsidR="007D2C36" w:rsidRDefault="007D2C36" w:rsidP="007D2C36">
      <w:pPr>
        <w:ind w:left="810" w:hanging="810"/>
      </w:pPr>
      <w:r>
        <w:t>Figure 31.</w:t>
      </w:r>
    </w:p>
    <w:p w:rsidR="007D2C36" w:rsidRDefault="007D2C36" w:rsidP="007D2C36"/>
    <w:p w:rsidR="007D2C36" w:rsidRDefault="007D2C36" w:rsidP="007D2C36">
      <w:pPr>
        <w:ind w:left="810" w:hanging="810"/>
        <w:jc w:val="center"/>
      </w:pPr>
      <w:bookmarkStart w:id="17" w:name="Fig32"/>
      <w:r>
        <w:rPr>
          <w:noProof/>
        </w:rPr>
        <w:drawing>
          <wp:inline distT="0" distB="0" distL="0" distR="0" wp14:anchorId="3456CDD9" wp14:editId="0123BD73">
            <wp:extent cx="6638925" cy="3590925"/>
            <wp:effectExtent l="0" t="0" r="9525" b="9525"/>
            <wp:docPr id="37" name="Chart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bookmarkEnd w:id="17"/>
    </w:p>
    <w:p w:rsidR="007D2C36" w:rsidRDefault="007D2C36" w:rsidP="007D2C36">
      <w:pPr>
        <w:ind w:left="810" w:hanging="810"/>
      </w:pPr>
      <w:r>
        <w:t>Figure 32.</w:t>
      </w:r>
    </w:p>
    <w:p w:rsidR="00DA36F2" w:rsidRDefault="00DA36F2" w:rsidP="00674F12">
      <w:pPr>
        <w:spacing w:after="200" w:line="276" w:lineRule="auto"/>
        <w:rPr>
          <w:rFonts w:ascii="Arial" w:hAnsi="Arial" w:cs="Arial"/>
          <w:b/>
          <w:color w:val="000000" w:themeColor="text1"/>
        </w:rPr>
        <w:sectPr w:rsidR="00DA36F2" w:rsidSect="00524079">
          <w:headerReference w:type="default" r:id="rId46"/>
          <w:pgSz w:w="12240" w:h="15840"/>
          <w:pgMar w:top="1440" w:right="1440" w:bottom="1440" w:left="1440" w:header="720" w:footer="720" w:gutter="0"/>
          <w:cols w:space="720"/>
          <w:docGrid w:linePitch="360"/>
        </w:sectPr>
      </w:pPr>
    </w:p>
    <w:p w:rsidR="00DA36F2" w:rsidRDefault="00DA36F2" w:rsidP="00DA36F2">
      <w:pPr>
        <w:jc w:val="center"/>
      </w:pPr>
      <w:bookmarkStart w:id="18" w:name="AttritionData"/>
      <w:bookmarkEnd w:id="18"/>
      <w:r>
        <w:rPr>
          <w:noProof/>
        </w:rPr>
        <w:lastRenderedPageBreak/>
        <w:drawing>
          <wp:inline distT="0" distB="0" distL="0" distR="0" wp14:anchorId="5BC0069D" wp14:editId="70CAAC22">
            <wp:extent cx="4572000" cy="2743200"/>
            <wp:effectExtent l="0" t="0" r="0" b="0"/>
            <wp:docPr id="38" name="Chart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DA36F2" w:rsidRDefault="00DA36F2" w:rsidP="00DA36F2">
      <w:pPr>
        <w:jc w:val="center"/>
      </w:pPr>
    </w:p>
    <w:p w:rsidR="00DA36F2" w:rsidRDefault="00DA36F2" w:rsidP="00DA36F2">
      <w:pPr>
        <w:jc w:val="center"/>
      </w:pPr>
    </w:p>
    <w:p w:rsidR="00DA36F2" w:rsidRDefault="00DA36F2" w:rsidP="00DA36F2">
      <w:pPr>
        <w:jc w:val="center"/>
      </w:pPr>
    </w:p>
    <w:p w:rsidR="00DA36F2" w:rsidRDefault="00DA36F2" w:rsidP="00DA36F2">
      <w:pPr>
        <w:jc w:val="center"/>
      </w:pPr>
      <w:r>
        <w:rPr>
          <w:noProof/>
        </w:rPr>
        <w:drawing>
          <wp:inline distT="0" distB="0" distL="0" distR="0" wp14:anchorId="2A3A7682" wp14:editId="1FE13145">
            <wp:extent cx="4572000" cy="2577600"/>
            <wp:effectExtent l="0" t="0" r="0" b="13335"/>
            <wp:docPr id="39" name="Chart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rsidR="00DA36F2" w:rsidRDefault="00DA36F2" w:rsidP="00DA36F2">
      <w:pPr>
        <w:jc w:val="center"/>
      </w:pPr>
    </w:p>
    <w:p w:rsidR="00DA36F2" w:rsidRDefault="00DA36F2" w:rsidP="00DA36F2">
      <w:pPr>
        <w:jc w:val="center"/>
      </w:pPr>
    </w:p>
    <w:p w:rsidR="00DA36F2" w:rsidRDefault="00DA36F2" w:rsidP="00DA36F2">
      <w:pPr>
        <w:jc w:val="center"/>
      </w:pPr>
    </w:p>
    <w:p w:rsidR="00DA36F2" w:rsidRDefault="00DA36F2" w:rsidP="00DA36F2">
      <w:pPr>
        <w:jc w:val="center"/>
      </w:pPr>
    </w:p>
    <w:p w:rsidR="00DA36F2" w:rsidRDefault="00DA36F2" w:rsidP="00DA36F2">
      <w:pPr>
        <w:jc w:val="center"/>
      </w:pPr>
      <w:r>
        <w:rPr>
          <w:noProof/>
        </w:rPr>
        <w:lastRenderedPageBreak/>
        <w:drawing>
          <wp:inline distT="0" distB="0" distL="0" distR="0" wp14:anchorId="1D2BE7F4" wp14:editId="386E44D9">
            <wp:extent cx="4737600" cy="2728800"/>
            <wp:effectExtent l="0" t="0" r="6350" b="14605"/>
            <wp:docPr id="40" name="Chart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DA36F2" w:rsidRDefault="00DA36F2" w:rsidP="00DA36F2">
      <w:pPr>
        <w:jc w:val="center"/>
      </w:pPr>
    </w:p>
    <w:p w:rsidR="00DA36F2" w:rsidRDefault="00DA36F2" w:rsidP="00DA36F2">
      <w:pPr>
        <w:jc w:val="center"/>
      </w:pPr>
    </w:p>
    <w:p w:rsidR="00DA36F2" w:rsidRDefault="00DA36F2" w:rsidP="00DA36F2">
      <w:pPr>
        <w:jc w:val="center"/>
      </w:pPr>
    </w:p>
    <w:p w:rsidR="00DA36F2" w:rsidRDefault="00DA36F2" w:rsidP="00DA36F2">
      <w:pPr>
        <w:jc w:val="center"/>
      </w:pPr>
    </w:p>
    <w:p w:rsidR="00DA36F2" w:rsidRDefault="00DA36F2" w:rsidP="00DA36F2">
      <w:pPr>
        <w:jc w:val="center"/>
      </w:pPr>
    </w:p>
    <w:p w:rsidR="00DA36F2" w:rsidRDefault="00DA36F2" w:rsidP="00DA36F2">
      <w:pPr>
        <w:jc w:val="center"/>
      </w:pPr>
    </w:p>
    <w:p w:rsidR="00DA36F2" w:rsidRDefault="00DA36F2" w:rsidP="00DA36F2">
      <w:pPr>
        <w:jc w:val="center"/>
      </w:pPr>
      <w:r>
        <w:rPr>
          <w:noProof/>
        </w:rPr>
        <w:drawing>
          <wp:inline distT="0" distB="0" distL="0" distR="0" wp14:anchorId="7953FE10" wp14:editId="2646A5B9">
            <wp:extent cx="4831200" cy="2995200"/>
            <wp:effectExtent l="0" t="0" r="7620" b="15240"/>
            <wp:docPr id="41" name="Chart 41"/>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rsidR="00137DE0" w:rsidRDefault="00137DE0" w:rsidP="00674F12">
      <w:pPr>
        <w:spacing w:after="200" w:line="276" w:lineRule="auto"/>
        <w:rPr>
          <w:rFonts w:ascii="Arial" w:hAnsi="Arial" w:cs="Arial"/>
          <w:b/>
          <w:color w:val="000000" w:themeColor="text1"/>
        </w:rPr>
        <w:sectPr w:rsidR="00137DE0" w:rsidSect="00524079">
          <w:headerReference w:type="default" r:id="rId51"/>
          <w:pgSz w:w="12240" w:h="15840"/>
          <w:pgMar w:top="1440" w:right="1440" w:bottom="1440" w:left="1440" w:header="720" w:footer="720" w:gutter="0"/>
          <w:cols w:space="720"/>
          <w:docGrid w:linePitch="360"/>
        </w:sectPr>
      </w:pPr>
    </w:p>
    <w:p w:rsidR="00137DE0" w:rsidRDefault="00137DE0" w:rsidP="00137DE0">
      <w:pPr>
        <w:jc w:val="center"/>
        <w:rPr>
          <w:b/>
          <w:sz w:val="32"/>
        </w:rPr>
      </w:pPr>
      <w:bookmarkStart w:id="19" w:name="ANOVA"/>
      <w:r w:rsidRPr="00FF2C7F">
        <w:rPr>
          <w:b/>
          <w:sz w:val="32"/>
        </w:rPr>
        <w:lastRenderedPageBreak/>
        <w:t>Comparison of PTA 1116 Grades Between</w:t>
      </w:r>
    </w:p>
    <w:p w:rsidR="00137DE0" w:rsidRPr="00FF2C7F" w:rsidRDefault="00137DE0" w:rsidP="00137DE0">
      <w:pPr>
        <w:jc w:val="center"/>
        <w:rPr>
          <w:b/>
          <w:sz w:val="32"/>
        </w:rPr>
      </w:pPr>
      <w:r w:rsidRPr="00FF2C7F">
        <w:rPr>
          <w:b/>
          <w:sz w:val="32"/>
        </w:rPr>
        <w:t xml:space="preserve">Open </w:t>
      </w:r>
      <w:r>
        <w:rPr>
          <w:b/>
          <w:sz w:val="32"/>
        </w:rPr>
        <w:t>Admission</w:t>
      </w:r>
      <w:r w:rsidRPr="00FF2C7F">
        <w:rPr>
          <w:b/>
          <w:sz w:val="32"/>
        </w:rPr>
        <w:t xml:space="preserve"> Students and Competitive Students </w:t>
      </w:r>
    </w:p>
    <w:bookmarkEnd w:id="19"/>
    <w:p w:rsidR="00137DE0" w:rsidRDefault="00137DE0" w:rsidP="00137DE0"/>
    <w:p w:rsidR="00137DE0" w:rsidRDefault="00137DE0" w:rsidP="00137DE0">
      <w:r>
        <w:t xml:space="preserve">I looked at the grades from PTA 1116, Fall 2012 (open) and 2014 (competitive). I chose 1116 because it doesn’t change much from year to year. I didn’t even try 1112. Frankly I think this is enough data to say that what I’m seeing </w:t>
      </w:r>
      <w:r>
        <w:rPr>
          <w:i/>
        </w:rPr>
        <w:t>in just this one instance</w:t>
      </w:r>
      <w:r>
        <w:t xml:space="preserve"> is real, and real big. </w:t>
      </w:r>
    </w:p>
    <w:p w:rsidR="00137DE0" w:rsidRDefault="00137DE0" w:rsidP="00137DE0"/>
    <w:p w:rsidR="00137DE0" w:rsidRDefault="00137DE0" w:rsidP="00137DE0">
      <w:r>
        <w:t>For the ANOVA, I set the alpha to 0.05. The ANOVA table shows a P value that is very low. Also the F value is way above the F-critical value. There is a very significant difference between these two classes.</w:t>
      </w:r>
    </w:p>
    <w:p w:rsidR="00137DE0" w:rsidRDefault="00137DE0" w:rsidP="00137DE0"/>
    <w:p w:rsidR="00137DE0" w:rsidRDefault="00137DE0" w:rsidP="00137DE0">
      <w:r>
        <w:t>I did a t-test as well just for the fun of it and it is also very significant. It will be interesting to see how this works out as our data become larger. I’m glad we had one full year on semesters and open admissions.</w:t>
      </w:r>
    </w:p>
    <w:p w:rsidR="00137DE0" w:rsidRDefault="00137DE0" w:rsidP="00137DE0"/>
    <w:p w:rsidR="00137DE0" w:rsidRPr="001741E0" w:rsidRDefault="00137DE0" w:rsidP="00137DE0">
      <w:r>
        <w:t>Once I get all the other courses exported and processed, I’ll do the same with them. It will be interesting to do the same with TEAS.</w:t>
      </w:r>
    </w:p>
    <w:p w:rsidR="00137DE0" w:rsidRDefault="00137DE0" w:rsidP="00137DE0"/>
    <w:tbl>
      <w:tblPr>
        <w:tblW w:w="10165" w:type="dxa"/>
        <w:jc w:val="center"/>
        <w:tblLook w:val="04A0" w:firstRow="1" w:lastRow="0" w:firstColumn="1" w:lastColumn="0" w:noHBand="0" w:noVBand="1"/>
      </w:tblPr>
      <w:tblGrid>
        <w:gridCol w:w="3060"/>
        <w:gridCol w:w="1053"/>
        <w:gridCol w:w="1122"/>
        <w:gridCol w:w="954"/>
        <w:gridCol w:w="1003"/>
        <w:gridCol w:w="1041"/>
        <w:gridCol w:w="972"/>
        <w:gridCol w:w="960"/>
      </w:tblGrid>
      <w:tr w:rsidR="00137DE0" w:rsidRPr="00421850" w:rsidTr="00524079">
        <w:trPr>
          <w:trHeight w:val="300"/>
          <w:jc w:val="center"/>
        </w:trPr>
        <w:tc>
          <w:tcPr>
            <w:tcW w:w="3060" w:type="dxa"/>
            <w:tcBorders>
              <w:top w:val="nil"/>
              <w:left w:val="nil"/>
              <w:bottom w:val="nil"/>
              <w:right w:val="nil"/>
            </w:tcBorders>
            <w:shd w:val="clear" w:color="auto" w:fill="auto"/>
            <w:noWrap/>
            <w:vAlign w:val="bottom"/>
            <w:hideMark/>
          </w:tcPr>
          <w:p w:rsidR="00137DE0" w:rsidRPr="00421850" w:rsidRDefault="00137DE0" w:rsidP="00524079">
            <w:pPr>
              <w:rPr>
                <w:rFonts w:ascii="Calibri" w:hAnsi="Calibri"/>
                <w:color w:val="000000"/>
                <w:sz w:val="22"/>
                <w:szCs w:val="22"/>
              </w:rPr>
            </w:pPr>
            <w:r w:rsidRPr="00421850">
              <w:rPr>
                <w:rFonts w:ascii="Calibri" w:hAnsi="Calibri"/>
                <w:color w:val="000000"/>
                <w:sz w:val="22"/>
                <w:szCs w:val="22"/>
              </w:rPr>
              <w:t>Anova: Single Factor</w:t>
            </w:r>
          </w:p>
        </w:tc>
        <w:tc>
          <w:tcPr>
            <w:tcW w:w="1053" w:type="dxa"/>
            <w:tcBorders>
              <w:top w:val="nil"/>
              <w:left w:val="nil"/>
              <w:bottom w:val="nil"/>
              <w:right w:val="nil"/>
            </w:tcBorders>
            <w:shd w:val="clear" w:color="auto" w:fill="auto"/>
            <w:noWrap/>
            <w:vAlign w:val="bottom"/>
            <w:hideMark/>
          </w:tcPr>
          <w:p w:rsidR="00137DE0" w:rsidRPr="00421850" w:rsidRDefault="00137DE0" w:rsidP="00524079">
            <w:pPr>
              <w:rPr>
                <w:rFonts w:ascii="Calibri" w:hAnsi="Calibri"/>
                <w:color w:val="000000"/>
                <w:sz w:val="22"/>
                <w:szCs w:val="22"/>
              </w:rPr>
            </w:pPr>
          </w:p>
        </w:tc>
        <w:tc>
          <w:tcPr>
            <w:tcW w:w="1122" w:type="dxa"/>
            <w:tcBorders>
              <w:top w:val="nil"/>
              <w:left w:val="nil"/>
              <w:bottom w:val="nil"/>
              <w:right w:val="nil"/>
            </w:tcBorders>
            <w:shd w:val="clear" w:color="auto" w:fill="auto"/>
            <w:noWrap/>
            <w:vAlign w:val="bottom"/>
            <w:hideMark/>
          </w:tcPr>
          <w:p w:rsidR="00137DE0" w:rsidRPr="00421850" w:rsidRDefault="00137DE0" w:rsidP="00524079">
            <w:pPr>
              <w:rPr>
                <w:rFonts w:ascii="Calibri" w:hAnsi="Calibri"/>
                <w:color w:val="000000"/>
                <w:sz w:val="22"/>
                <w:szCs w:val="22"/>
              </w:rPr>
            </w:pPr>
          </w:p>
        </w:tc>
        <w:tc>
          <w:tcPr>
            <w:tcW w:w="954" w:type="dxa"/>
            <w:tcBorders>
              <w:top w:val="nil"/>
              <w:left w:val="nil"/>
              <w:bottom w:val="nil"/>
              <w:right w:val="nil"/>
            </w:tcBorders>
            <w:shd w:val="clear" w:color="auto" w:fill="auto"/>
            <w:noWrap/>
            <w:vAlign w:val="bottom"/>
            <w:hideMark/>
          </w:tcPr>
          <w:p w:rsidR="00137DE0" w:rsidRPr="00421850" w:rsidRDefault="00137DE0" w:rsidP="00524079">
            <w:pPr>
              <w:rPr>
                <w:rFonts w:ascii="Calibri" w:hAnsi="Calibri"/>
                <w:color w:val="000000"/>
                <w:sz w:val="22"/>
                <w:szCs w:val="22"/>
              </w:rPr>
            </w:pPr>
          </w:p>
        </w:tc>
        <w:tc>
          <w:tcPr>
            <w:tcW w:w="1003" w:type="dxa"/>
            <w:tcBorders>
              <w:top w:val="nil"/>
              <w:left w:val="nil"/>
              <w:bottom w:val="nil"/>
              <w:right w:val="nil"/>
            </w:tcBorders>
            <w:shd w:val="clear" w:color="auto" w:fill="auto"/>
            <w:noWrap/>
            <w:vAlign w:val="bottom"/>
            <w:hideMark/>
          </w:tcPr>
          <w:p w:rsidR="00137DE0" w:rsidRPr="00421850" w:rsidRDefault="00137DE0" w:rsidP="00524079">
            <w:pPr>
              <w:rPr>
                <w:rFonts w:ascii="Calibri" w:hAnsi="Calibri"/>
                <w:color w:val="000000"/>
                <w:sz w:val="22"/>
                <w:szCs w:val="22"/>
              </w:rPr>
            </w:pPr>
          </w:p>
        </w:tc>
        <w:tc>
          <w:tcPr>
            <w:tcW w:w="1041" w:type="dxa"/>
            <w:tcBorders>
              <w:top w:val="nil"/>
              <w:left w:val="nil"/>
              <w:bottom w:val="nil"/>
              <w:right w:val="nil"/>
            </w:tcBorders>
            <w:shd w:val="clear" w:color="auto" w:fill="auto"/>
            <w:noWrap/>
            <w:vAlign w:val="bottom"/>
            <w:hideMark/>
          </w:tcPr>
          <w:p w:rsidR="00137DE0" w:rsidRPr="00421850" w:rsidRDefault="00137DE0" w:rsidP="00524079">
            <w:pPr>
              <w:rPr>
                <w:rFonts w:ascii="Calibri" w:hAnsi="Calibri"/>
                <w:color w:val="000000"/>
                <w:sz w:val="22"/>
                <w:szCs w:val="22"/>
              </w:rPr>
            </w:pPr>
          </w:p>
        </w:tc>
        <w:tc>
          <w:tcPr>
            <w:tcW w:w="972" w:type="dxa"/>
            <w:tcBorders>
              <w:top w:val="nil"/>
              <w:left w:val="nil"/>
              <w:bottom w:val="nil"/>
              <w:right w:val="nil"/>
            </w:tcBorders>
            <w:shd w:val="clear" w:color="auto" w:fill="auto"/>
            <w:noWrap/>
            <w:vAlign w:val="bottom"/>
            <w:hideMark/>
          </w:tcPr>
          <w:p w:rsidR="00137DE0" w:rsidRPr="00421850" w:rsidRDefault="00137DE0" w:rsidP="00524079">
            <w:pPr>
              <w:rPr>
                <w:rFonts w:ascii="Calibri" w:hAnsi="Calibri"/>
                <w:color w:val="000000"/>
                <w:sz w:val="22"/>
                <w:szCs w:val="22"/>
              </w:rPr>
            </w:pPr>
          </w:p>
        </w:tc>
        <w:tc>
          <w:tcPr>
            <w:tcW w:w="960" w:type="dxa"/>
            <w:tcBorders>
              <w:top w:val="nil"/>
              <w:left w:val="nil"/>
              <w:bottom w:val="nil"/>
              <w:right w:val="nil"/>
            </w:tcBorders>
            <w:shd w:val="clear" w:color="auto" w:fill="auto"/>
            <w:noWrap/>
            <w:vAlign w:val="bottom"/>
            <w:hideMark/>
          </w:tcPr>
          <w:p w:rsidR="00137DE0" w:rsidRPr="00421850" w:rsidRDefault="00137DE0" w:rsidP="00524079">
            <w:pPr>
              <w:rPr>
                <w:rFonts w:ascii="Calibri" w:hAnsi="Calibri"/>
                <w:color w:val="000000"/>
                <w:sz w:val="22"/>
                <w:szCs w:val="22"/>
              </w:rPr>
            </w:pPr>
          </w:p>
        </w:tc>
      </w:tr>
      <w:tr w:rsidR="00137DE0" w:rsidRPr="00421850" w:rsidTr="00524079">
        <w:trPr>
          <w:trHeight w:val="81"/>
          <w:jc w:val="center"/>
        </w:trPr>
        <w:tc>
          <w:tcPr>
            <w:tcW w:w="3060" w:type="dxa"/>
            <w:tcBorders>
              <w:top w:val="nil"/>
              <w:left w:val="nil"/>
              <w:bottom w:val="nil"/>
              <w:right w:val="nil"/>
            </w:tcBorders>
            <w:shd w:val="clear" w:color="auto" w:fill="auto"/>
            <w:noWrap/>
            <w:vAlign w:val="bottom"/>
            <w:hideMark/>
          </w:tcPr>
          <w:p w:rsidR="00137DE0" w:rsidRPr="00421850" w:rsidRDefault="00137DE0" w:rsidP="00524079">
            <w:pPr>
              <w:rPr>
                <w:rFonts w:ascii="Calibri" w:hAnsi="Calibri"/>
                <w:color w:val="000000"/>
                <w:sz w:val="10"/>
                <w:szCs w:val="22"/>
              </w:rPr>
            </w:pPr>
          </w:p>
        </w:tc>
        <w:tc>
          <w:tcPr>
            <w:tcW w:w="1053" w:type="dxa"/>
            <w:tcBorders>
              <w:top w:val="nil"/>
              <w:left w:val="nil"/>
              <w:bottom w:val="nil"/>
              <w:right w:val="nil"/>
            </w:tcBorders>
            <w:shd w:val="clear" w:color="auto" w:fill="auto"/>
            <w:noWrap/>
            <w:vAlign w:val="bottom"/>
            <w:hideMark/>
          </w:tcPr>
          <w:p w:rsidR="00137DE0" w:rsidRPr="00421850" w:rsidRDefault="00137DE0" w:rsidP="00524079">
            <w:pPr>
              <w:rPr>
                <w:rFonts w:ascii="Calibri" w:hAnsi="Calibri"/>
                <w:color w:val="000000"/>
                <w:sz w:val="22"/>
                <w:szCs w:val="22"/>
              </w:rPr>
            </w:pPr>
          </w:p>
        </w:tc>
        <w:tc>
          <w:tcPr>
            <w:tcW w:w="1122" w:type="dxa"/>
            <w:tcBorders>
              <w:top w:val="nil"/>
              <w:left w:val="nil"/>
              <w:bottom w:val="nil"/>
              <w:right w:val="nil"/>
            </w:tcBorders>
            <w:shd w:val="clear" w:color="auto" w:fill="auto"/>
            <w:noWrap/>
            <w:vAlign w:val="bottom"/>
            <w:hideMark/>
          </w:tcPr>
          <w:p w:rsidR="00137DE0" w:rsidRPr="00421850" w:rsidRDefault="00137DE0" w:rsidP="00524079">
            <w:pPr>
              <w:rPr>
                <w:rFonts w:ascii="Calibri" w:hAnsi="Calibri"/>
                <w:color w:val="000000"/>
                <w:sz w:val="22"/>
                <w:szCs w:val="22"/>
              </w:rPr>
            </w:pPr>
          </w:p>
        </w:tc>
        <w:tc>
          <w:tcPr>
            <w:tcW w:w="954" w:type="dxa"/>
            <w:tcBorders>
              <w:top w:val="nil"/>
              <w:left w:val="nil"/>
              <w:bottom w:val="nil"/>
              <w:right w:val="nil"/>
            </w:tcBorders>
            <w:shd w:val="clear" w:color="auto" w:fill="auto"/>
            <w:noWrap/>
            <w:vAlign w:val="bottom"/>
            <w:hideMark/>
          </w:tcPr>
          <w:p w:rsidR="00137DE0" w:rsidRPr="00421850" w:rsidRDefault="00137DE0" w:rsidP="00524079">
            <w:pPr>
              <w:rPr>
                <w:rFonts w:ascii="Calibri" w:hAnsi="Calibri"/>
                <w:color w:val="000000"/>
                <w:sz w:val="22"/>
                <w:szCs w:val="22"/>
              </w:rPr>
            </w:pPr>
          </w:p>
        </w:tc>
        <w:tc>
          <w:tcPr>
            <w:tcW w:w="1003" w:type="dxa"/>
            <w:tcBorders>
              <w:top w:val="nil"/>
              <w:left w:val="nil"/>
              <w:bottom w:val="nil"/>
              <w:right w:val="nil"/>
            </w:tcBorders>
            <w:shd w:val="clear" w:color="auto" w:fill="auto"/>
            <w:noWrap/>
            <w:vAlign w:val="bottom"/>
            <w:hideMark/>
          </w:tcPr>
          <w:p w:rsidR="00137DE0" w:rsidRPr="00421850" w:rsidRDefault="00137DE0" w:rsidP="00524079">
            <w:pPr>
              <w:rPr>
                <w:rFonts w:ascii="Calibri" w:hAnsi="Calibri"/>
                <w:color w:val="000000"/>
                <w:sz w:val="22"/>
                <w:szCs w:val="22"/>
              </w:rPr>
            </w:pPr>
          </w:p>
        </w:tc>
        <w:tc>
          <w:tcPr>
            <w:tcW w:w="1041" w:type="dxa"/>
            <w:tcBorders>
              <w:top w:val="nil"/>
              <w:left w:val="nil"/>
              <w:bottom w:val="nil"/>
              <w:right w:val="nil"/>
            </w:tcBorders>
            <w:shd w:val="clear" w:color="auto" w:fill="auto"/>
            <w:noWrap/>
            <w:vAlign w:val="bottom"/>
            <w:hideMark/>
          </w:tcPr>
          <w:p w:rsidR="00137DE0" w:rsidRPr="00421850" w:rsidRDefault="00137DE0" w:rsidP="00524079">
            <w:pPr>
              <w:rPr>
                <w:rFonts w:ascii="Calibri" w:hAnsi="Calibri"/>
                <w:color w:val="000000"/>
                <w:sz w:val="22"/>
                <w:szCs w:val="22"/>
              </w:rPr>
            </w:pPr>
          </w:p>
        </w:tc>
        <w:tc>
          <w:tcPr>
            <w:tcW w:w="972" w:type="dxa"/>
            <w:tcBorders>
              <w:top w:val="nil"/>
              <w:left w:val="nil"/>
              <w:bottom w:val="nil"/>
              <w:right w:val="nil"/>
            </w:tcBorders>
            <w:shd w:val="clear" w:color="auto" w:fill="auto"/>
            <w:noWrap/>
            <w:vAlign w:val="bottom"/>
            <w:hideMark/>
          </w:tcPr>
          <w:p w:rsidR="00137DE0" w:rsidRPr="00421850" w:rsidRDefault="00137DE0" w:rsidP="00524079">
            <w:pPr>
              <w:rPr>
                <w:rFonts w:ascii="Calibri" w:hAnsi="Calibri"/>
                <w:color w:val="000000"/>
                <w:sz w:val="22"/>
                <w:szCs w:val="22"/>
              </w:rPr>
            </w:pPr>
          </w:p>
        </w:tc>
        <w:tc>
          <w:tcPr>
            <w:tcW w:w="960" w:type="dxa"/>
            <w:tcBorders>
              <w:top w:val="nil"/>
              <w:left w:val="nil"/>
              <w:bottom w:val="nil"/>
              <w:right w:val="nil"/>
            </w:tcBorders>
            <w:shd w:val="clear" w:color="auto" w:fill="auto"/>
            <w:noWrap/>
            <w:vAlign w:val="bottom"/>
            <w:hideMark/>
          </w:tcPr>
          <w:p w:rsidR="00137DE0" w:rsidRPr="00421850" w:rsidRDefault="00137DE0" w:rsidP="00524079">
            <w:pPr>
              <w:rPr>
                <w:rFonts w:ascii="Calibri" w:hAnsi="Calibri"/>
                <w:color w:val="000000"/>
                <w:sz w:val="22"/>
                <w:szCs w:val="22"/>
              </w:rPr>
            </w:pPr>
          </w:p>
        </w:tc>
      </w:tr>
      <w:tr w:rsidR="00137DE0" w:rsidRPr="00421850" w:rsidTr="00524079">
        <w:trPr>
          <w:trHeight w:val="315"/>
          <w:jc w:val="center"/>
        </w:trPr>
        <w:tc>
          <w:tcPr>
            <w:tcW w:w="3060" w:type="dxa"/>
            <w:tcBorders>
              <w:top w:val="nil"/>
              <w:left w:val="nil"/>
              <w:bottom w:val="nil"/>
              <w:right w:val="nil"/>
            </w:tcBorders>
            <w:shd w:val="clear" w:color="auto" w:fill="auto"/>
            <w:noWrap/>
            <w:vAlign w:val="bottom"/>
            <w:hideMark/>
          </w:tcPr>
          <w:p w:rsidR="00137DE0" w:rsidRPr="00421850" w:rsidRDefault="00137DE0" w:rsidP="00524079">
            <w:pPr>
              <w:rPr>
                <w:rFonts w:ascii="Calibri" w:hAnsi="Calibri"/>
                <w:color w:val="000000"/>
                <w:sz w:val="22"/>
                <w:szCs w:val="22"/>
              </w:rPr>
            </w:pPr>
            <w:r w:rsidRPr="00421850">
              <w:rPr>
                <w:rFonts w:ascii="Calibri" w:hAnsi="Calibri"/>
                <w:color w:val="000000"/>
                <w:sz w:val="22"/>
                <w:szCs w:val="22"/>
              </w:rPr>
              <w:t>SUMMARY</w:t>
            </w:r>
          </w:p>
        </w:tc>
        <w:tc>
          <w:tcPr>
            <w:tcW w:w="1053" w:type="dxa"/>
            <w:tcBorders>
              <w:top w:val="nil"/>
              <w:left w:val="nil"/>
              <w:bottom w:val="nil"/>
              <w:right w:val="nil"/>
            </w:tcBorders>
            <w:shd w:val="clear" w:color="auto" w:fill="auto"/>
            <w:noWrap/>
            <w:vAlign w:val="bottom"/>
            <w:hideMark/>
          </w:tcPr>
          <w:p w:rsidR="00137DE0" w:rsidRPr="00421850" w:rsidRDefault="00137DE0" w:rsidP="00524079">
            <w:pPr>
              <w:rPr>
                <w:rFonts w:ascii="Calibri" w:hAnsi="Calibri"/>
                <w:color w:val="000000"/>
                <w:sz w:val="22"/>
                <w:szCs w:val="22"/>
              </w:rPr>
            </w:pPr>
          </w:p>
        </w:tc>
        <w:tc>
          <w:tcPr>
            <w:tcW w:w="1122" w:type="dxa"/>
            <w:tcBorders>
              <w:top w:val="nil"/>
              <w:left w:val="nil"/>
              <w:bottom w:val="nil"/>
              <w:right w:val="nil"/>
            </w:tcBorders>
            <w:shd w:val="clear" w:color="auto" w:fill="auto"/>
            <w:noWrap/>
            <w:vAlign w:val="bottom"/>
            <w:hideMark/>
          </w:tcPr>
          <w:p w:rsidR="00137DE0" w:rsidRPr="00421850" w:rsidRDefault="00137DE0" w:rsidP="00524079">
            <w:pPr>
              <w:rPr>
                <w:rFonts w:ascii="Calibri" w:hAnsi="Calibri"/>
                <w:color w:val="000000"/>
                <w:sz w:val="22"/>
                <w:szCs w:val="22"/>
              </w:rPr>
            </w:pPr>
          </w:p>
        </w:tc>
        <w:tc>
          <w:tcPr>
            <w:tcW w:w="954" w:type="dxa"/>
            <w:tcBorders>
              <w:top w:val="nil"/>
              <w:left w:val="nil"/>
              <w:bottom w:val="nil"/>
              <w:right w:val="nil"/>
            </w:tcBorders>
            <w:shd w:val="clear" w:color="auto" w:fill="auto"/>
            <w:noWrap/>
            <w:vAlign w:val="bottom"/>
            <w:hideMark/>
          </w:tcPr>
          <w:p w:rsidR="00137DE0" w:rsidRPr="00421850" w:rsidRDefault="00137DE0" w:rsidP="00524079">
            <w:pPr>
              <w:rPr>
                <w:rFonts w:ascii="Calibri" w:hAnsi="Calibri"/>
                <w:color w:val="000000"/>
                <w:sz w:val="22"/>
                <w:szCs w:val="22"/>
              </w:rPr>
            </w:pPr>
          </w:p>
        </w:tc>
        <w:tc>
          <w:tcPr>
            <w:tcW w:w="1003" w:type="dxa"/>
            <w:tcBorders>
              <w:top w:val="nil"/>
              <w:left w:val="nil"/>
              <w:bottom w:val="nil"/>
              <w:right w:val="nil"/>
            </w:tcBorders>
            <w:shd w:val="clear" w:color="auto" w:fill="auto"/>
            <w:noWrap/>
            <w:vAlign w:val="bottom"/>
            <w:hideMark/>
          </w:tcPr>
          <w:p w:rsidR="00137DE0" w:rsidRPr="00421850" w:rsidRDefault="00137DE0" w:rsidP="00524079">
            <w:pPr>
              <w:rPr>
                <w:rFonts w:ascii="Calibri" w:hAnsi="Calibri"/>
                <w:color w:val="000000"/>
                <w:sz w:val="22"/>
                <w:szCs w:val="22"/>
              </w:rPr>
            </w:pPr>
          </w:p>
        </w:tc>
        <w:tc>
          <w:tcPr>
            <w:tcW w:w="1041" w:type="dxa"/>
            <w:tcBorders>
              <w:top w:val="nil"/>
              <w:left w:val="nil"/>
              <w:bottom w:val="nil"/>
              <w:right w:val="nil"/>
            </w:tcBorders>
            <w:shd w:val="clear" w:color="auto" w:fill="auto"/>
            <w:noWrap/>
            <w:vAlign w:val="bottom"/>
            <w:hideMark/>
          </w:tcPr>
          <w:p w:rsidR="00137DE0" w:rsidRPr="00421850" w:rsidRDefault="00137DE0" w:rsidP="00524079">
            <w:pPr>
              <w:rPr>
                <w:rFonts w:ascii="Calibri" w:hAnsi="Calibri"/>
                <w:color w:val="000000"/>
                <w:sz w:val="22"/>
                <w:szCs w:val="22"/>
              </w:rPr>
            </w:pPr>
          </w:p>
        </w:tc>
        <w:tc>
          <w:tcPr>
            <w:tcW w:w="972" w:type="dxa"/>
            <w:tcBorders>
              <w:top w:val="nil"/>
              <w:left w:val="nil"/>
              <w:bottom w:val="nil"/>
              <w:right w:val="nil"/>
            </w:tcBorders>
            <w:shd w:val="clear" w:color="auto" w:fill="auto"/>
            <w:noWrap/>
            <w:vAlign w:val="bottom"/>
            <w:hideMark/>
          </w:tcPr>
          <w:p w:rsidR="00137DE0" w:rsidRPr="00421850" w:rsidRDefault="00137DE0" w:rsidP="00524079">
            <w:pPr>
              <w:rPr>
                <w:rFonts w:ascii="Calibri" w:hAnsi="Calibri"/>
                <w:color w:val="000000"/>
                <w:sz w:val="22"/>
                <w:szCs w:val="22"/>
              </w:rPr>
            </w:pPr>
          </w:p>
        </w:tc>
        <w:tc>
          <w:tcPr>
            <w:tcW w:w="960" w:type="dxa"/>
            <w:tcBorders>
              <w:top w:val="nil"/>
              <w:left w:val="nil"/>
              <w:bottom w:val="nil"/>
              <w:right w:val="nil"/>
            </w:tcBorders>
            <w:shd w:val="clear" w:color="auto" w:fill="auto"/>
            <w:noWrap/>
            <w:vAlign w:val="bottom"/>
            <w:hideMark/>
          </w:tcPr>
          <w:p w:rsidR="00137DE0" w:rsidRPr="00421850" w:rsidRDefault="00137DE0" w:rsidP="00524079">
            <w:pPr>
              <w:rPr>
                <w:rFonts w:ascii="Calibri" w:hAnsi="Calibri"/>
                <w:color w:val="000000"/>
                <w:sz w:val="22"/>
                <w:szCs w:val="22"/>
              </w:rPr>
            </w:pPr>
          </w:p>
        </w:tc>
      </w:tr>
      <w:tr w:rsidR="00137DE0" w:rsidRPr="00421850" w:rsidTr="00524079">
        <w:trPr>
          <w:trHeight w:val="300"/>
          <w:jc w:val="center"/>
        </w:trPr>
        <w:tc>
          <w:tcPr>
            <w:tcW w:w="3060" w:type="dxa"/>
            <w:tcBorders>
              <w:top w:val="single" w:sz="8" w:space="0" w:color="auto"/>
              <w:left w:val="nil"/>
              <w:bottom w:val="single" w:sz="4" w:space="0" w:color="auto"/>
              <w:right w:val="nil"/>
            </w:tcBorders>
            <w:shd w:val="clear" w:color="auto" w:fill="auto"/>
            <w:noWrap/>
            <w:vAlign w:val="bottom"/>
            <w:hideMark/>
          </w:tcPr>
          <w:p w:rsidR="00137DE0" w:rsidRPr="00421850" w:rsidRDefault="00137DE0" w:rsidP="00524079">
            <w:pPr>
              <w:jc w:val="center"/>
              <w:rPr>
                <w:rFonts w:ascii="Calibri" w:hAnsi="Calibri"/>
                <w:i/>
                <w:iCs/>
                <w:color w:val="000000"/>
                <w:sz w:val="22"/>
                <w:szCs w:val="22"/>
              </w:rPr>
            </w:pPr>
            <w:r w:rsidRPr="00421850">
              <w:rPr>
                <w:rFonts w:ascii="Calibri" w:hAnsi="Calibri"/>
                <w:i/>
                <w:iCs/>
                <w:color w:val="000000"/>
                <w:sz w:val="22"/>
                <w:szCs w:val="22"/>
              </w:rPr>
              <w:t>Groups</w:t>
            </w:r>
          </w:p>
        </w:tc>
        <w:tc>
          <w:tcPr>
            <w:tcW w:w="1053" w:type="dxa"/>
            <w:tcBorders>
              <w:top w:val="single" w:sz="8" w:space="0" w:color="auto"/>
              <w:left w:val="nil"/>
              <w:bottom w:val="single" w:sz="4" w:space="0" w:color="auto"/>
              <w:right w:val="nil"/>
            </w:tcBorders>
            <w:shd w:val="clear" w:color="auto" w:fill="auto"/>
            <w:noWrap/>
            <w:vAlign w:val="bottom"/>
            <w:hideMark/>
          </w:tcPr>
          <w:p w:rsidR="00137DE0" w:rsidRPr="00421850" w:rsidRDefault="00137DE0" w:rsidP="00524079">
            <w:pPr>
              <w:jc w:val="center"/>
              <w:rPr>
                <w:rFonts w:ascii="Calibri" w:hAnsi="Calibri"/>
                <w:i/>
                <w:iCs/>
                <w:color w:val="000000"/>
                <w:sz w:val="22"/>
                <w:szCs w:val="22"/>
              </w:rPr>
            </w:pPr>
            <w:r w:rsidRPr="00421850">
              <w:rPr>
                <w:rFonts w:ascii="Calibri" w:hAnsi="Calibri"/>
                <w:i/>
                <w:iCs/>
                <w:color w:val="000000"/>
                <w:sz w:val="22"/>
                <w:szCs w:val="22"/>
              </w:rPr>
              <w:t>Count</w:t>
            </w:r>
          </w:p>
        </w:tc>
        <w:tc>
          <w:tcPr>
            <w:tcW w:w="1122" w:type="dxa"/>
            <w:tcBorders>
              <w:top w:val="single" w:sz="8" w:space="0" w:color="auto"/>
              <w:left w:val="nil"/>
              <w:bottom w:val="single" w:sz="4" w:space="0" w:color="auto"/>
              <w:right w:val="nil"/>
            </w:tcBorders>
            <w:shd w:val="clear" w:color="auto" w:fill="auto"/>
            <w:noWrap/>
            <w:vAlign w:val="bottom"/>
            <w:hideMark/>
          </w:tcPr>
          <w:p w:rsidR="00137DE0" w:rsidRPr="00421850" w:rsidRDefault="00137DE0" w:rsidP="00524079">
            <w:pPr>
              <w:jc w:val="center"/>
              <w:rPr>
                <w:rFonts w:ascii="Calibri" w:hAnsi="Calibri"/>
                <w:i/>
                <w:iCs/>
                <w:color w:val="000000"/>
                <w:sz w:val="22"/>
                <w:szCs w:val="22"/>
              </w:rPr>
            </w:pPr>
            <w:r w:rsidRPr="00421850">
              <w:rPr>
                <w:rFonts w:ascii="Calibri" w:hAnsi="Calibri"/>
                <w:i/>
                <w:iCs/>
                <w:color w:val="000000"/>
                <w:sz w:val="22"/>
                <w:szCs w:val="22"/>
              </w:rPr>
              <w:t>Sum</w:t>
            </w:r>
          </w:p>
        </w:tc>
        <w:tc>
          <w:tcPr>
            <w:tcW w:w="954" w:type="dxa"/>
            <w:tcBorders>
              <w:top w:val="single" w:sz="8" w:space="0" w:color="auto"/>
              <w:left w:val="nil"/>
              <w:bottom w:val="single" w:sz="4" w:space="0" w:color="auto"/>
              <w:right w:val="nil"/>
            </w:tcBorders>
            <w:shd w:val="clear" w:color="auto" w:fill="auto"/>
            <w:noWrap/>
            <w:vAlign w:val="bottom"/>
            <w:hideMark/>
          </w:tcPr>
          <w:p w:rsidR="00137DE0" w:rsidRPr="00421850" w:rsidRDefault="00137DE0" w:rsidP="00524079">
            <w:pPr>
              <w:jc w:val="center"/>
              <w:rPr>
                <w:rFonts w:ascii="Calibri" w:hAnsi="Calibri"/>
                <w:i/>
                <w:iCs/>
                <w:color w:val="000000"/>
                <w:sz w:val="22"/>
                <w:szCs w:val="22"/>
              </w:rPr>
            </w:pPr>
            <w:r w:rsidRPr="00421850">
              <w:rPr>
                <w:rFonts w:ascii="Calibri" w:hAnsi="Calibri"/>
                <w:i/>
                <w:iCs/>
                <w:color w:val="000000"/>
                <w:sz w:val="22"/>
                <w:szCs w:val="22"/>
              </w:rPr>
              <w:t>Average</w:t>
            </w:r>
          </w:p>
        </w:tc>
        <w:tc>
          <w:tcPr>
            <w:tcW w:w="1003" w:type="dxa"/>
            <w:tcBorders>
              <w:top w:val="single" w:sz="8" w:space="0" w:color="auto"/>
              <w:left w:val="nil"/>
              <w:bottom w:val="single" w:sz="4" w:space="0" w:color="auto"/>
              <w:right w:val="nil"/>
            </w:tcBorders>
            <w:shd w:val="clear" w:color="auto" w:fill="auto"/>
            <w:noWrap/>
            <w:vAlign w:val="bottom"/>
            <w:hideMark/>
          </w:tcPr>
          <w:p w:rsidR="00137DE0" w:rsidRPr="00421850" w:rsidRDefault="00137DE0" w:rsidP="00524079">
            <w:pPr>
              <w:jc w:val="center"/>
              <w:rPr>
                <w:rFonts w:ascii="Calibri" w:hAnsi="Calibri"/>
                <w:i/>
                <w:iCs/>
                <w:color w:val="000000"/>
                <w:sz w:val="22"/>
                <w:szCs w:val="22"/>
              </w:rPr>
            </w:pPr>
            <w:r w:rsidRPr="00421850">
              <w:rPr>
                <w:rFonts w:ascii="Calibri" w:hAnsi="Calibri"/>
                <w:i/>
                <w:iCs/>
                <w:color w:val="000000"/>
                <w:sz w:val="22"/>
                <w:szCs w:val="22"/>
              </w:rPr>
              <w:t>Variance</w:t>
            </w:r>
          </w:p>
        </w:tc>
        <w:tc>
          <w:tcPr>
            <w:tcW w:w="1041" w:type="dxa"/>
            <w:tcBorders>
              <w:top w:val="single" w:sz="8" w:space="0" w:color="auto"/>
              <w:left w:val="nil"/>
              <w:bottom w:val="single" w:sz="4" w:space="0" w:color="auto"/>
              <w:right w:val="nil"/>
            </w:tcBorders>
            <w:shd w:val="clear" w:color="auto" w:fill="auto"/>
            <w:noWrap/>
            <w:vAlign w:val="bottom"/>
            <w:hideMark/>
          </w:tcPr>
          <w:p w:rsidR="00137DE0" w:rsidRPr="00421850" w:rsidRDefault="00137DE0" w:rsidP="00524079">
            <w:pPr>
              <w:jc w:val="center"/>
              <w:rPr>
                <w:rFonts w:ascii="Calibri" w:hAnsi="Calibri"/>
                <w:i/>
                <w:iCs/>
                <w:color w:val="000000"/>
                <w:sz w:val="22"/>
                <w:szCs w:val="22"/>
              </w:rPr>
            </w:pPr>
            <w:r w:rsidRPr="00421850">
              <w:rPr>
                <w:rFonts w:ascii="Calibri" w:hAnsi="Calibri"/>
                <w:i/>
                <w:iCs/>
                <w:color w:val="000000"/>
                <w:sz w:val="22"/>
                <w:szCs w:val="22"/>
              </w:rPr>
              <w:t>SD</w:t>
            </w:r>
          </w:p>
        </w:tc>
        <w:tc>
          <w:tcPr>
            <w:tcW w:w="972" w:type="dxa"/>
            <w:tcBorders>
              <w:top w:val="single" w:sz="8" w:space="0" w:color="auto"/>
              <w:left w:val="nil"/>
              <w:bottom w:val="single" w:sz="4" w:space="0" w:color="auto"/>
              <w:right w:val="nil"/>
            </w:tcBorders>
            <w:shd w:val="clear" w:color="auto" w:fill="auto"/>
            <w:noWrap/>
            <w:vAlign w:val="bottom"/>
            <w:hideMark/>
          </w:tcPr>
          <w:p w:rsidR="00137DE0" w:rsidRPr="00421850" w:rsidRDefault="00137DE0" w:rsidP="00524079">
            <w:pPr>
              <w:jc w:val="center"/>
              <w:rPr>
                <w:rFonts w:ascii="Calibri" w:hAnsi="Calibri"/>
                <w:i/>
                <w:iCs/>
                <w:color w:val="000000"/>
                <w:sz w:val="22"/>
                <w:szCs w:val="22"/>
              </w:rPr>
            </w:pPr>
            <w:r w:rsidRPr="00421850">
              <w:rPr>
                <w:rFonts w:ascii="Calibri" w:hAnsi="Calibri"/>
                <w:i/>
                <w:iCs/>
                <w:color w:val="000000"/>
                <w:sz w:val="22"/>
                <w:szCs w:val="22"/>
              </w:rPr>
              <w:t>Low</w:t>
            </w:r>
          </w:p>
        </w:tc>
        <w:tc>
          <w:tcPr>
            <w:tcW w:w="960" w:type="dxa"/>
            <w:tcBorders>
              <w:top w:val="single" w:sz="8" w:space="0" w:color="auto"/>
              <w:left w:val="nil"/>
              <w:bottom w:val="single" w:sz="4" w:space="0" w:color="auto"/>
              <w:right w:val="nil"/>
            </w:tcBorders>
            <w:shd w:val="clear" w:color="auto" w:fill="auto"/>
            <w:noWrap/>
            <w:vAlign w:val="bottom"/>
            <w:hideMark/>
          </w:tcPr>
          <w:p w:rsidR="00137DE0" w:rsidRPr="00421850" w:rsidRDefault="00137DE0" w:rsidP="00524079">
            <w:pPr>
              <w:jc w:val="center"/>
              <w:rPr>
                <w:rFonts w:ascii="Calibri" w:hAnsi="Calibri"/>
                <w:i/>
                <w:iCs/>
                <w:color w:val="000000"/>
                <w:sz w:val="22"/>
                <w:szCs w:val="22"/>
              </w:rPr>
            </w:pPr>
            <w:r w:rsidRPr="00421850">
              <w:rPr>
                <w:rFonts w:ascii="Calibri" w:hAnsi="Calibri"/>
                <w:i/>
                <w:iCs/>
                <w:color w:val="000000"/>
                <w:sz w:val="22"/>
                <w:szCs w:val="22"/>
              </w:rPr>
              <w:t>High</w:t>
            </w:r>
          </w:p>
        </w:tc>
      </w:tr>
      <w:tr w:rsidR="00137DE0" w:rsidRPr="00421850" w:rsidTr="00524079">
        <w:trPr>
          <w:trHeight w:val="300"/>
          <w:jc w:val="center"/>
        </w:trPr>
        <w:tc>
          <w:tcPr>
            <w:tcW w:w="3060" w:type="dxa"/>
            <w:tcBorders>
              <w:top w:val="nil"/>
              <w:left w:val="nil"/>
              <w:bottom w:val="nil"/>
              <w:right w:val="nil"/>
            </w:tcBorders>
            <w:shd w:val="clear" w:color="auto" w:fill="auto"/>
            <w:noWrap/>
            <w:vAlign w:val="bottom"/>
            <w:hideMark/>
          </w:tcPr>
          <w:p w:rsidR="00137DE0" w:rsidRPr="00421850" w:rsidRDefault="00137DE0" w:rsidP="00524079">
            <w:pPr>
              <w:rPr>
                <w:rFonts w:ascii="Calibri" w:hAnsi="Calibri"/>
                <w:color w:val="000000"/>
                <w:sz w:val="22"/>
                <w:szCs w:val="22"/>
              </w:rPr>
            </w:pPr>
            <w:r w:rsidRPr="00421850">
              <w:rPr>
                <w:rFonts w:ascii="Calibri" w:hAnsi="Calibri"/>
                <w:color w:val="000000"/>
                <w:sz w:val="22"/>
                <w:szCs w:val="22"/>
              </w:rPr>
              <w:t>Fall 2012</w:t>
            </w:r>
          </w:p>
        </w:tc>
        <w:tc>
          <w:tcPr>
            <w:tcW w:w="1053" w:type="dxa"/>
            <w:tcBorders>
              <w:top w:val="nil"/>
              <w:left w:val="nil"/>
              <w:bottom w:val="nil"/>
              <w:right w:val="nil"/>
            </w:tcBorders>
            <w:shd w:val="clear" w:color="auto" w:fill="auto"/>
            <w:noWrap/>
            <w:vAlign w:val="bottom"/>
            <w:hideMark/>
          </w:tcPr>
          <w:p w:rsidR="00137DE0" w:rsidRPr="00421850" w:rsidRDefault="00137DE0" w:rsidP="00524079">
            <w:pPr>
              <w:jc w:val="right"/>
              <w:rPr>
                <w:rFonts w:ascii="Calibri" w:hAnsi="Calibri"/>
                <w:color w:val="000000"/>
                <w:sz w:val="22"/>
                <w:szCs w:val="22"/>
              </w:rPr>
            </w:pPr>
            <w:r w:rsidRPr="00421850">
              <w:rPr>
                <w:rFonts w:ascii="Calibri" w:hAnsi="Calibri"/>
                <w:color w:val="000000"/>
                <w:sz w:val="22"/>
                <w:szCs w:val="22"/>
              </w:rPr>
              <w:t>41</w:t>
            </w:r>
          </w:p>
        </w:tc>
        <w:tc>
          <w:tcPr>
            <w:tcW w:w="1122" w:type="dxa"/>
            <w:tcBorders>
              <w:top w:val="nil"/>
              <w:left w:val="nil"/>
              <w:bottom w:val="nil"/>
              <w:right w:val="nil"/>
            </w:tcBorders>
            <w:shd w:val="clear" w:color="auto" w:fill="auto"/>
            <w:noWrap/>
            <w:vAlign w:val="bottom"/>
            <w:hideMark/>
          </w:tcPr>
          <w:p w:rsidR="00137DE0" w:rsidRPr="00421850" w:rsidRDefault="00137DE0" w:rsidP="00524079">
            <w:pPr>
              <w:jc w:val="right"/>
              <w:rPr>
                <w:rFonts w:ascii="Calibri" w:hAnsi="Calibri"/>
                <w:color w:val="000000"/>
                <w:sz w:val="22"/>
                <w:szCs w:val="22"/>
              </w:rPr>
            </w:pPr>
            <w:r w:rsidRPr="00421850">
              <w:rPr>
                <w:rFonts w:ascii="Calibri" w:hAnsi="Calibri"/>
                <w:color w:val="000000"/>
                <w:sz w:val="22"/>
                <w:szCs w:val="22"/>
              </w:rPr>
              <w:t>3448.76</w:t>
            </w:r>
          </w:p>
        </w:tc>
        <w:tc>
          <w:tcPr>
            <w:tcW w:w="954" w:type="dxa"/>
            <w:tcBorders>
              <w:top w:val="nil"/>
              <w:left w:val="nil"/>
              <w:bottom w:val="nil"/>
              <w:right w:val="nil"/>
            </w:tcBorders>
            <w:shd w:val="clear" w:color="auto" w:fill="auto"/>
            <w:noWrap/>
            <w:vAlign w:val="bottom"/>
            <w:hideMark/>
          </w:tcPr>
          <w:p w:rsidR="00137DE0" w:rsidRPr="00421850" w:rsidRDefault="00137DE0" w:rsidP="00524079">
            <w:pPr>
              <w:jc w:val="right"/>
              <w:rPr>
                <w:rFonts w:ascii="Calibri" w:hAnsi="Calibri"/>
                <w:color w:val="000000"/>
                <w:sz w:val="22"/>
                <w:szCs w:val="22"/>
              </w:rPr>
            </w:pPr>
            <w:r w:rsidRPr="00421850">
              <w:rPr>
                <w:rFonts w:ascii="Calibri" w:hAnsi="Calibri"/>
                <w:color w:val="000000"/>
                <w:sz w:val="22"/>
                <w:szCs w:val="22"/>
              </w:rPr>
              <w:t>84.12</w:t>
            </w:r>
          </w:p>
        </w:tc>
        <w:tc>
          <w:tcPr>
            <w:tcW w:w="1003" w:type="dxa"/>
            <w:tcBorders>
              <w:top w:val="nil"/>
              <w:left w:val="nil"/>
              <w:bottom w:val="nil"/>
              <w:right w:val="nil"/>
            </w:tcBorders>
            <w:shd w:val="clear" w:color="auto" w:fill="auto"/>
            <w:noWrap/>
            <w:vAlign w:val="bottom"/>
            <w:hideMark/>
          </w:tcPr>
          <w:p w:rsidR="00137DE0" w:rsidRPr="00421850" w:rsidRDefault="00137DE0" w:rsidP="00524079">
            <w:pPr>
              <w:jc w:val="right"/>
              <w:rPr>
                <w:rFonts w:ascii="Calibri" w:hAnsi="Calibri"/>
                <w:color w:val="000000"/>
                <w:sz w:val="22"/>
                <w:szCs w:val="22"/>
              </w:rPr>
            </w:pPr>
            <w:r w:rsidRPr="00421850">
              <w:rPr>
                <w:rFonts w:ascii="Calibri" w:hAnsi="Calibri"/>
                <w:color w:val="000000"/>
                <w:sz w:val="22"/>
                <w:szCs w:val="22"/>
              </w:rPr>
              <w:t>30.97</w:t>
            </w:r>
          </w:p>
        </w:tc>
        <w:tc>
          <w:tcPr>
            <w:tcW w:w="1041" w:type="dxa"/>
            <w:tcBorders>
              <w:top w:val="nil"/>
              <w:left w:val="nil"/>
              <w:bottom w:val="nil"/>
              <w:right w:val="nil"/>
            </w:tcBorders>
            <w:shd w:val="clear" w:color="auto" w:fill="auto"/>
            <w:noWrap/>
            <w:vAlign w:val="bottom"/>
            <w:hideMark/>
          </w:tcPr>
          <w:p w:rsidR="00137DE0" w:rsidRPr="00421850" w:rsidRDefault="00137DE0" w:rsidP="00524079">
            <w:pPr>
              <w:jc w:val="right"/>
              <w:rPr>
                <w:rFonts w:ascii="Calibri" w:hAnsi="Calibri"/>
                <w:color w:val="000000"/>
                <w:sz w:val="22"/>
                <w:szCs w:val="22"/>
              </w:rPr>
            </w:pPr>
            <w:r w:rsidRPr="00421850">
              <w:rPr>
                <w:rFonts w:ascii="Calibri" w:hAnsi="Calibri"/>
                <w:color w:val="000000"/>
                <w:sz w:val="22"/>
                <w:szCs w:val="22"/>
              </w:rPr>
              <w:t>5.57</w:t>
            </w:r>
          </w:p>
        </w:tc>
        <w:tc>
          <w:tcPr>
            <w:tcW w:w="972" w:type="dxa"/>
            <w:tcBorders>
              <w:top w:val="nil"/>
              <w:left w:val="nil"/>
              <w:bottom w:val="nil"/>
              <w:right w:val="nil"/>
            </w:tcBorders>
            <w:shd w:val="clear" w:color="auto" w:fill="auto"/>
            <w:noWrap/>
            <w:vAlign w:val="bottom"/>
            <w:hideMark/>
          </w:tcPr>
          <w:p w:rsidR="00137DE0" w:rsidRPr="00421850" w:rsidRDefault="00137DE0" w:rsidP="00524079">
            <w:pPr>
              <w:jc w:val="right"/>
              <w:rPr>
                <w:rFonts w:ascii="Calibri" w:hAnsi="Calibri"/>
                <w:color w:val="000000"/>
                <w:sz w:val="22"/>
                <w:szCs w:val="22"/>
              </w:rPr>
            </w:pPr>
            <w:r w:rsidRPr="00421850">
              <w:rPr>
                <w:rFonts w:ascii="Calibri" w:hAnsi="Calibri"/>
                <w:color w:val="000000"/>
                <w:sz w:val="22"/>
                <w:szCs w:val="22"/>
              </w:rPr>
              <w:t>78.55</w:t>
            </w:r>
          </w:p>
        </w:tc>
        <w:tc>
          <w:tcPr>
            <w:tcW w:w="960" w:type="dxa"/>
            <w:tcBorders>
              <w:top w:val="nil"/>
              <w:left w:val="nil"/>
              <w:bottom w:val="nil"/>
              <w:right w:val="nil"/>
            </w:tcBorders>
            <w:shd w:val="clear" w:color="auto" w:fill="auto"/>
            <w:noWrap/>
            <w:vAlign w:val="bottom"/>
            <w:hideMark/>
          </w:tcPr>
          <w:p w:rsidR="00137DE0" w:rsidRPr="00421850" w:rsidRDefault="00137DE0" w:rsidP="00524079">
            <w:pPr>
              <w:jc w:val="right"/>
              <w:rPr>
                <w:rFonts w:ascii="Calibri" w:hAnsi="Calibri"/>
                <w:color w:val="000000"/>
                <w:sz w:val="22"/>
                <w:szCs w:val="22"/>
              </w:rPr>
            </w:pPr>
            <w:r w:rsidRPr="00421850">
              <w:rPr>
                <w:rFonts w:ascii="Calibri" w:hAnsi="Calibri"/>
                <w:color w:val="000000"/>
                <w:sz w:val="22"/>
                <w:szCs w:val="22"/>
              </w:rPr>
              <w:t>89.68</w:t>
            </w:r>
          </w:p>
        </w:tc>
      </w:tr>
      <w:tr w:rsidR="00137DE0" w:rsidRPr="00421850" w:rsidTr="00524079">
        <w:trPr>
          <w:trHeight w:val="315"/>
          <w:jc w:val="center"/>
        </w:trPr>
        <w:tc>
          <w:tcPr>
            <w:tcW w:w="3060" w:type="dxa"/>
            <w:tcBorders>
              <w:top w:val="nil"/>
              <w:left w:val="nil"/>
              <w:bottom w:val="single" w:sz="8" w:space="0" w:color="auto"/>
              <w:right w:val="nil"/>
            </w:tcBorders>
            <w:shd w:val="clear" w:color="auto" w:fill="auto"/>
            <w:noWrap/>
            <w:vAlign w:val="bottom"/>
            <w:hideMark/>
          </w:tcPr>
          <w:p w:rsidR="00137DE0" w:rsidRPr="00421850" w:rsidRDefault="00137DE0" w:rsidP="00524079">
            <w:pPr>
              <w:rPr>
                <w:rFonts w:ascii="Calibri" w:hAnsi="Calibri"/>
                <w:color w:val="000000"/>
                <w:sz w:val="22"/>
                <w:szCs w:val="22"/>
              </w:rPr>
            </w:pPr>
            <w:r w:rsidRPr="00421850">
              <w:rPr>
                <w:rFonts w:ascii="Calibri" w:hAnsi="Calibri"/>
                <w:color w:val="000000"/>
                <w:sz w:val="22"/>
                <w:szCs w:val="22"/>
              </w:rPr>
              <w:t>Fall 2014</w:t>
            </w:r>
          </w:p>
        </w:tc>
        <w:tc>
          <w:tcPr>
            <w:tcW w:w="1053" w:type="dxa"/>
            <w:tcBorders>
              <w:top w:val="nil"/>
              <w:left w:val="nil"/>
              <w:bottom w:val="single" w:sz="8" w:space="0" w:color="auto"/>
              <w:right w:val="nil"/>
            </w:tcBorders>
            <w:shd w:val="clear" w:color="auto" w:fill="auto"/>
            <w:noWrap/>
            <w:vAlign w:val="bottom"/>
            <w:hideMark/>
          </w:tcPr>
          <w:p w:rsidR="00137DE0" w:rsidRPr="00421850" w:rsidRDefault="00137DE0" w:rsidP="00524079">
            <w:pPr>
              <w:jc w:val="right"/>
              <w:rPr>
                <w:rFonts w:ascii="Calibri" w:hAnsi="Calibri"/>
                <w:color w:val="000000"/>
                <w:sz w:val="22"/>
                <w:szCs w:val="22"/>
              </w:rPr>
            </w:pPr>
            <w:r w:rsidRPr="00421850">
              <w:rPr>
                <w:rFonts w:ascii="Calibri" w:hAnsi="Calibri"/>
                <w:color w:val="000000"/>
                <w:sz w:val="22"/>
                <w:szCs w:val="22"/>
              </w:rPr>
              <w:t>46</w:t>
            </w:r>
          </w:p>
        </w:tc>
        <w:tc>
          <w:tcPr>
            <w:tcW w:w="1122" w:type="dxa"/>
            <w:tcBorders>
              <w:top w:val="nil"/>
              <w:left w:val="nil"/>
              <w:bottom w:val="single" w:sz="8" w:space="0" w:color="auto"/>
              <w:right w:val="nil"/>
            </w:tcBorders>
            <w:shd w:val="clear" w:color="auto" w:fill="auto"/>
            <w:noWrap/>
            <w:vAlign w:val="bottom"/>
            <w:hideMark/>
          </w:tcPr>
          <w:p w:rsidR="00137DE0" w:rsidRPr="00421850" w:rsidRDefault="00137DE0" w:rsidP="00524079">
            <w:pPr>
              <w:jc w:val="right"/>
              <w:rPr>
                <w:rFonts w:ascii="Calibri" w:hAnsi="Calibri"/>
                <w:color w:val="000000"/>
                <w:sz w:val="22"/>
                <w:szCs w:val="22"/>
              </w:rPr>
            </w:pPr>
            <w:r w:rsidRPr="00421850">
              <w:rPr>
                <w:rFonts w:ascii="Calibri" w:hAnsi="Calibri"/>
                <w:color w:val="000000"/>
                <w:sz w:val="22"/>
                <w:szCs w:val="22"/>
              </w:rPr>
              <w:t>4103.26</w:t>
            </w:r>
          </w:p>
        </w:tc>
        <w:tc>
          <w:tcPr>
            <w:tcW w:w="954" w:type="dxa"/>
            <w:tcBorders>
              <w:top w:val="nil"/>
              <w:left w:val="nil"/>
              <w:bottom w:val="single" w:sz="8" w:space="0" w:color="auto"/>
              <w:right w:val="nil"/>
            </w:tcBorders>
            <w:shd w:val="clear" w:color="auto" w:fill="auto"/>
            <w:noWrap/>
            <w:vAlign w:val="bottom"/>
            <w:hideMark/>
          </w:tcPr>
          <w:p w:rsidR="00137DE0" w:rsidRPr="00421850" w:rsidRDefault="00137DE0" w:rsidP="00524079">
            <w:pPr>
              <w:jc w:val="right"/>
              <w:rPr>
                <w:rFonts w:ascii="Calibri" w:hAnsi="Calibri"/>
                <w:color w:val="000000"/>
                <w:sz w:val="22"/>
                <w:szCs w:val="22"/>
              </w:rPr>
            </w:pPr>
            <w:r w:rsidRPr="00421850">
              <w:rPr>
                <w:rFonts w:ascii="Calibri" w:hAnsi="Calibri"/>
                <w:color w:val="000000"/>
                <w:sz w:val="22"/>
                <w:szCs w:val="22"/>
              </w:rPr>
              <w:t>89.20</w:t>
            </w:r>
          </w:p>
        </w:tc>
        <w:tc>
          <w:tcPr>
            <w:tcW w:w="1003" w:type="dxa"/>
            <w:tcBorders>
              <w:top w:val="nil"/>
              <w:left w:val="nil"/>
              <w:bottom w:val="single" w:sz="8" w:space="0" w:color="auto"/>
              <w:right w:val="nil"/>
            </w:tcBorders>
            <w:shd w:val="clear" w:color="auto" w:fill="auto"/>
            <w:noWrap/>
            <w:vAlign w:val="bottom"/>
            <w:hideMark/>
          </w:tcPr>
          <w:p w:rsidR="00137DE0" w:rsidRPr="00421850" w:rsidRDefault="00137DE0" w:rsidP="00524079">
            <w:pPr>
              <w:jc w:val="right"/>
              <w:rPr>
                <w:rFonts w:ascii="Calibri" w:hAnsi="Calibri"/>
                <w:color w:val="000000"/>
                <w:sz w:val="22"/>
                <w:szCs w:val="22"/>
              </w:rPr>
            </w:pPr>
            <w:r w:rsidRPr="00421850">
              <w:rPr>
                <w:rFonts w:ascii="Calibri" w:hAnsi="Calibri"/>
                <w:color w:val="000000"/>
                <w:sz w:val="22"/>
                <w:szCs w:val="22"/>
              </w:rPr>
              <w:t>32.64</w:t>
            </w:r>
          </w:p>
        </w:tc>
        <w:tc>
          <w:tcPr>
            <w:tcW w:w="1041" w:type="dxa"/>
            <w:tcBorders>
              <w:top w:val="nil"/>
              <w:left w:val="nil"/>
              <w:bottom w:val="single" w:sz="8" w:space="0" w:color="auto"/>
              <w:right w:val="nil"/>
            </w:tcBorders>
            <w:shd w:val="clear" w:color="auto" w:fill="auto"/>
            <w:noWrap/>
            <w:vAlign w:val="bottom"/>
            <w:hideMark/>
          </w:tcPr>
          <w:p w:rsidR="00137DE0" w:rsidRPr="00421850" w:rsidRDefault="00137DE0" w:rsidP="00524079">
            <w:pPr>
              <w:jc w:val="right"/>
              <w:rPr>
                <w:rFonts w:ascii="Calibri" w:hAnsi="Calibri"/>
                <w:color w:val="000000"/>
                <w:sz w:val="22"/>
                <w:szCs w:val="22"/>
              </w:rPr>
            </w:pPr>
            <w:r w:rsidRPr="00421850">
              <w:rPr>
                <w:rFonts w:ascii="Calibri" w:hAnsi="Calibri"/>
                <w:color w:val="000000"/>
                <w:sz w:val="22"/>
                <w:szCs w:val="22"/>
              </w:rPr>
              <w:t>5.71</w:t>
            </w:r>
          </w:p>
        </w:tc>
        <w:tc>
          <w:tcPr>
            <w:tcW w:w="972" w:type="dxa"/>
            <w:tcBorders>
              <w:top w:val="nil"/>
              <w:left w:val="nil"/>
              <w:bottom w:val="single" w:sz="8" w:space="0" w:color="auto"/>
              <w:right w:val="nil"/>
            </w:tcBorders>
            <w:shd w:val="clear" w:color="auto" w:fill="auto"/>
            <w:noWrap/>
            <w:vAlign w:val="bottom"/>
            <w:hideMark/>
          </w:tcPr>
          <w:p w:rsidR="00137DE0" w:rsidRPr="00421850" w:rsidRDefault="00137DE0" w:rsidP="00524079">
            <w:pPr>
              <w:jc w:val="right"/>
              <w:rPr>
                <w:rFonts w:ascii="Calibri" w:hAnsi="Calibri"/>
                <w:color w:val="000000"/>
                <w:sz w:val="22"/>
                <w:szCs w:val="22"/>
              </w:rPr>
            </w:pPr>
            <w:r w:rsidRPr="00421850">
              <w:rPr>
                <w:rFonts w:ascii="Calibri" w:hAnsi="Calibri"/>
                <w:color w:val="000000"/>
                <w:sz w:val="22"/>
                <w:szCs w:val="22"/>
              </w:rPr>
              <w:t>83.49</w:t>
            </w:r>
          </w:p>
        </w:tc>
        <w:tc>
          <w:tcPr>
            <w:tcW w:w="960" w:type="dxa"/>
            <w:tcBorders>
              <w:top w:val="nil"/>
              <w:left w:val="nil"/>
              <w:bottom w:val="single" w:sz="8" w:space="0" w:color="auto"/>
              <w:right w:val="nil"/>
            </w:tcBorders>
            <w:shd w:val="clear" w:color="auto" w:fill="auto"/>
            <w:noWrap/>
            <w:vAlign w:val="bottom"/>
            <w:hideMark/>
          </w:tcPr>
          <w:p w:rsidR="00137DE0" w:rsidRPr="00421850" w:rsidRDefault="00137DE0" w:rsidP="00524079">
            <w:pPr>
              <w:jc w:val="right"/>
              <w:rPr>
                <w:rFonts w:ascii="Calibri" w:hAnsi="Calibri"/>
                <w:color w:val="000000"/>
                <w:sz w:val="22"/>
                <w:szCs w:val="22"/>
              </w:rPr>
            </w:pPr>
            <w:r w:rsidRPr="00421850">
              <w:rPr>
                <w:rFonts w:ascii="Calibri" w:hAnsi="Calibri"/>
                <w:color w:val="000000"/>
                <w:sz w:val="22"/>
                <w:szCs w:val="22"/>
              </w:rPr>
              <w:t>94.91</w:t>
            </w:r>
          </w:p>
        </w:tc>
      </w:tr>
      <w:tr w:rsidR="00137DE0" w:rsidRPr="00421850" w:rsidTr="00524079">
        <w:trPr>
          <w:trHeight w:val="300"/>
          <w:jc w:val="center"/>
        </w:trPr>
        <w:tc>
          <w:tcPr>
            <w:tcW w:w="3060" w:type="dxa"/>
            <w:tcBorders>
              <w:top w:val="nil"/>
              <w:left w:val="nil"/>
              <w:bottom w:val="nil"/>
              <w:right w:val="nil"/>
            </w:tcBorders>
            <w:shd w:val="clear" w:color="auto" w:fill="auto"/>
            <w:noWrap/>
            <w:vAlign w:val="bottom"/>
            <w:hideMark/>
          </w:tcPr>
          <w:p w:rsidR="00137DE0" w:rsidRPr="00421850" w:rsidRDefault="00137DE0" w:rsidP="00524079">
            <w:pPr>
              <w:rPr>
                <w:rFonts w:ascii="Calibri" w:hAnsi="Calibri"/>
                <w:color w:val="000000"/>
                <w:sz w:val="22"/>
                <w:szCs w:val="22"/>
              </w:rPr>
            </w:pPr>
          </w:p>
        </w:tc>
        <w:tc>
          <w:tcPr>
            <w:tcW w:w="1053" w:type="dxa"/>
            <w:tcBorders>
              <w:top w:val="nil"/>
              <w:left w:val="nil"/>
              <w:bottom w:val="nil"/>
              <w:right w:val="nil"/>
            </w:tcBorders>
            <w:shd w:val="clear" w:color="auto" w:fill="auto"/>
            <w:noWrap/>
            <w:vAlign w:val="bottom"/>
            <w:hideMark/>
          </w:tcPr>
          <w:p w:rsidR="00137DE0" w:rsidRPr="00421850" w:rsidRDefault="00137DE0" w:rsidP="00524079">
            <w:pPr>
              <w:rPr>
                <w:rFonts w:ascii="Calibri" w:hAnsi="Calibri"/>
                <w:color w:val="000000"/>
                <w:sz w:val="22"/>
                <w:szCs w:val="22"/>
              </w:rPr>
            </w:pPr>
          </w:p>
        </w:tc>
        <w:tc>
          <w:tcPr>
            <w:tcW w:w="1122" w:type="dxa"/>
            <w:tcBorders>
              <w:top w:val="nil"/>
              <w:left w:val="nil"/>
              <w:bottom w:val="nil"/>
              <w:right w:val="nil"/>
            </w:tcBorders>
            <w:shd w:val="clear" w:color="auto" w:fill="auto"/>
            <w:noWrap/>
            <w:vAlign w:val="bottom"/>
            <w:hideMark/>
          </w:tcPr>
          <w:p w:rsidR="00137DE0" w:rsidRPr="00421850" w:rsidRDefault="00137DE0" w:rsidP="00524079">
            <w:pPr>
              <w:rPr>
                <w:rFonts w:ascii="Calibri" w:hAnsi="Calibri"/>
                <w:color w:val="000000"/>
                <w:sz w:val="22"/>
                <w:szCs w:val="22"/>
              </w:rPr>
            </w:pPr>
          </w:p>
        </w:tc>
        <w:tc>
          <w:tcPr>
            <w:tcW w:w="954" w:type="dxa"/>
            <w:tcBorders>
              <w:top w:val="nil"/>
              <w:left w:val="nil"/>
              <w:bottom w:val="nil"/>
              <w:right w:val="nil"/>
            </w:tcBorders>
            <w:shd w:val="clear" w:color="auto" w:fill="auto"/>
            <w:noWrap/>
            <w:vAlign w:val="bottom"/>
            <w:hideMark/>
          </w:tcPr>
          <w:p w:rsidR="00137DE0" w:rsidRPr="00421850" w:rsidRDefault="00137DE0" w:rsidP="00524079">
            <w:pPr>
              <w:rPr>
                <w:rFonts w:ascii="Calibri" w:hAnsi="Calibri"/>
                <w:color w:val="000000"/>
                <w:sz w:val="22"/>
                <w:szCs w:val="22"/>
              </w:rPr>
            </w:pPr>
          </w:p>
        </w:tc>
        <w:tc>
          <w:tcPr>
            <w:tcW w:w="1003" w:type="dxa"/>
            <w:tcBorders>
              <w:top w:val="nil"/>
              <w:left w:val="nil"/>
              <w:bottom w:val="nil"/>
              <w:right w:val="nil"/>
            </w:tcBorders>
            <w:shd w:val="clear" w:color="auto" w:fill="auto"/>
            <w:noWrap/>
            <w:vAlign w:val="bottom"/>
            <w:hideMark/>
          </w:tcPr>
          <w:p w:rsidR="00137DE0" w:rsidRPr="00421850" w:rsidRDefault="00137DE0" w:rsidP="00524079">
            <w:pPr>
              <w:rPr>
                <w:rFonts w:ascii="Calibri" w:hAnsi="Calibri"/>
                <w:color w:val="000000"/>
                <w:sz w:val="22"/>
                <w:szCs w:val="22"/>
              </w:rPr>
            </w:pPr>
          </w:p>
        </w:tc>
        <w:tc>
          <w:tcPr>
            <w:tcW w:w="1041" w:type="dxa"/>
            <w:tcBorders>
              <w:top w:val="nil"/>
              <w:left w:val="nil"/>
              <w:bottom w:val="nil"/>
              <w:right w:val="nil"/>
            </w:tcBorders>
            <w:shd w:val="clear" w:color="auto" w:fill="auto"/>
            <w:noWrap/>
            <w:vAlign w:val="bottom"/>
            <w:hideMark/>
          </w:tcPr>
          <w:p w:rsidR="00137DE0" w:rsidRPr="00421850" w:rsidRDefault="00137DE0" w:rsidP="00524079">
            <w:pPr>
              <w:rPr>
                <w:rFonts w:ascii="Calibri" w:hAnsi="Calibri"/>
                <w:color w:val="000000"/>
                <w:sz w:val="22"/>
                <w:szCs w:val="22"/>
              </w:rPr>
            </w:pPr>
          </w:p>
        </w:tc>
        <w:tc>
          <w:tcPr>
            <w:tcW w:w="972" w:type="dxa"/>
            <w:tcBorders>
              <w:top w:val="nil"/>
              <w:left w:val="nil"/>
              <w:bottom w:val="nil"/>
              <w:right w:val="nil"/>
            </w:tcBorders>
            <w:shd w:val="clear" w:color="auto" w:fill="auto"/>
            <w:noWrap/>
            <w:vAlign w:val="bottom"/>
            <w:hideMark/>
          </w:tcPr>
          <w:p w:rsidR="00137DE0" w:rsidRPr="00421850" w:rsidRDefault="00137DE0" w:rsidP="00524079">
            <w:pPr>
              <w:rPr>
                <w:rFonts w:ascii="Calibri" w:hAnsi="Calibri"/>
                <w:color w:val="000000"/>
                <w:sz w:val="22"/>
                <w:szCs w:val="22"/>
              </w:rPr>
            </w:pPr>
          </w:p>
        </w:tc>
        <w:tc>
          <w:tcPr>
            <w:tcW w:w="960" w:type="dxa"/>
            <w:tcBorders>
              <w:top w:val="nil"/>
              <w:left w:val="nil"/>
              <w:bottom w:val="nil"/>
              <w:right w:val="nil"/>
            </w:tcBorders>
            <w:shd w:val="clear" w:color="auto" w:fill="auto"/>
            <w:noWrap/>
            <w:vAlign w:val="bottom"/>
            <w:hideMark/>
          </w:tcPr>
          <w:p w:rsidR="00137DE0" w:rsidRPr="00421850" w:rsidRDefault="00137DE0" w:rsidP="00524079">
            <w:pPr>
              <w:rPr>
                <w:rFonts w:ascii="Calibri" w:hAnsi="Calibri"/>
                <w:color w:val="000000"/>
                <w:sz w:val="22"/>
                <w:szCs w:val="22"/>
              </w:rPr>
            </w:pPr>
          </w:p>
        </w:tc>
      </w:tr>
      <w:tr w:rsidR="00137DE0" w:rsidRPr="00421850" w:rsidTr="00524079">
        <w:trPr>
          <w:trHeight w:val="300"/>
          <w:jc w:val="center"/>
        </w:trPr>
        <w:tc>
          <w:tcPr>
            <w:tcW w:w="3060" w:type="dxa"/>
            <w:tcBorders>
              <w:top w:val="nil"/>
              <w:left w:val="nil"/>
              <w:bottom w:val="nil"/>
              <w:right w:val="nil"/>
            </w:tcBorders>
            <w:shd w:val="clear" w:color="auto" w:fill="auto"/>
            <w:noWrap/>
            <w:vAlign w:val="bottom"/>
            <w:hideMark/>
          </w:tcPr>
          <w:p w:rsidR="00137DE0" w:rsidRPr="00421850" w:rsidRDefault="00137DE0" w:rsidP="00524079">
            <w:pPr>
              <w:rPr>
                <w:rFonts w:ascii="Calibri" w:hAnsi="Calibri"/>
                <w:color w:val="000000"/>
                <w:sz w:val="22"/>
                <w:szCs w:val="22"/>
              </w:rPr>
            </w:pPr>
          </w:p>
        </w:tc>
        <w:tc>
          <w:tcPr>
            <w:tcW w:w="1053" w:type="dxa"/>
            <w:tcBorders>
              <w:top w:val="nil"/>
              <w:left w:val="nil"/>
              <w:bottom w:val="nil"/>
              <w:right w:val="nil"/>
            </w:tcBorders>
            <w:shd w:val="clear" w:color="auto" w:fill="auto"/>
            <w:noWrap/>
            <w:vAlign w:val="bottom"/>
            <w:hideMark/>
          </w:tcPr>
          <w:p w:rsidR="00137DE0" w:rsidRPr="00421850" w:rsidRDefault="00137DE0" w:rsidP="00524079">
            <w:pPr>
              <w:rPr>
                <w:rFonts w:ascii="Calibri" w:hAnsi="Calibri"/>
                <w:color w:val="000000"/>
                <w:sz w:val="22"/>
                <w:szCs w:val="22"/>
              </w:rPr>
            </w:pPr>
          </w:p>
        </w:tc>
        <w:tc>
          <w:tcPr>
            <w:tcW w:w="1122" w:type="dxa"/>
            <w:tcBorders>
              <w:top w:val="nil"/>
              <w:left w:val="nil"/>
              <w:bottom w:val="nil"/>
              <w:right w:val="nil"/>
            </w:tcBorders>
            <w:shd w:val="clear" w:color="auto" w:fill="auto"/>
            <w:noWrap/>
            <w:vAlign w:val="bottom"/>
            <w:hideMark/>
          </w:tcPr>
          <w:p w:rsidR="00137DE0" w:rsidRPr="00421850" w:rsidRDefault="00137DE0" w:rsidP="00524079">
            <w:pPr>
              <w:rPr>
                <w:rFonts w:ascii="Calibri" w:hAnsi="Calibri"/>
                <w:color w:val="000000"/>
                <w:sz w:val="22"/>
                <w:szCs w:val="22"/>
              </w:rPr>
            </w:pPr>
          </w:p>
        </w:tc>
        <w:tc>
          <w:tcPr>
            <w:tcW w:w="954" w:type="dxa"/>
            <w:tcBorders>
              <w:top w:val="nil"/>
              <w:left w:val="nil"/>
              <w:bottom w:val="nil"/>
              <w:right w:val="nil"/>
            </w:tcBorders>
            <w:shd w:val="clear" w:color="auto" w:fill="auto"/>
            <w:noWrap/>
            <w:vAlign w:val="bottom"/>
            <w:hideMark/>
          </w:tcPr>
          <w:p w:rsidR="00137DE0" w:rsidRPr="00421850" w:rsidRDefault="00137DE0" w:rsidP="00524079">
            <w:pPr>
              <w:rPr>
                <w:rFonts w:ascii="Calibri" w:hAnsi="Calibri"/>
                <w:color w:val="000000"/>
                <w:sz w:val="22"/>
                <w:szCs w:val="22"/>
              </w:rPr>
            </w:pPr>
          </w:p>
        </w:tc>
        <w:tc>
          <w:tcPr>
            <w:tcW w:w="1003" w:type="dxa"/>
            <w:tcBorders>
              <w:top w:val="nil"/>
              <w:left w:val="nil"/>
              <w:bottom w:val="nil"/>
              <w:right w:val="nil"/>
            </w:tcBorders>
            <w:shd w:val="clear" w:color="auto" w:fill="auto"/>
            <w:noWrap/>
            <w:vAlign w:val="bottom"/>
            <w:hideMark/>
          </w:tcPr>
          <w:p w:rsidR="00137DE0" w:rsidRPr="00421850" w:rsidRDefault="00137DE0" w:rsidP="00524079">
            <w:pPr>
              <w:rPr>
                <w:rFonts w:ascii="Calibri" w:hAnsi="Calibri"/>
                <w:color w:val="000000"/>
                <w:sz w:val="22"/>
                <w:szCs w:val="22"/>
              </w:rPr>
            </w:pPr>
          </w:p>
        </w:tc>
        <w:tc>
          <w:tcPr>
            <w:tcW w:w="1041" w:type="dxa"/>
            <w:tcBorders>
              <w:top w:val="nil"/>
              <w:left w:val="nil"/>
              <w:bottom w:val="nil"/>
              <w:right w:val="nil"/>
            </w:tcBorders>
            <w:shd w:val="clear" w:color="auto" w:fill="auto"/>
            <w:noWrap/>
            <w:vAlign w:val="bottom"/>
            <w:hideMark/>
          </w:tcPr>
          <w:p w:rsidR="00137DE0" w:rsidRPr="00421850" w:rsidRDefault="00137DE0" w:rsidP="00524079">
            <w:pPr>
              <w:rPr>
                <w:rFonts w:ascii="Calibri" w:hAnsi="Calibri"/>
                <w:color w:val="000000"/>
                <w:sz w:val="22"/>
                <w:szCs w:val="22"/>
              </w:rPr>
            </w:pPr>
          </w:p>
        </w:tc>
        <w:tc>
          <w:tcPr>
            <w:tcW w:w="972" w:type="dxa"/>
            <w:tcBorders>
              <w:top w:val="nil"/>
              <w:left w:val="nil"/>
              <w:bottom w:val="nil"/>
              <w:right w:val="nil"/>
            </w:tcBorders>
            <w:shd w:val="clear" w:color="auto" w:fill="auto"/>
            <w:noWrap/>
            <w:vAlign w:val="bottom"/>
            <w:hideMark/>
          </w:tcPr>
          <w:p w:rsidR="00137DE0" w:rsidRPr="00421850" w:rsidRDefault="00137DE0" w:rsidP="00524079">
            <w:pPr>
              <w:rPr>
                <w:rFonts w:ascii="Calibri" w:hAnsi="Calibri"/>
                <w:color w:val="000000"/>
                <w:sz w:val="22"/>
                <w:szCs w:val="22"/>
              </w:rPr>
            </w:pPr>
          </w:p>
        </w:tc>
        <w:tc>
          <w:tcPr>
            <w:tcW w:w="960" w:type="dxa"/>
            <w:tcBorders>
              <w:top w:val="nil"/>
              <w:left w:val="nil"/>
              <w:bottom w:val="nil"/>
              <w:right w:val="nil"/>
            </w:tcBorders>
            <w:shd w:val="clear" w:color="auto" w:fill="auto"/>
            <w:noWrap/>
            <w:vAlign w:val="bottom"/>
            <w:hideMark/>
          </w:tcPr>
          <w:p w:rsidR="00137DE0" w:rsidRPr="00421850" w:rsidRDefault="00137DE0" w:rsidP="00524079">
            <w:pPr>
              <w:rPr>
                <w:rFonts w:ascii="Calibri" w:hAnsi="Calibri"/>
                <w:color w:val="000000"/>
                <w:sz w:val="22"/>
                <w:szCs w:val="22"/>
              </w:rPr>
            </w:pPr>
          </w:p>
        </w:tc>
      </w:tr>
      <w:tr w:rsidR="00137DE0" w:rsidRPr="00421850" w:rsidTr="00524079">
        <w:trPr>
          <w:trHeight w:val="315"/>
          <w:jc w:val="center"/>
        </w:trPr>
        <w:tc>
          <w:tcPr>
            <w:tcW w:w="3060" w:type="dxa"/>
            <w:tcBorders>
              <w:top w:val="nil"/>
              <w:left w:val="nil"/>
              <w:bottom w:val="nil"/>
              <w:right w:val="nil"/>
            </w:tcBorders>
            <w:shd w:val="clear" w:color="auto" w:fill="auto"/>
            <w:noWrap/>
            <w:vAlign w:val="bottom"/>
            <w:hideMark/>
          </w:tcPr>
          <w:p w:rsidR="00137DE0" w:rsidRPr="00421850" w:rsidRDefault="00137DE0" w:rsidP="00524079">
            <w:pPr>
              <w:rPr>
                <w:rFonts w:ascii="Calibri" w:hAnsi="Calibri"/>
                <w:color w:val="000000"/>
                <w:sz w:val="22"/>
                <w:szCs w:val="22"/>
              </w:rPr>
            </w:pPr>
            <w:r w:rsidRPr="00421850">
              <w:rPr>
                <w:rFonts w:ascii="Calibri" w:hAnsi="Calibri"/>
                <w:color w:val="000000"/>
                <w:sz w:val="22"/>
                <w:szCs w:val="22"/>
              </w:rPr>
              <w:t>ANOVA</w:t>
            </w:r>
          </w:p>
        </w:tc>
        <w:tc>
          <w:tcPr>
            <w:tcW w:w="1053" w:type="dxa"/>
            <w:tcBorders>
              <w:top w:val="nil"/>
              <w:left w:val="nil"/>
              <w:bottom w:val="nil"/>
              <w:right w:val="nil"/>
            </w:tcBorders>
            <w:shd w:val="clear" w:color="auto" w:fill="auto"/>
            <w:noWrap/>
            <w:vAlign w:val="bottom"/>
            <w:hideMark/>
          </w:tcPr>
          <w:p w:rsidR="00137DE0" w:rsidRPr="00421850" w:rsidRDefault="00137DE0" w:rsidP="00524079">
            <w:pPr>
              <w:rPr>
                <w:rFonts w:ascii="Calibri" w:hAnsi="Calibri"/>
                <w:color w:val="000000"/>
                <w:sz w:val="22"/>
                <w:szCs w:val="22"/>
              </w:rPr>
            </w:pPr>
          </w:p>
        </w:tc>
        <w:tc>
          <w:tcPr>
            <w:tcW w:w="1122" w:type="dxa"/>
            <w:tcBorders>
              <w:top w:val="nil"/>
              <w:left w:val="nil"/>
              <w:bottom w:val="nil"/>
              <w:right w:val="nil"/>
            </w:tcBorders>
            <w:shd w:val="clear" w:color="auto" w:fill="auto"/>
            <w:noWrap/>
            <w:vAlign w:val="bottom"/>
            <w:hideMark/>
          </w:tcPr>
          <w:p w:rsidR="00137DE0" w:rsidRPr="00421850" w:rsidRDefault="00137DE0" w:rsidP="00524079">
            <w:pPr>
              <w:rPr>
                <w:rFonts w:ascii="Calibri" w:hAnsi="Calibri"/>
                <w:color w:val="000000"/>
                <w:sz w:val="22"/>
                <w:szCs w:val="22"/>
              </w:rPr>
            </w:pPr>
          </w:p>
        </w:tc>
        <w:tc>
          <w:tcPr>
            <w:tcW w:w="954" w:type="dxa"/>
            <w:tcBorders>
              <w:top w:val="nil"/>
              <w:left w:val="nil"/>
              <w:bottom w:val="nil"/>
              <w:right w:val="nil"/>
            </w:tcBorders>
            <w:shd w:val="clear" w:color="auto" w:fill="auto"/>
            <w:noWrap/>
            <w:vAlign w:val="bottom"/>
            <w:hideMark/>
          </w:tcPr>
          <w:p w:rsidR="00137DE0" w:rsidRPr="00421850" w:rsidRDefault="00137DE0" w:rsidP="00524079">
            <w:pPr>
              <w:rPr>
                <w:rFonts w:ascii="Calibri" w:hAnsi="Calibri"/>
                <w:color w:val="000000"/>
                <w:sz w:val="22"/>
                <w:szCs w:val="22"/>
              </w:rPr>
            </w:pPr>
          </w:p>
        </w:tc>
        <w:tc>
          <w:tcPr>
            <w:tcW w:w="1003" w:type="dxa"/>
            <w:tcBorders>
              <w:top w:val="nil"/>
              <w:left w:val="nil"/>
              <w:bottom w:val="nil"/>
              <w:right w:val="nil"/>
            </w:tcBorders>
            <w:shd w:val="clear" w:color="auto" w:fill="auto"/>
            <w:noWrap/>
            <w:vAlign w:val="bottom"/>
            <w:hideMark/>
          </w:tcPr>
          <w:p w:rsidR="00137DE0" w:rsidRPr="00421850" w:rsidRDefault="00137DE0" w:rsidP="00524079">
            <w:pPr>
              <w:rPr>
                <w:rFonts w:ascii="Calibri" w:hAnsi="Calibri"/>
                <w:color w:val="000000"/>
                <w:sz w:val="22"/>
                <w:szCs w:val="22"/>
              </w:rPr>
            </w:pPr>
          </w:p>
        </w:tc>
        <w:tc>
          <w:tcPr>
            <w:tcW w:w="1041" w:type="dxa"/>
            <w:tcBorders>
              <w:top w:val="nil"/>
              <w:left w:val="nil"/>
              <w:bottom w:val="nil"/>
              <w:right w:val="nil"/>
            </w:tcBorders>
            <w:shd w:val="clear" w:color="auto" w:fill="auto"/>
            <w:noWrap/>
            <w:vAlign w:val="bottom"/>
            <w:hideMark/>
          </w:tcPr>
          <w:p w:rsidR="00137DE0" w:rsidRPr="00421850" w:rsidRDefault="00137DE0" w:rsidP="00524079">
            <w:pPr>
              <w:rPr>
                <w:rFonts w:ascii="Calibri" w:hAnsi="Calibri"/>
                <w:color w:val="000000"/>
                <w:sz w:val="22"/>
                <w:szCs w:val="22"/>
              </w:rPr>
            </w:pPr>
          </w:p>
        </w:tc>
        <w:tc>
          <w:tcPr>
            <w:tcW w:w="972" w:type="dxa"/>
            <w:tcBorders>
              <w:top w:val="nil"/>
              <w:left w:val="nil"/>
              <w:bottom w:val="nil"/>
              <w:right w:val="nil"/>
            </w:tcBorders>
            <w:shd w:val="clear" w:color="auto" w:fill="auto"/>
            <w:noWrap/>
            <w:vAlign w:val="bottom"/>
            <w:hideMark/>
          </w:tcPr>
          <w:p w:rsidR="00137DE0" w:rsidRPr="00421850" w:rsidRDefault="00137DE0" w:rsidP="00524079">
            <w:pPr>
              <w:rPr>
                <w:rFonts w:ascii="Calibri" w:hAnsi="Calibri"/>
                <w:color w:val="000000"/>
                <w:sz w:val="22"/>
                <w:szCs w:val="22"/>
              </w:rPr>
            </w:pPr>
          </w:p>
        </w:tc>
        <w:tc>
          <w:tcPr>
            <w:tcW w:w="960" w:type="dxa"/>
            <w:tcBorders>
              <w:top w:val="nil"/>
              <w:left w:val="nil"/>
              <w:bottom w:val="nil"/>
              <w:right w:val="nil"/>
            </w:tcBorders>
            <w:shd w:val="clear" w:color="auto" w:fill="auto"/>
            <w:noWrap/>
            <w:vAlign w:val="bottom"/>
            <w:hideMark/>
          </w:tcPr>
          <w:p w:rsidR="00137DE0" w:rsidRPr="00421850" w:rsidRDefault="00137DE0" w:rsidP="00524079">
            <w:pPr>
              <w:rPr>
                <w:rFonts w:ascii="Calibri" w:hAnsi="Calibri"/>
                <w:color w:val="000000"/>
                <w:sz w:val="22"/>
                <w:szCs w:val="22"/>
              </w:rPr>
            </w:pPr>
          </w:p>
        </w:tc>
      </w:tr>
      <w:tr w:rsidR="00137DE0" w:rsidRPr="00421850" w:rsidTr="00524079">
        <w:trPr>
          <w:trHeight w:val="300"/>
          <w:jc w:val="center"/>
        </w:trPr>
        <w:tc>
          <w:tcPr>
            <w:tcW w:w="3060" w:type="dxa"/>
            <w:tcBorders>
              <w:top w:val="single" w:sz="8" w:space="0" w:color="auto"/>
              <w:left w:val="nil"/>
              <w:bottom w:val="single" w:sz="4" w:space="0" w:color="auto"/>
              <w:right w:val="nil"/>
            </w:tcBorders>
            <w:shd w:val="clear" w:color="auto" w:fill="auto"/>
            <w:noWrap/>
            <w:vAlign w:val="bottom"/>
            <w:hideMark/>
          </w:tcPr>
          <w:p w:rsidR="00137DE0" w:rsidRPr="00421850" w:rsidRDefault="00137DE0" w:rsidP="00524079">
            <w:pPr>
              <w:jc w:val="center"/>
              <w:rPr>
                <w:rFonts w:ascii="Calibri" w:hAnsi="Calibri"/>
                <w:i/>
                <w:iCs/>
                <w:color w:val="000000"/>
                <w:sz w:val="22"/>
                <w:szCs w:val="22"/>
              </w:rPr>
            </w:pPr>
            <w:r w:rsidRPr="00421850">
              <w:rPr>
                <w:rFonts w:ascii="Calibri" w:hAnsi="Calibri"/>
                <w:i/>
                <w:iCs/>
                <w:color w:val="000000"/>
                <w:sz w:val="22"/>
                <w:szCs w:val="22"/>
              </w:rPr>
              <w:t>Source of Variation</w:t>
            </w:r>
          </w:p>
        </w:tc>
        <w:tc>
          <w:tcPr>
            <w:tcW w:w="1053" w:type="dxa"/>
            <w:tcBorders>
              <w:top w:val="single" w:sz="8" w:space="0" w:color="auto"/>
              <w:left w:val="nil"/>
              <w:bottom w:val="single" w:sz="4" w:space="0" w:color="auto"/>
              <w:right w:val="nil"/>
            </w:tcBorders>
            <w:shd w:val="clear" w:color="auto" w:fill="auto"/>
            <w:noWrap/>
            <w:vAlign w:val="bottom"/>
            <w:hideMark/>
          </w:tcPr>
          <w:p w:rsidR="00137DE0" w:rsidRPr="00421850" w:rsidRDefault="00137DE0" w:rsidP="00524079">
            <w:pPr>
              <w:jc w:val="center"/>
              <w:rPr>
                <w:rFonts w:ascii="Calibri" w:hAnsi="Calibri"/>
                <w:i/>
                <w:iCs/>
                <w:color w:val="000000"/>
                <w:sz w:val="22"/>
                <w:szCs w:val="22"/>
              </w:rPr>
            </w:pPr>
            <w:r w:rsidRPr="00421850">
              <w:rPr>
                <w:rFonts w:ascii="Calibri" w:hAnsi="Calibri"/>
                <w:i/>
                <w:iCs/>
                <w:color w:val="000000"/>
                <w:sz w:val="22"/>
                <w:szCs w:val="22"/>
              </w:rPr>
              <w:t>SS</w:t>
            </w:r>
          </w:p>
        </w:tc>
        <w:tc>
          <w:tcPr>
            <w:tcW w:w="1122" w:type="dxa"/>
            <w:tcBorders>
              <w:top w:val="single" w:sz="8" w:space="0" w:color="auto"/>
              <w:left w:val="nil"/>
              <w:bottom w:val="single" w:sz="4" w:space="0" w:color="auto"/>
              <w:right w:val="nil"/>
            </w:tcBorders>
            <w:shd w:val="clear" w:color="auto" w:fill="auto"/>
            <w:noWrap/>
            <w:vAlign w:val="bottom"/>
            <w:hideMark/>
          </w:tcPr>
          <w:p w:rsidR="00137DE0" w:rsidRPr="00421850" w:rsidRDefault="00137DE0" w:rsidP="00524079">
            <w:pPr>
              <w:jc w:val="center"/>
              <w:rPr>
                <w:rFonts w:ascii="Calibri" w:hAnsi="Calibri"/>
                <w:i/>
                <w:iCs/>
                <w:color w:val="000000"/>
                <w:sz w:val="22"/>
                <w:szCs w:val="22"/>
              </w:rPr>
            </w:pPr>
            <w:r w:rsidRPr="00421850">
              <w:rPr>
                <w:rFonts w:ascii="Calibri" w:hAnsi="Calibri"/>
                <w:i/>
                <w:iCs/>
                <w:color w:val="000000"/>
                <w:sz w:val="22"/>
                <w:szCs w:val="22"/>
              </w:rPr>
              <w:t>df</w:t>
            </w:r>
          </w:p>
        </w:tc>
        <w:tc>
          <w:tcPr>
            <w:tcW w:w="954" w:type="dxa"/>
            <w:tcBorders>
              <w:top w:val="single" w:sz="8" w:space="0" w:color="auto"/>
              <w:left w:val="nil"/>
              <w:bottom w:val="single" w:sz="4" w:space="0" w:color="auto"/>
              <w:right w:val="nil"/>
            </w:tcBorders>
            <w:shd w:val="clear" w:color="auto" w:fill="auto"/>
            <w:noWrap/>
            <w:vAlign w:val="bottom"/>
            <w:hideMark/>
          </w:tcPr>
          <w:p w:rsidR="00137DE0" w:rsidRPr="00421850" w:rsidRDefault="00137DE0" w:rsidP="00524079">
            <w:pPr>
              <w:jc w:val="center"/>
              <w:rPr>
                <w:rFonts w:ascii="Calibri" w:hAnsi="Calibri"/>
                <w:i/>
                <w:iCs/>
                <w:color w:val="000000"/>
                <w:sz w:val="22"/>
                <w:szCs w:val="22"/>
              </w:rPr>
            </w:pPr>
            <w:r w:rsidRPr="00421850">
              <w:rPr>
                <w:rFonts w:ascii="Calibri" w:hAnsi="Calibri"/>
                <w:i/>
                <w:iCs/>
                <w:color w:val="000000"/>
                <w:sz w:val="22"/>
                <w:szCs w:val="22"/>
              </w:rPr>
              <w:t>MS</w:t>
            </w:r>
          </w:p>
        </w:tc>
        <w:tc>
          <w:tcPr>
            <w:tcW w:w="1003" w:type="dxa"/>
            <w:tcBorders>
              <w:top w:val="single" w:sz="8" w:space="0" w:color="auto"/>
              <w:left w:val="nil"/>
              <w:bottom w:val="single" w:sz="4" w:space="0" w:color="auto"/>
              <w:right w:val="nil"/>
            </w:tcBorders>
            <w:shd w:val="clear" w:color="auto" w:fill="auto"/>
            <w:noWrap/>
            <w:vAlign w:val="bottom"/>
            <w:hideMark/>
          </w:tcPr>
          <w:p w:rsidR="00137DE0" w:rsidRPr="00421850" w:rsidRDefault="00137DE0" w:rsidP="00524079">
            <w:pPr>
              <w:jc w:val="center"/>
              <w:rPr>
                <w:rFonts w:ascii="Calibri" w:hAnsi="Calibri"/>
                <w:i/>
                <w:iCs/>
                <w:color w:val="000000"/>
                <w:sz w:val="22"/>
                <w:szCs w:val="22"/>
              </w:rPr>
            </w:pPr>
            <w:r w:rsidRPr="00421850">
              <w:rPr>
                <w:rFonts w:ascii="Calibri" w:hAnsi="Calibri"/>
                <w:i/>
                <w:iCs/>
                <w:color w:val="000000"/>
                <w:sz w:val="22"/>
                <w:szCs w:val="22"/>
              </w:rPr>
              <w:t>F</w:t>
            </w:r>
          </w:p>
        </w:tc>
        <w:tc>
          <w:tcPr>
            <w:tcW w:w="1041" w:type="dxa"/>
            <w:tcBorders>
              <w:top w:val="single" w:sz="8" w:space="0" w:color="auto"/>
              <w:left w:val="nil"/>
              <w:bottom w:val="single" w:sz="4" w:space="0" w:color="auto"/>
              <w:right w:val="nil"/>
            </w:tcBorders>
            <w:shd w:val="clear" w:color="auto" w:fill="auto"/>
            <w:noWrap/>
            <w:vAlign w:val="bottom"/>
            <w:hideMark/>
          </w:tcPr>
          <w:p w:rsidR="00137DE0" w:rsidRPr="00421850" w:rsidRDefault="00137DE0" w:rsidP="00524079">
            <w:pPr>
              <w:jc w:val="center"/>
              <w:rPr>
                <w:rFonts w:ascii="Calibri" w:hAnsi="Calibri"/>
                <w:i/>
                <w:iCs/>
                <w:color w:val="000000"/>
                <w:sz w:val="22"/>
                <w:szCs w:val="22"/>
              </w:rPr>
            </w:pPr>
            <w:r w:rsidRPr="00421850">
              <w:rPr>
                <w:rFonts w:ascii="Calibri" w:hAnsi="Calibri"/>
                <w:i/>
                <w:iCs/>
                <w:color w:val="000000"/>
                <w:sz w:val="22"/>
                <w:szCs w:val="22"/>
              </w:rPr>
              <w:t>P-value</w:t>
            </w:r>
          </w:p>
        </w:tc>
        <w:tc>
          <w:tcPr>
            <w:tcW w:w="972" w:type="dxa"/>
            <w:tcBorders>
              <w:top w:val="single" w:sz="8" w:space="0" w:color="auto"/>
              <w:left w:val="nil"/>
              <w:bottom w:val="single" w:sz="4" w:space="0" w:color="auto"/>
              <w:right w:val="nil"/>
            </w:tcBorders>
            <w:shd w:val="clear" w:color="auto" w:fill="auto"/>
            <w:noWrap/>
            <w:vAlign w:val="bottom"/>
            <w:hideMark/>
          </w:tcPr>
          <w:p w:rsidR="00137DE0" w:rsidRPr="00421850" w:rsidRDefault="00137DE0" w:rsidP="00524079">
            <w:pPr>
              <w:jc w:val="center"/>
              <w:rPr>
                <w:rFonts w:ascii="Calibri" w:hAnsi="Calibri"/>
                <w:i/>
                <w:iCs/>
                <w:color w:val="000000"/>
                <w:sz w:val="22"/>
                <w:szCs w:val="22"/>
              </w:rPr>
            </w:pPr>
            <w:r w:rsidRPr="00421850">
              <w:rPr>
                <w:rFonts w:ascii="Calibri" w:hAnsi="Calibri"/>
                <w:i/>
                <w:iCs/>
                <w:color w:val="000000"/>
                <w:sz w:val="22"/>
                <w:szCs w:val="22"/>
              </w:rPr>
              <w:t>F crit</w:t>
            </w:r>
          </w:p>
        </w:tc>
        <w:tc>
          <w:tcPr>
            <w:tcW w:w="960" w:type="dxa"/>
            <w:tcBorders>
              <w:top w:val="nil"/>
              <w:left w:val="nil"/>
              <w:bottom w:val="nil"/>
              <w:right w:val="nil"/>
            </w:tcBorders>
            <w:shd w:val="clear" w:color="auto" w:fill="auto"/>
            <w:noWrap/>
            <w:vAlign w:val="bottom"/>
            <w:hideMark/>
          </w:tcPr>
          <w:p w:rsidR="00137DE0" w:rsidRPr="00421850" w:rsidRDefault="00137DE0" w:rsidP="00524079">
            <w:pPr>
              <w:rPr>
                <w:rFonts w:ascii="Calibri" w:hAnsi="Calibri"/>
                <w:color w:val="000000"/>
                <w:sz w:val="22"/>
                <w:szCs w:val="22"/>
              </w:rPr>
            </w:pPr>
          </w:p>
        </w:tc>
      </w:tr>
      <w:tr w:rsidR="00137DE0" w:rsidRPr="00421850" w:rsidTr="00524079">
        <w:trPr>
          <w:trHeight w:val="300"/>
          <w:jc w:val="center"/>
        </w:trPr>
        <w:tc>
          <w:tcPr>
            <w:tcW w:w="3060" w:type="dxa"/>
            <w:tcBorders>
              <w:top w:val="nil"/>
              <w:left w:val="nil"/>
              <w:bottom w:val="nil"/>
              <w:right w:val="nil"/>
            </w:tcBorders>
            <w:shd w:val="clear" w:color="auto" w:fill="auto"/>
            <w:noWrap/>
            <w:vAlign w:val="bottom"/>
            <w:hideMark/>
          </w:tcPr>
          <w:p w:rsidR="00137DE0" w:rsidRPr="00421850" w:rsidRDefault="00137DE0" w:rsidP="00524079">
            <w:pPr>
              <w:rPr>
                <w:rFonts w:ascii="Calibri" w:hAnsi="Calibri"/>
                <w:color w:val="000000"/>
                <w:sz w:val="22"/>
                <w:szCs w:val="22"/>
              </w:rPr>
            </w:pPr>
            <w:r w:rsidRPr="00421850">
              <w:rPr>
                <w:rFonts w:ascii="Calibri" w:hAnsi="Calibri"/>
                <w:color w:val="000000"/>
                <w:sz w:val="22"/>
                <w:szCs w:val="22"/>
              </w:rPr>
              <w:t>Between Groups</w:t>
            </w:r>
          </w:p>
        </w:tc>
        <w:tc>
          <w:tcPr>
            <w:tcW w:w="1053" w:type="dxa"/>
            <w:tcBorders>
              <w:top w:val="nil"/>
              <w:left w:val="nil"/>
              <w:bottom w:val="nil"/>
              <w:right w:val="nil"/>
            </w:tcBorders>
            <w:shd w:val="clear" w:color="auto" w:fill="auto"/>
            <w:noWrap/>
            <w:vAlign w:val="bottom"/>
            <w:hideMark/>
          </w:tcPr>
          <w:p w:rsidR="00137DE0" w:rsidRPr="00421850" w:rsidRDefault="00137DE0" w:rsidP="00524079">
            <w:pPr>
              <w:jc w:val="right"/>
              <w:rPr>
                <w:rFonts w:ascii="Calibri" w:hAnsi="Calibri"/>
                <w:color w:val="000000"/>
                <w:sz w:val="22"/>
                <w:szCs w:val="22"/>
              </w:rPr>
            </w:pPr>
            <w:r w:rsidRPr="00421850">
              <w:rPr>
                <w:rFonts w:ascii="Calibri" w:hAnsi="Calibri"/>
                <w:color w:val="000000"/>
                <w:sz w:val="22"/>
                <w:szCs w:val="22"/>
              </w:rPr>
              <w:t>560.60</w:t>
            </w:r>
          </w:p>
        </w:tc>
        <w:tc>
          <w:tcPr>
            <w:tcW w:w="1122" w:type="dxa"/>
            <w:tcBorders>
              <w:top w:val="nil"/>
              <w:left w:val="nil"/>
              <w:bottom w:val="nil"/>
              <w:right w:val="nil"/>
            </w:tcBorders>
            <w:shd w:val="clear" w:color="auto" w:fill="auto"/>
            <w:noWrap/>
            <w:vAlign w:val="bottom"/>
            <w:hideMark/>
          </w:tcPr>
          <w:p w:rsidR="00137DE0" w:rsidRPr="00421850" w:rsidRDefault="00137DE0" w:rsidP="00524079">
            <w:pPr>
              <w:tabs>
                <w:tab w:val="right" w:pos="565"/>
              </w:tabs>
              <w:ind w:right="44"/>
              <w:rPr>
                <w:rFonts w:ascii="Calibri" w:hAnsi="Calibri"/>
                <w:color w:val="000000"/>
                <w:sz w:val="22"/>
                <w:szCs w:val="22"/>
              </w:rPr>
            </w:pPr>
            <w:r>
              <w:rPr>
                <w:rFonts w:ascii="Calibri" w:hAnsi="Calibri"/>
                <w:color w:val="000000"/>
                <w:sz w:val="22"/>
                <w:szCs w:val="22"/>
              </w:rPr>
              <w:tab/>
            </w:r>
            <w:r w:rsidRPr="00421850">
              <w:rPr>
                <w:rFonts w:ascii="Calibri" w:hAnsi="Calibri"/>
                <w:color w:val="000000"/>
                <w:sz w:val="22"/>
                <w:szCs w:val="22"/>
              </w:rPr>
              <w:t>1</w:t>
            </w:r>
          </w:p>
        </w:tc>
        <w:tc>
          <w:tcPr>
            <w:tcW w:w="954" w:type="dxa"/>
            <w:tcBorders>
              <w:top w:val="nil"/>
              <w:left w:val="nil"/>
              <w:bottom w:val="nil"/>
              <w:right w:val="nil"/>
            </w:tcBorders>
            <w:shd w:val="clear" w:color="auto" w:fill="auto"/>
            <w:noWrap/>
            <w:vAlign w:val="bottom"/>
            <w:hideMark/>
          </w:tcPr>
          <w:p w:rsidR="00137DE0" w:rsidRPr="00421850" w:rsidRDefault="00137DE0" w:rsidP="00524079">
            <w:pPr>
              <w:jc w:val="right"/>
              <w:rPr>
                <w:rFonts w:ascii="Calibri" w:hAnsi="Calibri"/>
                <w:color w:val="000000"/>
                <w:sz w:val="22"/>
                <w:szCs w:val="22"/>
              </w:rPr>
            </w:pPr>
            <w:r w:rsidRPr="00421850">
              <w:rPr>
                <w:rFonts w:ascii="Calibri" w:hAnsi="Calibri"/>
                <w:color w:val="000000"/>
                <w:sz w:val="22"/>
                <w:szCs w:val="22"/>
              </w:rPr>
              <w:t>560.60</w:t>
            </w:r>
          </w:p>
        </w:tc>
        <w:tc>
          <w:tcPr>
            <w:tcW w:w="1003" w:type="dxa"/>
            <w:tcBorders>
              <w:top w:val="nil"/>
              <w:left w:val="nil"/>
              <w:bottom w:val="nil"/>
              <w:right w:val="nil"/>
            </w:tcBorders>
            <w:shd w:val="clear" w:color="auto" w:fill="auto"/>
            <w:noWrap/>
            <w:vAlign w:val="bottom"/>
            <w:hideMark/>
          </w:tcPr>
          <w:p w:rsidR="00137DE0" w:rsidRPr="00421850" w:rsidRDefault="00137DE0" w:rsidP="00524079">
            <w:pPr>
              <w:jc w:val="right"/>
              <w:rPr>
                <w:rFonts w:ascii="Calibri" w:hAnsi="Calibri"/>
                <w:color w:val="000000"/>
                <w:sz w:val="22"/>
                <w:szCs w:val="22"/>
                <w:highlight w:val="yellow"/>
              </w:rPr>
            </w:pPr>
            <w:r w:rsidRPr="00421850">
              <w:rPr>
                <w:rFonts w:ascii="Calibri" w:hAnsi="Calibri"/>
                <w:color w:val="000000"/>
                <w:sz w:val="22"/>
                <w:szCs w:val="22"/>
                <w:highlight w:val="yellow"/>
              </w:rPr>
              <w:t>17.60</w:t>
            </w:r>
          </w:p>
        </w:tc>
        <w:tc>
          <w:tcPr>
            <w:tcW w:w="1041" w:type="dxa"/>
            <w:tcBorders>
              <w:top w:val="nil"/>
              <w:left w:val="nil"/>
              <w:bottom w:val="nil"/>
              <w:right w:val="nil"/>
            </w:tcBorders>
            <w:shd w:val="clear" w:color="auto" w:fill="auto"/>
            <w:noWrap/>
            <w:vAlign w:val="bottom"/>
            <w:hideMark/>
          </w:tcPr>
          <w:p w:rsidR="00137DE0" w:rsidRPr="00421850" w:rsidRDefault="00137DE0" w:rsidP="00524079">
            <w:pPr>
              <w:jc w:val="right"/>
              <w:rPr>
                <w:rFonts w:ascii="Calibri" w:hAnsi="Calibri"/>
                <w:color w:val="000000"/>
                <w:sz w:val="22"/>
                <w:szCs w:val="22"/>
                <w:highlight w:val="yellow"/>
              </w:rPr>
            </w:pPr>
            <w:r w:rsidRPr="00421850">
              <w:rPr>
                <w:rFonts w:ascii="Calibri" w:hAnsi="Calibri"/>
                <w:color w:val="000000"/>
                <w:sz w:val="22"/>
                <w:szCs w:val="22"/>
                <w:highlight w:val="yellow"/>
              </w:rPr>
              <w:t>6.66E-05</w:t>
            </w:r>
          </w:p>
        </w:tc>
        <w:tc>
          <w:tcPr>
            <w:tcW w:w="972" w:type="dxa"/>
            <w:tcBorders>
              <w:top w:val="nil"/>
              <w:left w:val="nil"/>
              <w:bottom w:val="nil"/>
              <w:right w:val="nil"/>
            </w:tcBorders>
            <w:shd w:val="clear" w:color="auto" w:fill="auto"/>
            <w:noWrap/>
            <w:vAlign w:val="bottom"/>
            <w:hideMark/>
          </w:tcPr>
          <w:p w:rsidR="00137DE0" w:rsidRPr="00421850" w:rsidRDefault="00137DE0" w:rsidP="00524079">
            <w:pPr>
              <w:jc w:val="right"/>
              <w:rPr>
                <w:rFonts w:ascii="Calibri" w:hAnsi="Calibri"/>
                <w:color w:val="000000"/>
                <w:sz w:val="22"/>
                <w:szCs w:val="22"/>
                <w:highlight w:val="yellow"/>
              </w:rPr>
            </w:pPr>
            <w:r w:rsidRPr="00421850">
              <w:rPr>
                <w:rFonts w:ascii="Calibri" w:hAnsi="Calibri"/>
                <w:color w:val="000000"/>
                <w:sz w:val="22"/>
                <w:szCs w:val="22"/>
                <w:highlight w:val="yellow"/>
              </w:rPr>
              <w:t>3.95</w:t>
            </w:r>
          </w:p>
        </w:tc>
        <w:tc>
          <w:tcPr>
            <w:tcW w:w="960" w:type="dxa"/>
            <w:tcBorders>
              <w:top w:val="nil"/>
              <w:left w:val="nil"/>
              <w:bottom w:val="nil"/>
              <w:right w:val="nil"/>
            </w:tcBorders>
            <w:shd w:val="clear" w:color="auto" w:fill="auto"/>
            <w:noWrap/>
            <w:vAlign w:val="bottom"/>
            <w:hideMark/>
          </w:tcPr>
          <w:p w:rsidR="00137DE0" w:rsidRPr="00421850" w:rsidRDefault="00137DE0" w:rsidP="00524079">
            <w:pPr>
              <w:rPr>
                <w:rFonts w:ascii="Calibri" w:hAnsi="Calibri"/>
                <w:color w:val="000000"/>
                <w:sz w:val="22"/>
                <w:szCs w:val="22"/>
              </w:rPr>
            </w:pPr>
          </w:p>
        </w:tc>
      </w:tr>
      <w:tr w:rsidR="00137DE0" w:rsidRPr="00421850" w:rsidTr="00524079">
        <w:trPr>
          <w:trHeight w:val="300"/>
          <w:jc w:val="center"/>
        </w:trPr>
        <w:tc>
          <w:tcPr>
            <w:tcW w:w="3060" w:type="dxa"/>
            <w:tcBorders>
              <w:top w:val="nil"/>
              <w:left w:val="nil"/>
              <w:bottom w:val="nil"/>
              <w:right w:val="nil"/>
            </w:tcBorders>
            <w:shd w:val="clear" w:color="auto" w:fill="auto"/>
            <w:noWrap/>
            <w:vAlign w:val="bottom"/>
            <w:hideMark/>
          </w:tcPr>
          <w:p w:rsidR="00137DE0" w:rsidRPr="00421850" w:rsidRDefault="00137DE0" w:rsidP="00524079">
            <w:pPr>
              <w:rPr>
                <w:rFonts w:ascii="Calibri" w:hAnsi="Calibri"/>
                <w:color w:val="000000"/>
                <w:sz w:val="22"/>
                <w:szCs w:val="22"/>
              </w:rPr>
            </w:pPr>
            <w:r w:rsidRPr="00421850">
              <w:rPr>
                <w:rFonts w:ascii="Calibri" w:hAnsi="Calibri"/>
                <w:color w:val="000000"/>
                <w:sz w:val="22"/>
                <w:szCs w:val="22"/>
              </w:rPr>
              <w:t>Within Groups</w:t>
            </w:r>
          </w:p>
        </w:tc>
        <w:tc>
          <w:tcPr>
            <w:tcW w:w="1053" w:type="dxa"/>
            <w:tcBorders>
              <w:top w:val="nil"/>
              <w:left w:val="nil"/>
              <w:bottom w:val="nil"/>
              <w:right w:val="nil"/>
            </w:tcBorders>
            <w:shd w:val="clear" w:color="auto" w:fill="auto"/>
            <w:noWrap/>
            <w:vAlign w:val="bottom"/>
            <w:hideMark/>
          </w:tcPr>
          <w:p w:rsidR="00137DE0" w:rsidRPr="00421850" w:rsidRDefault="00137DE0" w:rsidP="00524079">
            <w:pPr>
              <w:jc w:val="right"/>
              <w:rPr>
                <w:rFonts w:ascii="Calibri" w:hAnsi="Calibri"/>
                <w:color w:val="000000"/>
                <w:sz w:val="22"/>
                <w:szCs w:val="22"/>
              </w:rPr>
            </w:pPr>
            <w:r w:rsidRPr="00421850">
              <w:rPr>
                <w:rFonts w:ascii="Calibri" w:hAnsi="Calibri"/>
                <w:color w:val="000000"/>
                <w:sz w:val="22"/>
                <w:szCs w:val="22"/>
              </w:rPr>
              <w:t>2707.4</w:t>
            </w:r>
            <w:r>
              <w:rPr>
                <w:rFonts w:ascii="Calibri" w:hAnsi="Calibri"/>
                <w:color w:val="000000"/>
                <w:sz w:val="22"/>
                <w:szCs w:val="22"/>
              </w:rPr>
              <w:t>2</w:t>
            </w:r>
          </w:p>
        </w:tc>
        <w:tc>
          <w:tcPr>
            <w:tcW w:w="1122" w:type="dxa"/>
            <w:tcBorders>
              <w:top w:val="nil"/>
              <w:left w:val="nil"/>
              <w:bottom w:val="nil"/>
              <w:right w:val="nil"/>
            </w:tcBorders>
            <w:shd w:val="clear" w:color="auto" w:fill="auto"/>
            <w:noWrap/>
            <w:vAlign w:val="bottom"/>
            <w:hideMark/>
          </w:tcPr>
          <w:p w:rsidR="00137DE0" w:rsidRPr="00421850" w:rsidRDefault="00137DE0" w:rsidP="00524079">
            <w:pPr>
              <w:tabs>
                <w:tab w:val="right" w:pos="565"/>
              </w:tabs>
              <w:ind w:right="44"/>
              <w:rPr>
                <w:rFonts w:ascii="Calibri" w:hAnsi="Calibri"/>
                <w:color w:val="000000"/>
                <w:sz w:val="22"/>
                <w:szCs w:val="22"/>
              </w:rPr>
            </w:pPr>
            <w:r>
              <w:rPr>
                <w:rFonts w:ascii="Calibri" w:hAnsi="Calibri"/>
                <w:color w:val="000000"/>
                <w:sz w:val="22"/>
                <w:szCs w:val="22"/>
              </w:rPr>
              <w:tab/>
            </w:r>
            <w:r w:rsidRPr="00421850">
              <w:rPr>
                <w:rFonts w:ascii="Calibri" w:hAnsi="Calibri"/>
                <w:color w:val="000000"/>
                <w:sz w:val="22"/>
                <w:szCs w:val="22"/>
              </w:rPr>
              <w:t>85</w:t>
            </w:r>
          </w:p>
        </w:tc>
        <w:tc>
          <w:tcPr>
            <w:tcW w:w="954" w:type="dxa"/>
            <w:tcBorders>
              <w:top w:val="nil"/>
              <w:left w:val="nil"/>
              <w:bottom w:val="nil"/>
              <w:right w:val="nil"/>
            </w:tcBorders>
            <w:shd w:val="clear" w:color="auto" w:fill="auto"/>
            <w:noWrap/>
            <w:vAlign w:val="bottom"/>
            <w:hideMark/>
          </w:tcPr>
          <w:p w:rsidR="00137DE0" w:rsidRPr="00421850" w:rsidRDefault="00137DE0" w:rsidP="00524079">
            <w:pPr>
              <w:jc w:val="right"/>
              <w:rPr>
                <w:rFonts w:ascii="Calibri" w:hAnsi="Calibri"/>
                <w:color w:val="000000"/>
                <w:sz w:val="22"/>
                <w:szCs w:val="22"/>
              </w:rPr>
            </w:pPr>
            <w:r w:rsidRPr="00421850">
              <w:rPr>
                <w:rFonts w:ascii="Calibri" w:hAnsi="Calibri"/>
                <w:color w:val="000000"/>
                <w:sz w:val="22"/>
                <w:szCs w:val="22"/>
              </w:rPr>
              <w:t>31.85</w:t>
            </w:r>
          </w:p>
        </w:tc>
        <w:tc>
          <w:tcPr>
            <w:tcW w:w="1003" w:type="dxa"/>
            <w:tcBorders>
              <w:top w:val="nil"/>
              <w:left w:val="nil"/>
              <w:bottom w:val="nil"/>
              <w:right w:val="nil"/>
            </w:tcBorders>
            <w:shd w:val="clear" w:color="auto" w:fill="auto"/>
            <w:noWrap/>
            <w:vAlign w:val="bottom"/>
            <w:hideMark/>
          </w:tcPr>
          <w:p w:rsidR="00137DE0" w:rsidRPr="00421850" w:rsidRDefault="00137DE0" w:rsidP="00524079">
            <w:pPr>
              <w:rPr>
                <w:rFonts w:ascii="Calibri" w:hAnsi="Calibri"/>
                <w:color w:val="000000"/>
                <w:sz w:val="22"/>
                <w:szCs w:val="22"/>
              </w:rPr>
            </w:pPr>
          </w:p>
        </w:tc>
        <w:tc>
          <w:tcPr>
            <w:tcW w:w="1041" w:type="dxa"/>
            <w:tcBorders>
              <w:top w:val="nil"/>
              <w:left w:val="nil"/>
              <w:bottom w:val="nil"/>
              <w:right w:val="nil"/>
            </w:tcBorders>
            <w:shd w:val="clear" w:color="auto" w:fill="auto"/>
            <w:noWrap/>
            <w:vAlign w:val="bottom"/>
            <w:hideMark/>
          </w:tcPr>
          <w:p w:rsidR="00137DE0" w:rsidRPr="00421850" w:rsidRDefault="00137DE0" w:rsidP="00524079">
            <w:pPr>
              <w:rPr>
                <w:rFonts w:ascii="Calibri" w:hAnsi="Calibri"/>
                <w:color w:val="000000"/>
                <w:sz w:val="22"/>
                <w:szCs w:val="22"/>
              </w:rPr>
            </w:pPr>
          </w:p>
        </w:tc>
        <w:tc>
          <w:tcPr>
            <w:tcW w:w="972" w:type="dxa"/>
            <w:tcBorders>
              <w:top w:val="nil"/>
              <w:left w:val="nil"/>
              <w:bottom w:val="nil"/>
              <w:right w:val="nil"/>
            </w:tcBorders>
            <w:shd w:val="clear" w:color="auto" w:fill="auto"/>
            <w:noWrap/>
            <w:vAlign w:val="bottom"/>
            <w:hideMark/>
          </w:tcPr>
          <w:p w:rsidR="00137DE0" w:rsidRPr="00421850" w:rsidRDefault="00137DE0" w:rsidP="00524079">
            <w:pPr>
              <w:rPr>
                <w:rFonts w:ascii="Calibri" w:hAnsi="Calibri"/>
                <w:color w:val="000000"/>
                <w:sz w:val="22"/>
                <w:szCs w:val="22"/>
              </w:rPr>
            </w:pPr>
          </w:p>
        </w:tc>
        <w:tc>
          <w:tcPr>
            <w:tcW w:w="960" w:type="dxa"/>
            <w:tcBorders>
              <w:top w:val="nil"/>
              <w:left w:val="nil"/>
              <w:bottom w:val="nil"/>
              <w:right w:val="nil"/>
            </w:tcBorders>
            <w:shd w:val="clear" w:color="auto" w:fill="auto"/>
            <w:noWrap/>
            <w:vAlign w:val="bottom"/>
            <w:hideMark/>
          </w:tcPr>
          <w:p w:rsidR="00137DE0" w:rsidRPr="00421850" w:rsidRDefault="00137DE0" w:rsidP="00524079">
            <w:pPr>
              <w:rPr>
                <w:rFonts w:ascii="Calibri" w:hAnsi="Calibri"/>
                <w:color w:val="000000"/>
                <w:sz w:val="22"/>
                <w:szCs w:val="22"/>
              </w:rPr>
            </w:pPr>
          </w:p>
        </w:tc>
      </w:tr>
      <w:tr w:rsidR="00137DE0" w:rsidRPr="00421850" w:rsidTr="00524079">
        <w:trPr>
          <w:trHeight w:val="300"/>
          <w:jc w:val="center"/>
        </w:trPr>
        <w:tc>
          <w:tcPr>
            <w:tcW w:w="3060" w:type="dxa"/>
            <w:tcBorders>
              <w:top w:val="nil"/>
              <w:left w:val="nil"/>
              <w:bottom w:val="nil"/>
              <w:right w:val="nil"/>
            </w:tcBorders>
            <w:shd w:val="clear" w:color="auto" w:fill="auto"/>
            <w:noWrap/>
            <w:vAlign w:val="bottom"/>
            <w:hideMark/>
          </w:tcPr>
          <w:p w:rsidR="00137DE0" w:rsidRPr="00421850" w:rsidRDefault="00137DE0" w:rsidP="00524079">
            <w:pPr>
              <w:rPr>
                <w:rFonts w:ascii="Calibri" w:hAnsi="Calibri"/>
                <w:color w:val="000000"/>
                <w:sz w:val="22"/>
                <w:szCs w:val="22"/>
              </w:rPr>
            </w:pPr>
          </w:p>
        </w:tc>
        <w:tc>
          <w:tcPr>
            <w:tcW w:w="1053" w:type="dxa"/>
            <w:tcBorders>
              <w:top w:val="nil"/>
              <w:left w:val="nil"/>
              <w:bottom w:val="nil"/>
              <w:right w:val="nil"/>
            </w:tcBorders>
            <w:shd w:val="clear" w:color="auto" w:fill="auto"/>
            <w:noWrap/>
            <w:vAlign w:val="bottom"/>
            <w:hideMark/>
          </w:tcPr>
          <w:p w:rsidR="00137DE0" w:rsidRPr="00421850" w:rsidRDefault="00137DE0" w:rsidP="00524079">
            <w:pPr>
              <w:rPr>
                <w:rFonts w:ascii="Calibri" w:hAnsi="Calibri"/>
                <w:color w:val="000000"/>
                <w:sz w:val="22"/>
                <w:szCs w:val="22"/>
              </w:rPr>
            </w:pPr>
          </w:p>
        </w:tc>
        <w:tc>
          <w:tcPr>
            <w:tcW w:w="1122" w:type="dxa"/>
            <w:tcBorders>
              <w:top w:val="nil"/>
              <w:left w:val="nil"/>
              <w:bottom w:val="nil"/>
              <w:right w:val="nil"/>
            </w:tcBorders>
            <w:shd w:val="clear" w:color="auto" w:fill="auto"/>
            <w:noWrap/>
            <w:vAlign w:val="bottom"/>
            <w:hideMark/>
          </w:tcPr>
          <w:p w:rsidR="00137DE0" w:rsidRPr="00421850" w:rsidRDefault="00137DE0" w:rsidP="00524079">
            <w:pPr>
              <w:tabs>
                <w:tab w:val="right" w:pos="565"/>
              </w:tabs>
              <w:ind w:right="44"/>
              <w:rPr>
                <w:rFonts w:ascii="Calibri" w:hAnsi="Calibri"/>
                <w:color w:val="000000"/>
                <w:sz w:val="22"/>
                <w:szCs w:val="22"/>
              </w:rPr>
            </w:pPr>
          </w:p>
        </w:tc>
        <w:tc>
          <w:tcPr>
            <w:tcW w:w="954" w:type="dxa"/>
            <w:tcBorders>
              <w:top w:val="nil"/>
              <w:left w:val="nil"/>
              <w:bottom w:val="nil"/>
              <w:right w:val="nil"/>
            </w:tcBorders>
            <w:shd w:val="clear" w:color="auto" w:fill="auto"/>
            <w:noWrap/>
            <w:vAlign w:val="bottom"/>
            <w:hideMark/>
          </w:tcPr>
          <w:p w:rsidR="00137DE0" w:rsidRPr="00421850" w:rsidRDefault="00137DE0" w:rsidP="00524079">
            <w:pPr>
              <w:rPr>
                <w:rFonts w:ascii="Calibri" w:hAnsi="Calibri"/>
                <w:color w:val="000000"/>
                <w:sz w:val="22"/>
                <w:szCs w:val="22"/>
              </w:rPr>
            </w:pPr>
          </w:p>
        </w:tc>
        <w:tc>
          <w:tcPr>
            <w:tcW w:w="1003" w:type="dxa"/>
            <w:tcBorders>
              <w:top w:val="nil"/>
              <w:left w:val="nil"/>
              <w:bottom w:val="nil"/>
              <w:right w:val="nil"/>
            </w:tcBorders>
            <w:shd w:val="clear" w:color="auto" w:fill="auto"/>
            <w:noWrap/>
            <w:vAlign w:val="bottom"/>
            <w:hideMark/>
          </w:tcPr>
          <w:p w:rsidR="00137DE0" w:rsidRPr="00421850" w:rsidRDefault="00137DE0" w:rsidP="00524079">
            <w:pPr>
              <w:rPr>
                <w:rFonts w:ascii="Calibri" w:hAnsi="Calibri"/>
                <w:color w:val="000000"/>
                <w:sz w:val="22"/>
                <w:szCs w:val="22"/>
              </w:rPr>
            </w:pPr>
          </w:p>
        </w:tc>
        <w:tc>
          <w:tcPr>
            <w:tcW w:w="1041" w:type="dxa"/>
            <w:tcBorders>
              <w:top w:val="nil"/>
              <w:left w:val="nil"/>
              <w:bottom w:val="nil"/>
              <w:right w:val="nil"/>
            </w:tcBorders>
            <w:shd w:val="clear" w:color="auto" w:fill="auto"/>
            <w:noWrap/>
            <w:vAlign w:val="bottom"/>
            <w:hideMark/>
          </w:tcPr>
          <w:p w:rsidR="00137DE0" w:rsidRPr="00421850" w:rsidRDefault="00137DE0" w:rsidP="00524079">
            <w:pPr>
              <w:rPr>
                <w:rFonts w:ascii="Calibri" w:hAnsi="Calibri"/>
                <w:color w:val="000000"/>
                <w:sz w:val="22"/>
                <w:szCs w:val="22"/>
              </w:rPr>
            </w:pPr>
          </w:p>
        </w:tc>
        <w:tc>
          <w:tcPr>
            <w:tcW w:w="972" w:type="dxa"/>
            <w:tcBorders>
              <w:top w:val="nil"/>
              <w:left w:val="nil"/>
              <w:bottom w:val="nil"/>
              <w:right w:val="nil"/>
            </w:tcBorders>
            <w:shd w:val="clear" w:color="auto" w:fill="auto"/>
            <w:noWrap/>
            <w:vAlign w:val="bottom"/>
            <w:hideMark/>
          </w:tcPr>
          <w:p w:rsidR="00137DE0" w:rsidRPr="00421850" w:rsidRDefault="00137DE0" w:rsidP="00524079">
            <w:pPr>
              <w:rPr>
                <w:rFonts w:ascii="Calibri" w:hAnsi="Calibri"/>
                <w:color w:val="000000"/>
                <w:sz w:val="22"/>
                <w:szCs w:val="22"/>
              </w:rPr>
            </w:pPr>
          </w:p>
        </w:tc>
        <w:tc>
          <w:tcPr>
            <w:tcW w:w="960" w:type="dxa"/>
            <w:tcBorders>
              <w:top w:val="nil"/>
              <w:left w:val="nil"/>
              <w:bottom w:val="nil"/>
              <w:right w:val="nil"/>
            </w:tcBorders>
            <w:shd w:val="clear" w:color="auto" w:fill="auto"/>
            <w:noWrap/>
            <w:vAlign w:val="bottom"/>
            <w:hideMark/>
          </w:tcPr>
          <w:p w:rsidR="00137DE0" w:rsidRPr="00421850" w:rsidRDefault="00137DE0" w:rsidP="00524079">
            <w:pPr>
              <w:rPr>
                <w:rFonts w:ascii="Calibri" w:hAnsi="Calibri"/>
                <w:color w:val="000000"/>
                <w:sz w:val="22"/>
                <w:szCs w:val="22"/>
              </w:rPr>
            </w:pPr>
          </w:p>
        </w:tc>
      </w:tr>
      <w:tr w:rsidR="00137DE0" w:rsidRPr="00421850" w:rsidTr="00524079">
        <w:trPr>
          <w:trHeight w:val="315"/>
          <w:jc w:val="center"/>
        </w:trPr>
        <w:tc>
          <w:tcPr>
            <w:tcW w:w="3060" w:type="dxa"/>
            <w:tcBorders>
              <w:top w:val="nil"/>
              <w:left w:val="nil"/>
              <w:bottom w:val="single" w:sz="8" w:space="0" w:color="auto"/>
              <w:right w:val="nil"/>
            </w:tcBorders>
            <w:shd w:val="clear" w:color="auto" w:fill="auto"/>
            <w:noWrap/>
            <w:vAlign w:val="bottom"/>
            <w:hideMark/>
          </w:tcPr>
          <w:p w:rsidR="00137DE0" w:rsidRPr="00421850" w:rsidRDefault="00137DE0" w:rsidP="00524079">
            <w:pPr>
              <w:rPr>
                <w:rFonts w:ascii="Calibri" w:hAnsi="Calibri"/>
                <w:color w:val="000000"/>
                <w:sz w:val="22"/>
                <w:szCs w:val="22"/>
              </w:rPr>
            </w:pPr>
            <w:r w:rsidRPr="00421850">
              <w:rPr>
                <w:rFonts w:ascii="Calibri" w:hAnsi="Calibri"/>
                <w:color w:val="000000"/>
                <w:sz w:val="22"/>
                <w:szCs w:val="22"/>
              </w:rPr>
              <w:t>Total</w:t>
            </w:r>
          </w:p>
        </w:tc>
        <w:tc>
          <w:tcPr>
            <w:tcW w:w="1053" w:type="dxa"/>
            <w:tcBorders>
              <w:top w:val="nil"/>
              <w:left w:val="nil"/>
              <w:bottom w:val="single" w:sz="8" w:space="0" w:color="auto"/>
              <w:right w:val="nil"/>
            </w:tcBorders>
            <w:shd w:val="clear" w:color="auto" w:fill="auto"/>
            <w:noWrap/>
            <w:vAlign w:val="bottom"/>
            <w:hideMark/>
          </w:tcPr>
          <w:p w:rsidR="00137DE0" w:rsidRPr="00421850" w:rsidRDefault="00137DE0" w:rsidP="00524079">
            <w:pPr>
              <w:jc w:val="right"/>
              <w:rPr>
                <w:rFonts w:ascii="Calibri" w:hAnsi="Calibri"/>
                <w:color w:val="000000"/>
                <w:sz w:val="22"/>
                <w:szCs w:val="22"/>
              </w:rPr>
            </w:pPr>
            <w:r w:rsidRPr="00421850">
              <w:rPr>
                <w:rFonts w:ascii="Calibri" w:hAnsi="Calibri"/>
                <w:color w:val="000000"/>
                <w:sz w:val="22"/>
                <w:szCs w:val="22"/>
              </w:rPr>
              <w:t>3268.0</w:t>
            </w:r>
            <w:r>
              <w:rPr>
                <w:rFonts w:ascii="Calibri" w:hAnsi="Calibri"/>
                <w:color w:val="000000"/>
                <w:sz w:val="22"/>
                <w:szCs w:val="22"/>
              </w:rPr>
              <w:t>2</w:t>
            </w:r>
          </w:p>
        </w:tc>
        <w:tc>
          <w:tcPr>
            <w:tcW w:w="1122" w:type="dxa"/>
            <w:tcBorders>
              <w:top w:val="nil"/>
              <w:left w:val="nil"/>
              <w:bottom w:val="single" w:sz="8" w:space="0" w:color="auto"/>
              <w:right w:val="nil"/>
            </w:tcBorders>
            <w:shd w:val="clear" w:color="auto" w:fill="auto"/>
            <w:noWrap/>
            <w:vAlign w:val="bottom"/>
            <w:hideMark/>
          </w:tcPr>
          <w:p w:rsidR="00137DE0" w:rsidRPr="00421850" w:rsidRDefault="00137DE0" w:rsidP="00524079">
            <w:pPr>
              <w:tabs>
                <w:tab w:val="right" w:pos="565"/>
              </w:tabs>
              <w:ind w:right="44"/>
              <w:rPr>
                <w:rFonts w:ascii="Calibri" w:hAnsi="Calibri"/>
                <w:color w:val="000000"/>
                <w:sz w:val="22"/>
                <w:szCs w:val="22"/>
              </w:rPr>
            </w:pPr>
            <w:r>
              <w:rPr>
                <w:rFonts w:ascii="Calibri" w:hAnsi="Calibri"/>
                <w:color w:val="000000"/>
                <w:sz w:val="22"/>
                <w:szCs w:val="22"/>
              </w:rPr>
              <w:tab/>
            </w:r>
            <w:r w:rsidRPr="00421850">
              <w:rPr>
                <w:rFonts w:ascii="Calibri" w:hAnsi="Calibri"/>
                <w:color w:val="000000"/>
                <w:sz w:val="22"/>
                <w:szCs w:val="22"/>
              </w:rPr>
              <w:t>86</w:t>
            </w:r>
          </w:p>
        </w:tc>
        <w:tc>
          <w:tcPr>
            <w:tcW w:w="954" w:type="dxa"/>
            <w:tcBorders>
              <w:top w:val="nil"/>
              <w:left w:val="nil"/>
              <w:bottom w:val="single" w:sz="8" w:space="0" w:color="auto"/>
              <w:right w:val="nil"/>
            </w:tcBorders>
            <w:shd w:val="clear" w:color="auto" w:fill="auto"/>
            <w:noWrap/>
            <w:vAlign w:val="bottom"/>
            <w:hideMark/>
          </w:tcPr>
          <w:p w:rsidR="00137DE0" w:rsidRPr="00421850" w:rsidRDefault="00137DE0" w:rsidP="00524079">
            <w:pPr>
              <w:rPr>
                <w:rFonts w:ascii="Calibri" w:hAnsi="Calibri"/>
                <w:color w:val="000000"/>
                <w:sz w:val="22"/>
                <w:szCs w:val="22"/>
              </w:rPr>
            </w:pPr>
            <w:r w:rsidRPr="00421850">
              <w:rPr>
                <w:rFonts w:ascii="Calibri" w:hAnsi="Calibri"/>
                <w:color w:val="000000"/>
                <w:sz w:val="22"/>
                <w:szCs w:val="22"/>
              </w:rPr>
              <w:t> </w:t>
            </w:r>
          </w:p>
        </w:tc>
        <w:tc>
          <w:tcPr>
            <w:tcW w:w="1003" w:type="dxa"/>
            <w:tcBorders>
              <w:top w:val="nil"/>
              <w:left w:val="nil"/>
              <w:bottom w:val="single" w:sz="8" w:space="0" w:color="auto"/>
              <w:right w:val="nil"/>
            </w:tcBorders>
            <w:shd w:val="clear" w:color="auto" w:fill="auto"/>
            <w:noWrap/>
            <w:vAlign w:val="bottom"/>
            <w:hideMark/>
          </w:tcPr>
          <w:p w:rsidR="00137DE0" w:rsidRPr="00421850" w:rsidRDefault="00137DE0" w:rsidP="00524079">
            <w:pPr>
              <w:rPr>
                <w:rFonts w:ascii="Calibri" w:hAnsi="Calibri"/>
                <w:color w:val="000000"/>
                <w:sz w:val="22"/>
                <w:szCs w:val="22"/>
              </w:rPr>
            </w:pPr>
            <w:r w:rsidRPr="00421850">
              <w:rPr>
                <w:rFonts w:ascii="Calibri" w:hAnsi="Calibri"/>
                <w:color w:val="000000"/>
                <w:sz w:val="22"/>
                <w:szCs w:val="22"/>
              </w:rPr>
              <w:t> </w:t>
            </w:r>
          </w:p>
        </w:tc>
        <w:tc>
          <w:tcPr>
            <w:tcW w:w="1041" w:type="dxa"/>
            <w:tcBorders>
              <w:top w:val="nil"/>
              <w:left w:val="nil"/>
              <w:bottom w:val="single" w:sz="8" w:space="0" w:color="auto"/>
              <w:right w:val="nil"/>
            </w:tcBorders>
            <w:shd w:val="clear" w:color="auto" w:fill="auto"/>
            <w:noWrap/>
            <w:vAlign w:val="bottom"/>
            <w:hideMark/>
          </w:tcPr>
          <w:p w:rsidR="00137DE0" w:rsidRPr="00421850" w:rsidRDefault="00137DE0" w:rsidP="00524079">
            <w:pPr>
              <w:rPr>
                <w:rFonts w:ascii="Calibri" w:hAnsi="Calibri"/>
                <w:color w:val="000000"/>
                <w:sz w:val="22"/>
                <w:szCs w:val="22"/>
              </w:rPr>
            </w:pPr>
            <w:r w:rsidRPr="00421850">
              <w:rPr>
                <w:rFonts w:ascii="Calibri" w:hAnsi="Calibri"/>
                <w:color w:val="000000"/>
                <w:sz w:val="22"/>
                <w:szCs w:val="22"/>
              </w:rPr>
              <w:t> </w:t>
            </w:r>
          </w:p>
        </w:tc>
        <w:tc>
          <w:tcPr>
            <w:tcW w:w="972" w:type="dxa"/>
            <w:tcBorders>
              <w:top w:val="nil"/>
              <w:left w:val="nil"/>
              <w:bottom w:val="single" w:sz="8" w:space="0" w:color="auto"/>
              <w:right w:val="nil"/>
            </w:tcBorders>
            <w:shd w:val="clear" w:color="auto" w:fill="auto"/>
            <w:noWrap/>
            <w:vAlign w:val="bottom"/>
            <w:hideMark/>
          </w:tcPr>
          <w:p w:rsidR="00137DE0" w:rsidRPr="00421850" w:rsidRDefault="00137DE0" w:rsidP="00524079">
            <w:pPr>
              <w:rPr>
                <w:rFonts w:ascii="Calibri" w:hAnsi="Calibri"/>
                <w:color w:val="000000"/>
                <w:sz w:val="22"/>
                <w:szCs w:val="22"/>
              </w:rPr>
            </w:pPr>
            <w:r w:rsidRPr="00421850">
              <w:rPr>
                <w:rFonts w:ascii="Calibri" w:hAnsi="Calibri"/>
                <w:color w:val="000000"/>
                <w:sz w:val="22"/>
                <w:szCs w:val="22"/>
              </w:rPr>
              <w:t> </w:t>
            </w:r>
          </w:p>
        </w:tc>
        <w:tc>
          <w:tcPr>
            <w:tcW w:w="960" w:type="dxa"/>
            <w:tcBorders>
              <w:top w:val="nil"/>
              <w:left w:val="nil"/>
              <w:bottom w:val="nil"/>
              <w:right w:val="nil"/>
            </w:tcBorders>
            <w:shd w:val="clear" w:color="auto" w:fill="auto"/>
            <w:noWrap/>
            <w:vAlign w:val="bottom"/>
            <w:hideMark/>
          </w:tcPr>
          <w:p w:rsidR="00137DE0" w:rsidRPr="00421850" w:rsidRDefault="00137DE0" w:rsidP="00524079">
            <w:pPr>
              <w:rPr>
                <w:rFonts w:ascii="Calibri" w:hAnsi="Calibri"/>
                <w:color w:val="000000"/>
                <w:sz w:val="22"/>
                <w:szCs w:val="22"/>
              </w:rPr>
            </w:pPr>
          </w:p>
        </w:tc>
      </w:tr>
    </w:tbl>
    <w:p w:rsidR="00137DE0" w:rsidRDefault="00137DE0" w:rsidP="00137DE0"/>
    <w:tbl>
      <w:tblPr>
        <w:tblW w:w="5235" w:type="dxa"/>
        <w:jc w:val="center"/>
        <w:tblLook w:val="04A0" w:firstRow="1" w:lastRow="0" w:firstColumn="1" w:lastColumn="0" w:noHBand="0" w:noVBand="1"/>
      </w:tblPr>
      <w:tblGrid>
        <w:gridCol w:w="3060"/>
        <w:gridCol w:w="1053"/>
        <w:gridCol w:w="1122"/>
      </w:tblGrid>
      <w:tr w:rsidR="00137DE0" w:rsidRPr="00421850" w:rsidTr="00524079">
        <w:trPr>
          <w:trHeight w:val="216"/>
          <w:jc w:val="center"/>
        </w:trPr>
        <w:tc>
          <w:tcPr>
            <w:tcW w:w="5235" w:type="dxa"/>
            <w:gridSpan w:val="3"/>
            <w:tcBorders>
              <w:top w:val="nil"/>
              <w:left w:val="nil"/>
              <w:bottom w:val="nil"/>
              <w:right w:val="nil"/>
            </w:tcBorders>
            <w:shd w:val="clear" w:color="auto" w:fill="auto"/>
            <w:noWrap/>
            <w:vAlign w:val="bottom"/>
            <w:hideMark/>
          </w:tcPr>
          <w:p w:rsidR="00137DE0" w:rsidRPr="00421850" w:rsidRDefault="00137DE0" w:rsidP="00524079">
            <w:pPr>
              <w:rPr>
                <w:rFonts w:ascii="Calibri" w:hAnsi="Calibri"/>
                <w:color w:val="000000"/>
                <w:sz w:val="22"/>
                <w:szCs w:val="22"/>
              </w:rPr>
            </w:pPr>
            <w:r w:rsidRPr="00421850">
              <w:rPr>
                <w:rFonts w:ascii="Calibri" w:hAnsi="Calibri"/>
                <w:color w:val="000000"/>
                <w:sz w:val="22"/>
                <w:szCs w:val="22"/>
              </w:rPr>
              <w:t>t-Test: Two-Sample Assuming Equal Variances</w:t>
            </w:r>
          </w:p>
        </w:tc>
      </w:tr>
      <w:tr w:rsidR="00137DE0" w:rsidRPr="00421850" w:rsidTr="00524079">
        <w:trPr>
          <w:trHeight w:val="117"/>
          <w:jc w:val="center"/>
        </w:trPr>
        <w:tc>
          <w:tcPr>
            <w:tcW w:w="3060" w:type="dxa"/>
            <w:tcBorders>
              <w:top w:val="nil"/>
              <w:left w:val="nil"/>
              <w:bottom w:val="nil"/>
              <w:right w:val="nil"/>
            </w:tcBorders>
            <w:shd w:val="clear" w:color="auto" w:fill="auto"/>
            <w:noWrap/>
            <w:vAlign w:val="bottom"/>
            <w:hideMark/>
          </w:tcPr>
          <w:p w:rsidR="00137DE0" w:rsidRPr="00421850" w:rsidRDefault="00137DE0" w:rsidP="00524079">
            <w:pPr>
              <w:rPr>
                <w:rFonts w:ascii="Calibri" w:hAnsi="Calibri"/>
                <w:color w:val="000000"/>
                <w:sz w:val="22"/>
                <w:szCs w:val="22"/>
              </w:rPr>
            </w:pPr>
          </w:p>
        </w:tc>
        <w:tc>
          <w:tcPr>
            <w:tcW w:w="1053" w:type="dxa"/>
            <w:tcBorders>
              <w:top w:val="nil"/>
              <w:left w:val="nil"/>
              <w:bottom w:val="nil"/>
              <w:right w:val="nil"/>
            </w:tcBorders>
            <w:shd w:val="clear" w:color="auto" w:fill="auto"/>
            <w:noWrap/>
            <w:vAlign w:val="bottom"/>
            <w:hideMark/>
          </w:tcPr>
          <w:p w:rsidR="00137DE0" w:rsidRPr="00421850" w:rsidRDefault="00137DE0" w:rsidP="00524079">
            <w:pPr>
              <w:rPr>
                <w:rFonts w:ascii="Calibri" w:hAnsi="Calibri"/>
                <w:color w:val="000000"/>
                <w:sz w:val="22"/>
                <w:szCs w:val="22"/>
              </w:rPr>
            </w:pPr>
          </w:p>
        </w:tc>
        <w:tc>
          <w:tcPr>
            <w:tcW w:w="1122" w:type="dxa"/>
            <w:tcBorders>
              <w:top w:val="nil"/>
              <w:left w:val="nil"/>
              <w:bottom w:val="nil"/>
              <w:right w:val="nil"/>
            </w:tcBorders>
            <w:shd w:val="clear" w:color="auto" w:fill="auto"/>
            <w:noWrap/>
            <w:vAlign w:val="bottom"/>
            <w:hideMark/>
          </w:tcPr>
          <w:p w:rsidR="00137DE0" w:rsidRPr="00421850" w:rsidRDefault="00137DE0" w:rsidP="00524079">
            <w:pPr>
              <w:rPr>
                <w:rFonts w:ascii="Calibri" w:hAnsi="Calibri"/>
                <w:color w:val="000000"/>
                <w:sz w:val="22"/>
                <w:szCs w:val="22"/>
              </w:rPr>
            </w:pPr>
          </w:p>
        </w:tc>
      </w:tr>
      <w:tr w:rsidR="00137DE0" w:rsidRPr="00421850" w:rsidTr="00524079">
        <w:trPr>
          <w:trHeight w:val="300"/>
          <w:jc w:val="center"/>
        </w:trPr>
        <w:tc>
          <w:tcPr>
            <w:tcW w:w="3060" w:type="dxa"/>
            <w:tcBorders>
              <w:top w:val="single" w:sz="8" w:space="0" w:color="auto"/>
              <w:left w:val="nil"/>
              <w:bottom w:val="single" w:sz="4" w:space="0" w:color="auto"/>
              <w:right w:val="nil"/>
            </w:tcBorders>
            <w:shd w:val="clear" w:color="auto" w:fill="auto"/>
            <w:noWrap/>
            <w:vAlign w:val="bottom"/>
            <w:hideMark/>
          </w:tcPr>
          <w:p w:rsidR="00137DE0" w:rsidRPr="00421850" w:rsidRDefault="00137DE0" w:rsidP="00524079">
            <w:pPr>
              <w:jc w:val="center"/>
              <w:rPr>
                <w:rFonts w:ascii="Calibri" w:hAnsi="Calibri"/>
                <w:i/>
                <w:iCs/>
                <w:color w:val="000000"/>
                <w:sz w:val="22"/>
                <w:szCs w:val="22"/>
              </w:rPr>
            </w:pPr>
            <w:r w:rsidRPr="00421850">
              <w:rPr>
                <w:rFonts w:ascii="Calibri" w:hAnsi="Calibri"/>
                <w:i/>
                <w:iCs/>
                <w:color w:val="000000"/>
                <w:sz w:val="22"/>
                <w:szCs w:val="22"/>
              </w:rPr>
              <w:t> </w:t>
            </w:r>
          </w:p>
        </w:tc>
        <w:tc>
          <w:tcPr>
            <w:tcW w:w="1053" w:type="dxa"/>
            <w:tcBorders>
              <w:top w:val="single" w:sz="8" w:space="0" w:color="auto"/>
              <w:left w:val="nil"/>
              <w:bottom w:val="single" w:sz="4" w:space="0" w:color="auto"/>
              <w:right w:val="nil"/>
            </w:tcBorders>
            <w:shd w:val="clear" w:color="auto" w:fill="auto"/>
            <w:noWrap/>
            <w:vAlign w:val="bottom"/>
            <w:hideMark/>
          </w:tcPr>
          <w:p w:rsidR="00137DE0" w:rsidRPr="00421850" w:rsidRDefault="00137DE0" w:rsidP="00524079">
            <w:pPr>
              <w:jc w:val="center"/>
              <w:rPr>
                <w:rFonts w:ascii="Calibri" w:hAnsi="Calibri"/>
                <w:i/>
                <w:iCs/>
                <w:color w:val="000000"/>
                <w:sz w:val="22"/>
                <w:szCs w:val="22"/>
              </w:rPr>
            </w:pPr>
            <w:r w:rsidRPr="00421850">
              <w:rPr>
                <w:rFonts w:ascii="Calibri" w:hAnsi="Calibri"/>
                <w:i/>
                <w:iCs/>
                <w:color w:val="000000"/>
                <w:sz w:val="22"/>
                <w:szCs w:val="22"/>
              </w:rPr>
              <w:t>1116 F14</w:t>
            </w:r>
          </w:p>
        </w:tc>
        <w:tc>
          <w:tcPr>
            <w:tcW w:w="1122" w:type="dxa"/>
            <w:tcBorders>
              <w:top w:val="single" w:sz="8" w:space="0" w:color="auto"/>
              <w:left w:val="nil"/>
              <w:bottom w:val="single" w:sz="4" w:space="0" w:color="auto"/>
              <w:right w:val="nil"/>
            </w:tcBorders>
            <w:shd w:val="clear" w:color="auto" w:fill="auto"/>
            <w:noWrap/>
            <w:vAlign w:val="bottom"/>
            <w:hideMark/>
          </w:tcPr>
          <w:p w:rsidR="00137DE0" w:rsidRPr="00421850" w:rsidRDefault="00137DE0" w:rsidP="00524079">
            <w:pPr>
              <w:jc w:val="center"/>
              <w:rPr>
                <w:rFonts w:ascii="Calibri" w:hAnsi="Calibri"/>
                <w:i/>
                <w:iCs/>
                <w:color w:val="000000"/>
                <w:sz w:val="22"/>
                <w:szCs w:val="22"/>
              </w:rPr>
            </w:pPr>
            <w:r w:rsidRPr="00421850">
              <w:rPr>
                <w:rFonts w:ascii="Calibri" w:hAnsi="Calibri"/>
                <w:i/>
                <w:iCs/>
                <w:color w:val="000000"/>
                <w:sz w:val="22"/>
                <w:szCs w:val="22"/>
              </w:rPr>
              <w:t>1116 F12</w:t>
            </w:r>
          </w:p>
        </w:tc>
      </w:tr>
      <w:tr w:rsidR="00137DE0" w:rsidRPr="00421850" w:rsidTr="00524079">
        <w:trPr>
          <w:trHeight w:val="300"/>
          <w:jc w:val="center"/>
        </w:trPr>
        <w:tc>
          <w:tcPr>
            <w:tcW w:w="3060" w:type="dxa"/>
            <w:tcBorders>
              <w:top w:val="nil"/>
              <w:left w:val="nil"/>
              <w:bottom w:val="nil"/>
              <w:right w:val="nil"/>
            </w:tcBorders>
            <w:shd w:val="clear" w:color="auto" w:fill="auto"/>
            <w:noWrap/>
            <w:vAlign w:val="bottom"/>
            <w:hideMark/>
          </w:tcPr>
          <w:p w:rsidR="00137DE0" w:rsidRPr="00421850" w:rsidRDefault="00137DE0" w:rsidP="00524079">
            <w:pPr>
              <w:rPr>
                <w:rFonts w:ascii="Calibri" w:hAnsi="Calibri"/>
                <w:color w:val="000000"/>
                <w:sz w:val="22"/>
                <w:szCs w:val="22"/>
              </w:rPr>
            </w:pPr>
            <w:r w:rsidRPr="00421850">
              <w:rPr>
                <w:rFonts w:ascii="Calibri" w:hAnsi="Calibri"/>
                <w:color w:val="000000"/>
                <w:sz w:val="22"/>
                <w:szCs w:val="22"/>
              </w:rPr>
              <w:t>Mean</w:t>
            </w:r>
          </w:p>
        </w:tc>
        <w:tc>
          <w:tcPr>
            <w:tcW w:w="1053" w:type="dxa"/>
            <w:tcBorders>
              <w:top w:val="nil"/>
              <w:left w:val="nil"/>
              <w:bottom w:val="nil"/>
              <w:right w:val="nil"/>
            </w:tcBorders>
            <w:shd w:val="clear" w:color="auto" w:fill="auto"/>
            <w:noWrap/>
            <w:vAlign w:val="bottom"/>
            <w:hideMark/>
          </w:tcPr>
          <w:p w:rsidR="00137DE0" w:rsidRPr="00421850" w:rsidRDefault="00137DE0" w:rsidP="00524079">
            <w:pPr>
              <w:jc w:val="right"/>
              <w:rPr>
                <w:rFonts w:ascii="Calibri" w:hAnsi="Calibri"/>
                <w:color w:val="000000"/>
                <w:sz w:val="22"/>
                <w:szCs w:val="22"/>
              </w:rPr>
            </w:pPr>
            <w:r w:rsidRPr="00421850">
              <w:rPr>
                <w:rFonts w:ascii="Calibri" w:hAnsi="Calibri"/>
                <w:color w:val="000000"/>
                <w:sz w:val="22"/>
                <w:szCs w:val="22"/>
              </w:rPr>
              <w:t>89.20</w:t>
            </w:r>
          </w:p>
        </w:tc>
        <w:tc>
          <w:tcPr>
            <w:tcW w:w="1122" w:type="dxa"/>
            <w:tcBorders>
              <w:top w:val="nil"/>
              <w:left w:val="nil"/>
              <w:bottom w:val="nil"/>
              <w:right w:val="nil"/>
            </w:tcBorders>
            <w:shd w:val="clear" w:color="auto" w:fill="auto"/>
            <w:noWrap/>
            <w:vAlign w:val="bottom"/>
            <w:hideMark/>
          </w:tcPr>
          <w:p w:rsidR="00137DE0" w:rsidRPr="00421850" w:rsidRDefault="00137DE0" w:rsidP="00524079">
            <w:pPr>
              <w:jc w:val="right"/>
              <w:rPr>
                <w:rFonts w:ascii="Calibri" w:hAnsi="Calibri"/>
                <w:color w:val="000000"/>
                <w:sz w:val="22"/>
                <w:szCs w:val="22"/>
              </w:rPr>
            </w:pPr>
            <w:r w:rsidRPr="00421850">
              <w:rPr>
                <w:rFonts w:ascii="Calibri" w:hAnsi="Calibri"/>
                <w:color w:val="000000"/>
                <w:sz w:val="22"/>
                <w:szCs w:val="22"/>
              </w:rPr>
              <w:t>84.12</w:t>
            </w:r>
          </w:p>
        </w:tc>
      </w:tr>
      <w:tr w:rsidR="00137DE0" w:rsidRPr="00421850" w:rsidTr="00524079">
        <w:trPr>
          <w:trHeight w:val="300"/>
          <w:jc w:val="center"/>
        </w:trPr>
        <w:tc>
          <w:tcPr>
            <w:tcW w:w="3060" w:type="dxa"/>
            <w:tcBorders>
              <w:top w:val="nil"/>
              <w:left w:val="nil"/>
              <w:bottom w:val="nil"/>
              <w:right w:val="nil"/>
            </w:tcBorders>
            <w:shd w:val="clear" w:color="auto" w:fill="auto"/>
            <w:noWrap/>
            <w:vAlign w:val="bottom"/>
            <w:hideMark/>
          </w:tcPr>
          <w:p w:rsidR="00137DE0" w:rsidRPr="00421850" w:rsidRDefault="00137DE0" w:rsidP="00524079">
            <w:pPr>
              <w:rPr>
                <w:rFonts w:ascii="Calibri" w:hAnsi="Calibri"/>
                <w:color w:val="000000"/>
                <w:sz w:val="22"/>
                <w:szCs w:val="22"/>
              </w:rPr>
            </w:pPr>
            <w:r w:rsidRPr="00421850">
              <w:rPr>
                <w:rFonts w:ascii="Calibri" w:hAnsi="Calibri"/>
                <w:color w:val="000000"/>
                <w:sz w:val="22"/>
                <w:szCs w:val="22"/>
              </w:rPr>
              <w:t>Variance</w:t>
            </w:r>
          </w:p>
        </w:tc>
        <w:tc>
          <w:tcPr>
            <w:tcW w:w="1053" w:type="dxa"/>
            <w:tcBorders>
              <w:top w:val="nil"/>
              <w:left w:val="nil"/>
              <w:bottom w:val="nil"/>
              <w:right w:val="nil"/>
            </w:tcBorders>
            <w:shd w:val="clear" w:color="auto" w:fill="auto"/>
            <w:noWrap/>
            <w:vAlign w:val="bottom"/>
            <w:hideMark/>
          </w:tcPr>
          <w:p w:rsidR="00137DE0" w:rsidRPr="00421850" w:rsidRDefault="00137DE0" w:rsidP="00524079">
            <w:pPr>
              <w:jc w:val="right"/>
              <w:rPr>
                <w:rFonts w:ascii="Calibri" w:hAnsi="Calibri"/>
                <w:color w:val="000000"/>
                <w:sz w:val="22"/>
                <w:szCs w:val="22"/>
              </w:rPr>
            </w:pPr>
            <w:r w:rsidRPr="00421850">
              <w:rPr>
                <w:rFonts w:ascii="Calibri" w:hAnsi="Calibri"/>
                <w:color w:val="000000"/>
                <w:sz w:val="22"/>
                <w:szCs w:val="22"/>
              </w:rPr>
              <w:t>32.64</w:t>
            </w:r>
          </w:p>
        </w:tc>
        <w:tc>
          <w:tcPr>
            <w:tcW w:w="1122" w:type="dxa"/>
            <w:tcBorders>
              <w:top w:val="nil"/>
              <w:left w:val="nil"/>
              <w:bottom w:val="nil"/>
              <w:right w:val="nil"/>
            </w:tcBorders>
            <w:shd w:val="clear" w:color="auto" w:fill="auto"/>
            <w:noWrap/>
            <w:vAlign w:val="bottom"/>
            <w:hideMark/>
          </w:tcPr>
          <w:p w:rsidR="00137DE0" w:rsidRPr="00421850" w:rsidRDefault="00137DE0" w:rsidP="00524079">
            <w:pPr>
              <w:jc w:val="right"/>
              <w:rPr>
                <w:rFonts w:ascii="Calibri" w:hAnsi="Calibri"/>
                <w:color w:val="000000"/>
                <w:sz w:val="22"/>
                <w:szCs w:val="22"/>
              </w:rPr>
            </w:pPr>
            <w:r w:rsidRPr="00421850">
              <w:rPr>
                <w:rFonts w:ascii="Calibri" w:hAnsi="Calibri"/>
                <w:color w:val="000000"/>
                <w:sz w:val="22"/>
                <w:szCs w:val="22"/>
              </w:rPr>
              <w:t>30.97</w:t>
            </w:r>
          </w:p>
        </w:tc>
      </w:tr>
      <w:tr w:rsidR="00137DE0" w:rsidRPr="00421850" w:rsidTr="00524079">
        <w:trPr>
          <w:trHeight w:val="300"/>
          <w:jc w:val="center"/>
        </w:trPr>
        <w:tc>
          <w:tcPr>
            <w:tcW w:w="3060" w:type="dxa"/>
            <w:tcBorders>
              <w:top w:val="nil"/>
              <w:left w:val="nil"/>
              <w:bottom w:val="nil"/>
              <w:right w:val="nil"/>
            </w:tcBorders>
            <w:shd w:val="clear" w:color="auto" w:fill="auto"/>
            <w:noWrap/>
            <w:vAlign w:val="bottom"/>
            <w:hideMark/>
          </w:tcPr>
          <w:p w:rsidR="00137DE0" w:rsidRPr="00421850" w:rsidRDefault="00137DE0" w:rsidP="00524079">
            <w:pPr>
              <w:rPr>
                <w:rFonts w:ascii="Calibri" w:hAnsi="Calibri"/>
                <w:color w:val="000000"/>
                <w:sz w:val="22"/>
                <w:szCs w:val="22"/>
              </w:rPr>
            </w:pPr>
            <w:r w:rsidRPr="00421850">
              <w:rPr>
                <w:rFonts w:ascii="Calibri" w:hAnsi="Calibri"/>
                <w:color w:val="000000"/>
                <w:sz w:val="22"/>
                <w:szCs w:val="22"/>
              </w:rPr>
              <w:t>Observations</w:t>
            </w:r>
          </w:p>
        </w:tc>
        <w:tc>
          <w:tcPr>
            <w:tcW w:w="1053" w:type="dxa"/>
            <w:tcBorders>
              <w:top w:val="nil"/>
              <w:left w:val="nil"/>
              <w:bottom w:val="nil"/>
              <w:right w:val="nil"/>
            </w:tcBorders>
            <w:shd w:val="clear" w:color="auto" w:fill="auto"/>
            <w:noWrap/>
            <w:vAlign w:val="bottom"/>
            <w:hideMark/>
          </w:tcPr>
          <w:p w:rsidR="00137DE0" w:rsidRPr="00421850" w:rsidRDefault="00137DE0" w:rsidP="00524079">
            <w:pPr>
              <w:jc w:val="right"/>
              <w:rPr>
                <w:rFonts w:ascii="Calibri" w:hAnsi="Calibri"/>
                <w:color w:val="000000"/>
                <w:sz w:val="22"/>
                <w:szCs w:val="22"/>
              </w:rPr>
            </w:pPr>
            <w:r w:rsidRPr="00421850">
              <w:rPr>
                <w:rFonts w:ascii="Calibri" w:hAnsi="Calibri"/>
                <w:color w:val="000000"/>
                <w:sz w:val="22"/>
                <w:szCs w:val="22"/>
              </w:rPr>
              <w:t>46</w:t>
            </w:r>
          </w:p>
        </w:tc>
        <w:tc>
          <w:tcPr>
            <w:tcW w:w="1122" w:type="dxa"/>
            <w:tcBorders>
              <w:top w:val="nil"/>
              <w:left w:val="nil"/>
              <w:bottom w:val="nil"/>
              <w:right w:val="nil"/>
            </w:tcBorders>
            <w:shd w:val="clear" w:color="auto" w:fill="auto"/>
            <w:noWrap/>
            <w:vAlign w:val="bottom"/>
            <w:hideMark/>
          </w:tcPr>
          <w:p w:rsidR="00137DE0" w:rsidRPr="00421850" w:rsidRDefault="00137DE0" w:rsidP="00524079">
            <w:pPr>
              <w:jc w:val="right"/>
              <w:rPr>
                <w:rFonts w:ascii="Calibri" w:hAnsi="Calibri"/>
                <w:color w:val="000000"/>
                <w:sz w:val="22"/>
                <w:szCs w:val="22"/>
              </w:rPr>
            </w:pPr>
            <w:r w:rsidRPr="00421850">
              <w:rPr>
                <w:rFonts w:ascii="Calibri" w:hAnsi="Calibri"/>
                <w:color w:val="000000"/>
                <w:sz w:val="22"/>
                <w:szCs w:val="22"/>
              </w:rPr>
              <w:t>41</w:t>
            </w:r>
          </w:p>
        </w:tc>
      </w:tr>
      <w:tr w:rsidR="00137DE0" w:rsidRPr="00421850" w:rsidTr="00524079">
        <w:trPr>
          <w:trHeight w:val="300"/>
          <w:jc w:val="center"/>
        </w:trPr>
        <w:tc>
          <w:tcPr>
            <w:tcW w:w="3060" w:type="dxa"/>
            <w:tcBorders>
              <w:top w:val="nil"/>
              <w:left w:val="nil"/>
              <w:bottom w:val="nil"/>
              <w:right w:val="nil"/>
            </w:tcBorders>
            <w:shd w:val="clear" w:color="auto" w:fill="auto"/>
            <w:noWrap/>
            <w:vAlign w:val="bottom"/>
            <w:hideMark/>
          </w:tcPr>
          <w:p w:rsidR="00137DE0" w:rsidRPr="00421850" w:rsidRDefault="00137DE0" w:rsidP="00524079">
            <w:pPr>
              <w:rPr>
                <w:rFonts w:ascii="Calibri" w:hAnsi="Calibri"/>
                <w:color w:val="000000"/>
                <w:sz w:val="22"/>
                <w:szCs w:val="22"/>
              </w:rPr>
            </w:pPr>
            <w:r w:rsidRPr="00421850">
              <w:rPr>
                <w:rFonts w:ascii="Calibri" w:hAnsi="Calibri"/>
                <w:color w:val="000000"/>
                <w:sz w:val="22"/>
                <w:szCs w:val="22"/>
              </w:rPr>
              <w:t>Pooled Variance</w:t>
            </w:r>
          </w:p>
        </w:tc>
        <w:tc>
          <w:tcPr>
            <w:tcW w:w="1053" w:type="dxa"/>
            <w:tcBorders>
              <w:top w:val="nil"/>
              <w:left w:val="nil"/>
              <w:bottom w:val="nil"/>
              <w:right w:val="nil"/>
            </w:tcBorders>
            <w:shd w:val="clear" w:color="auto" w:fill="auto"/>
            <w:noWrap/>
            <w:vAlign w:val="bottom"/>
            <w:hideMark/>
          </w:tcPr>
          <w:p w:rsidR="00137DE0" w:rsidRPr="00421850" w:rsidRDefault="00137DE0" w:rsidP="00524079">
            <w:pPr>
              <w:jc w:val="right"/>
              <w:rPr>
                <w:rFonts w:ascii="Calibri" w:hAnsi="Calibri"/>
                <w:color w:val="000000"/>
                <w:sz w:val="22"/>
                <w:szCs w:val="22"/>
              </w:rPr>
            </w:pPr>
            <w:r w:rsidRPr="00421850">
              <w:rPr>
                <w:rFonts w:ascii="Calibri" w:hAnsi="Calibri"/>
                <w:color w:val="000000"/>
                <w:sz w:val="22"/>
                <w:szCs w:val="22"/>
              </w:rPr>
              <w:t>31.85</w:t>
            </w:r>
          </w:p>
        </w:tc>
        <w:tc>
          <w:tcPr>
            <w:tcW w:w="1122" w:type="dxa"/>
            <w:tcBorders>
              <w:top w:val="nil"/>
              <w:left w:val="nil"/>
              <w:bottom w:val="nil"/>
              <w:right w:val="nil"/>
            </w:tcBorders>
            <w:shd w:val="clear" w:color="auto" w:fill="auto"/>
            <w:noWrap/>
            <w:vAlign w:val="bottom"/>
            <w:hideMark/>
          </w:tcPr>
          <w:p w:rsidR="00137DE0" w:rsidRPr="00421850" w:rsidRDefault="00137DE0" w:rsidP="00524079">
            <w:pPr>
              <w:rPr>
                <w:rFonts w:ascii="Calibri" w:hAnsi="Calibri"/>
                <w:color w:val="000000"/>
                <w:sz w:val="22"/>
                <w:szCs w:val="22"/>
              </w:rPr>
            </w:pPr>
          </w:p>
        </w:tc>
      </w:tr>
      <w:tr w:rsidR="00137DE0" w:rsidRPr="00421850" w:rsidTr="00524079">
        <w:trPr>
          <w:trHeight w:val="300"/>
          <w:jc w:val="center"/>
        </w:trPr>
        <w:tc>
          <w:tcPr>
            <w:tcW w:w="3060" w:type="dxa"/>
            <w:tcBorders>
              <w:top w:val="nil"/>
              <w:left w:val="nil"/>
              <w:bottom w:val="nil"/>
              <w:right w:val="nil"/>
            </w:tcBorders>
            <w:shd w:val="clear" w:color="auto" w:fill="auto"/>
            <w:noWrap/>
            <w:vAlign w:val="bottom"/>
            <w:hideMark/>
          </w:tcPr>
          <w:p w:rsidR="00137DE0" w:rsidRPr="00421850" w:rsidRDefault="00137DE0" w:rsidP="00524079">
            <w:pPr>
              <w:rPr>
                <w:rFonts w:ascii="Calibri" w:hAnsi="Calibri"/>
                <w:color w:val="000000"/>
                <w:sz w:val="22"/>
                <w:szCs w:val="22"/>
              </w:rPr>
            </w:pPr>
            <w:r w:rsidRPr="00421850">
              <w:rPr>
                <w:rFonts w:ascii="Calibri" w:hAnsi="Calibri"/>
                <w:color w:val="000000"/>
                <w:sz w:val="22"/>
                <w:szCs w:val="22"/>
              </w:rPr>
              <w:t>Hypothesized Mean Difference</w:t>
            </w:r>
          </w:p>
        </w:tc>
        <w:tc>
          <w:tcPr>
            <w:tcW w:w="1053" w:type="dxa"/>
            <w:tcBorders>
              <w:top w:val="nil"/>
              <w:left w:val="nil"/>
              <w:bottom w:val="nil"/>
              <w:right w:val="nil"/>
            </w:tcBorders>
            <w:shd w:val="clear" w:color="auto" w:fill="auto"/>
            <w:noWrap/>
            <w:vAlign w:val="bottom"/>
            <w:hideMark/>
          </w:tcPr>
          <w:p w:rsidR="00137DE0" w:rsidRPr="00421850" w:rsidRDefault="00137DE0" w:rsidP="00524079">
            <w:pPr>
              <w:jc w:val="right"/>
              <w:rPr>
                <w:rFonts w:ascii="Calibri" w:hAnsi="Calibri"/>
                <w:color w:val="000000"/>
                <w:sz w:val="22"/>
                <w:szCs w:val="22"/>
              </w:rPr>
            </w:pPr>
            <w:r w:rsidRPr="00421850">
              <w:rPr>
                <w:rFonts w:ascii="Calibri" w:hAnsi="Calibri"/>
                <w:color w:val="000000"/>
                <w:sz w:val="22"/>
                <w:szCs w:val="22"/>
              </w:rPr>
              <w:t>0</w:t>
            </w:r>
          </w:p>
        </w:tc>
        <w:tc>
          <w:tcPr>
            <w:tcW w:w="1122" w:type="dxa"/>
            <w:tcBorders>
              <w:top w:val="nil"/>
              <w:left w:val="nil"/>
              <w:bottom w:val="nil"/>
              <w:right w:val="nil"/>
            </w:tcBorders>
            <w:shd w:val="clear" w:color="auto" w:fill="auto"/>
            <w:noWrap/>
            <w:vAlign w:val="bottom"/>
            <w:hideMark/>
          </w:tcPr>
          <w:p w:rsidR="00137DE0" w:rsidRPr="00421850" w:rsidRDefault="00137DE0" w:rsidP="00524079">
            <w:pPr>
              <w:rPr>
                <w:rFonts w:ascii="Calibri" w:hAnsi="Calibri"/>
                <w:color w:val="000000"/>
                <w:sz w:val="22"/>
                <w:szCs w:val="22"/>
              </w:rPr>
            </w:pPr>
          </w:p>
        </w:tc>
      </w:tr>
      <w:tr w:rsidR="00137DE0" w:rsidRPr="00421850" w:rsidTr="00524079">
        <w:trPr>
          <w:trHeight w:val="300"/>
          <w:jc w:val="center"/>
        </w:trPr>
        <w:tc>
          <w:tcPr>
            <w:tcW w:w="3060" w:type="dxa"/>
            <w:tcBorders>
              <w:top w:val="nil"/>
              <w:left w:val="nil"/>
              <w:bottom w:val="nil"/>
              <w:right w:val="nil"/>
            </w:tcBorders>
            <w:shd w:val="clear" w:color="auto" w:fill="auto"/>
            <w:noWrap/>
            <w:vAlign w:val="bottom"/>
            <w:hideMark/>
          </w:tcPr>
          <w:p w:rsidR="00137DE0" w:rsidRPr="00421850" w:rsidRDefault="00137DE0" w:rsidP="00524079">
            <w:pPr>
              <w:rPr>
                <w:rFonts w:ascii="Calibri" w:hAnsi="Calibri"/>
                <w:color w:val="000000"/>
                <w:sz w:val="22"/>
                <w:szCs w:val="22"/>
              </w:rPr>
            </w:pPr>
            <w:r w:rsidRPr="00421850">
              <w:rPr>
                <w:rFonts w:ascii="Calibri" w:hAnsi="Calibri"/>
                <w:color w:val="000000"/>
                <w:sz w:val="22"/>
                <w:szCs w:val="22"/>
              </w:rPr>
              <w:t>df</w:t>
            </w:r>
          </w:p>
        </w:tc>
        <w:tc>
          <w:tcPr>
            <w:tcW w:w="1053" w:type="dxa"/>
            <w:tcBorders>
              <w:top w:val="nil"/>
              <w:left w:val="nil"/>
              <w:bottom w:val="nil"/>
              <w:right w:val="nil"/>
            </w:tcBorders>
            <w:shd w:val="clear" w:color="auto" w:fill="auto"/>
            <w:noWrap/>
            <w:vAlign w:val="bottom"/>
            <w:hideMark/>
          </w:tcPr>
          <w:p w:rsidR="00137DE0" w:rsidRPr="00421850" w:rsidRDefault="00137DE0" w:rsidP="00524079">
            <w:pPr>
              <w:jc w:val="right"/>
              <w:rPr>
                <w:rFonts w:ascii="Calibri" w:hAnsi="Calibri"/>
                <w:color w:val="000000"/>
                <w:sz w:val="22"/>
                <w:szCs w:val="22"/>
              </w:rPr>
            </w:pPr>
            <w:r w:rsidRPr="00421850">
              <w:rPr>
                <w:rFonts w:ascii="Calibri" w:hAnsi="Calibri"/>
                <w:color w:val="000000"/>
                <w:sz w:val="22"/>
                <w:szCs w:val="22"/>
              </w:rPr>
              <w:t>85</w:t>
            </w:r>
          </w:p>
        </w:tc>
        <w:tc>
          <w:tcPr>
            <w:tcW w:w="1122" w:type="dxa"/>
            <w:tcBorders>
              <w:top w:val="nil"/>
              <w:left w:val="nil"/>
              <w:bottom w:val="nil"/>
              <w:right w:val="nil"/>
            </w:tcBorders>
            <w:shd w:val="clear" w:color="auto" w:fill="auto"/>
            <w:noWrap/>
            <w:vAlign w:val="bottom"/>
            <w:hideMark/>
          </w:tcPr>
          <w:p w:rsidR="00137DE0" w:rsidRPr="00421850" w:rsidRDefault="00137DE0" w:rsidP="00524079">
            <w:pPr>
              <w:rPr>
                <w:rFonts w:ascii="Calibri" w:hAnsi="Calibri"/>
                <w:color w:val="000000"/>
                <w:sz w:val="22"/>
                <w:szCs w:val="22"/>
              </w:rPr>
            </w:pPr>
          </w:p>
        </w:tc>
      </w:tr>
      <w:tr w:rsidR="00137DE0" w:rsidRPr="00421850" w:rsidTr="00524079">
        <w:trPr>
          <w:trHeight w:val="300"/>
          <w:jc w:val="center"/>
        </w:trPr>
        <w:tc>
          <w:tcPr>
            <w:tcW w:w="3060" w:type="dxa"/>
            <w:tcBorders>
              <w:top w:val="nil"/>
              <w:left w:val="nil"/>
              <w:bottom w:val="nil"/>
              <w:right w:val="nil"/>
            </w:tcBorders>
            <w:shd w:val="clear" w:color="auto" w:fill="auto"/>
            <w:noWrap/>
            <w:vAlign w:val="bottom"/>
            <w:hideMark/>
          </w:tcPr>
          <w:p w:rsidR="00137DE0" w:rsidRPr="00421850" w:rsidRDefault="00137DE0" w:rsidP="00524079">
            <w:pPr>
              <w:rPr>
                <w:rFonts w:ascii="Calibri" w:hAnsi="Calibri"/>
                <w:color w:val="000000"/>
                <w:sz w:val="22"/>
                <w:szCs w:val="22"/>
              </w:rPr>
            </w:pPr>
            <w:r w:rsidRPr="00421850">
              <w:rPr>
                <w:rFonts w:ascii="Calibri" w:hAnsi="Calibri"/>
                <w:color w:val="000000"/>
                <w:sz w:val="22"/>
                <w:szCs w:val="22"/>
              </w:rPr>
              <w:t>t Stat</w:t>
            </w:r>
          </w:p>
        </w:tc>
        <w:tc>
          <w:tcPr>
            <w:tcW w:w="1053" w:type="dxa"/>
            <w:tcBorders>
              <w:top w:val="nil"/>
              <w:left w:val="nil"/>
              <w:bottom w:val="nil"/>
              <w:right w:val="nil"/>
            </w:tcBorders>
            <w:shd w:val="clear" w:color="auto" w:fill="auto"/>
            <w:noWrap/>
            <w:vAlign w:val="bottom"/>
            <w:hideMark/>
          </w:tcPr>
          <w:p w:rsidR="00137DE0" w:rsidRPr="00421850" w:rsidRDefault="00137DE0" w:rsidP="00524079">
            <w:pPr>
              <w:jc w:val="right"/>
              <w:rPr>
                <w:rFonts w:ascii="Calibri" w:hAnsi="Calibri"/>
                <w:color w:val="000000"/>
                <w:sz w:val="22"/>
                <w:szCs w:val="22"/>
              </w:rPr>
            </w:pPr>
            <w:r w:rsidRPr="00421850">
              <w:rPr>
                <w:rFonts w:ascii="Calibri" w:hAnsi="Calibri"/>
                <w:color w:val="000000"/>
                <w:sz w:val="22"/>
                <w:szCs w:val="22"/>
                <w:highlight w:val="yellow"/>
              </w:rPr>
              <w:t>4.20</w:t>
            </w:r>
          </w:p>
        </w:tc>
        <w:tc>
          <w:tcPr>
            <w:tcW w:w="1122" w:type="dxa"/>
            <w:tcBorders>
              <w:top w:val="nil"/>
              <w:left w:val="nil"/>
              <w:bottom w:val="nil"/>
              <w:right w:val="nil"/>
            </w:tcBorders>
            <w:shd w:val="clear" w:color="auto" w:fill="auto"/>
            <w:noWrap/>
            <w:vAlign w:val="bottom"/>
            <w:hideMark/>
          </w:tcPr>
          <w:p w:rsidR="00137DE0" w:rsidRPr="00421850" w:rsidRDefault="00137DE0" w:rsidP="00524079">
            <w:pPr>
              <w:rPr>
                <w:rFonts w:ascii="Calibri" w:hAnsi="Calibri"/>
                <w:color w:val="000000"/>
                <w:sz w:val="22"/>
                <w:szCs w:val="22"/>
              </w:rPr>
            </w:pPr>
          </w:p>
        </w:tc>
      </w:tr>
      <w:tr w:rsidR="00137DE0" w:rsidRPr="00421850" w:rsidTr="00524079">
        <w:trPr>
          <w:trHeight w:val="300"/>
          <w:jc w:val="center"/>
        </w:trPr>
        <w:tc>
          <w:tcPr>
            <w:tcW w:w="3060" w:type="dxa"/>
            <w:tcBorders>
              <w:top w:val="nil"/>
              <w:left w:val="nil"/>
              <w:bottom w:val="nil"/>
              <w:right w:val="nil"/>
            </w:tcBorders>
            <w:shd w:val="clear" w:color="auto" w:fill="auto"/>
            <w:noWrap/>
            <w:vAlign w:val="bottom"/>
            <w:hideMark/>
          </w:tcPr>
          <w:p w:rsidR="00137DE0" w:rsidRPr="00421850" w:rsidRDefault="00137DE0" w:rsidP="00524079">
            <w:pPr>
              <w:rPr>
                <w:rFonts w:ascii="Calibri" w:hAnsi="Calibri"/>
                <w:color w:val="000000"/>
                <w:sz w:val="22"/>
                <w:szCs w:val="22"/>
              </w:rPr>
            </w:pPr>
            <w:r w:rsidRPr="00421850">
              <w:rPr>
                <w:rFonts w:ascii="Calibri" w:hAnsi="Calibri"/>
                <w:color w:val="000000"/>
                <w:sz w:val="22"/>
                <w:szCs w:val="22"/>
              </w:rPr>
              <w:t>P(T&lt;=t) one-tail</w:t>
            </w:r>
          </w:p>
        </w:tc>
        <w:tc>
          <w:tcPr>
            <w:tcW w:w="1053" w:type="dxa"/>
            <w:tcBorders>
              <w:top w:val="nil"/>
              <w:left w:val="nil"/>
              <w:bottom w:val="nil"/>
              <w:right w:val="nil"/>
            </w:tcBorders>
            <w:shd w:val="clear" w:color="auto" w:fill="auto"/>
            <w:noWrap/>
            <w:vAlign w:val="bottom"/>
            <w:hideMark/>
          </w:tcPr>
          <w:p w:rsidR="00137DE0" w:rsidRPr="00421850" w:rsidRDefault="00137DE0" w:rsidP="00524079">
            <w:pPr>
              <w:jc w:val="right"/>
              <w:rPr>
                <w:rFonts w:ascii="Calibri" w:hAnsi="Calibri"/>
                <w:color w:val="000000"/>
                <w:sz w:val="22"/>
                <w:szCs w:val="22"/>
              </w:rPr>
            </w:pPr>
            <w:r w:rsidRPr="00421850">
              <w:rPr>
                <w:rFonts w:ascii="Calibri" w:hAnsi="Calibri"/>
                <w:color w:val="000000"/>
                <w:sz w:val="22"/>
                <w:szCs w:val="22"/>
              </w:rPr>
              <w:t>3.33E-05</w:t>
            </w:r>
          </w:p>
        </w:tc>
        <w:tc>
          <w:tcPr>
            <w:tcW w:w="1122" w:type="dxa"/>
            <w:tcBorders>
              <w:top w:val="nil"/>
              <w:left w:val="nil"/>
              <w:bottom w:val="nil"/>
              <w:right w:val="nil"/>
            </w:tcBorders>
            <w:shd w:val="clear" w:color="auto" w:fill="auto"/>
            <w:noWrap/>
            <w:vAlign w:val="bottom"/>
            <w:hideMark/>
          </w:tcPr>
          <w:p w:rsidR="00137DE0" w:rsidRPr="00421850" w:rsidRDefault="00137DE0" w:rsidP="00524079">
            <w:pPr>
              <w:rPr>
                <w:rFonts w:ascii="Calibri" w:hAnsi="Calibri"/>
                <w:color w:val="000000"/>
                <w:sz w:val="22"/>
                <w:szCs w:val="22"/>
              </w:rPr>
            </w:pPr>
          </w:p>
        </w:tc>
      </w:tr>
      <w:tr w:rsidR="00137DE0" w:rsidRPr="00421850" w:rsidTr="00524079">
        <w:trPr>
          <w:trHeight w:val="300"/>
          <w:jc w:val="center"/>
        </w:trPr>
        <w:tc>
          <w:tcPr>
            <w:tcW w:w="3060" w:type="dxa"/>
            <w:tcBorders>
              <w:top w:val="nil"/>
              <w:left w:val="nil"/>
              <w:bottom w:val="nil"/>
              <w:right w:val="nil"/>
            </w:tcBorders>
            <w:shd w:val="clear" w:color="auto" w:fill="auto"/>
            <w:noWrap/>
            <w:vAlign w:val="bottom"/>
            <w:hideMark/>
          </w:tcPr>
          <w:p w:rsidR="00137DE0" w:rsidRPr="00421850" w:rsidRDefault="00137DE0" w:rsidP="00524079">
            <w:pPr>
              <w:rPr>
                <w:rFonts w:ascii="Calibri" w:hAnsi="Calibri"/>
                <w:color w:val="000000"/>
                <w:sz w:val="22"/>
                <w:szCs w:val="22"/>
              </w:rPr>
            </w:pPr>
            <w:r w:rsidRPr="00421850">
              <w:rPr>
                <w:rFonts w:ascii="Calibri" w:hAnsi="Calibri"/>
                <w:color w:val="000000"/>
                <w:sz w:val="22"/>
                <w:szCs w:val="22"/>
              </w:rPr>
              <w:t>t Critical one-tail</w:t>
            </w:r>
          </w:p>
        </w:tc>
        <w:tc>
          <w:tcPr>
            <w:tcW w:w="1053" w:type="dxa"/>
            <w:tcBorders>
              <w:top w:val="nil"/>
              <w:left w:val="nil"/>
              <w:bottom w:val="nil"/>
              <w:right w:val="nil"/>
            </w:tcBorders>
            <w:shd w:val="clear" w:color="auto" w:fill="auto"/>
            <w:noWrap/>
            <w:vAlign w:val="bottom"/>
            <w:hideMark/>
          </w:tcPr>
          <w:p w:rsidR="00137DE0" w:rsidRPr="00421850" w:rsidRDefault="00137DE0" w:rsidP="00524079">
            <w:pPr>
              <w:jc w:val="right"/>
              <w:rPr>
                <w:rFonts w:ascii="Calibri" w:hAnsi="Calibri"/>
                <w:color w:val="000000"/>
                <w:sz w:val="22"/>
                <w:szCs w:val="22"/>
              </w:rPr>
            </w:pPr>
            <w:r w:rsidRPr="00421850">
              <w:rPr>
                <w:rFonts w:ascii="Calibri" w:hAnsi="Calibri"/>
                <w:color w:val="000000"/>
                <w:sz w:val="22"/>
                <w:szCs w:val="22"/>
              </w:rPr>
              <w:t>1.66</w:t>
            </w:r>
          </w:p>
        </w:tc>
        <w:tc>
          <w:tcPr>
            <w:tcW w:w="1122" w:type="dxa"/>
            <w:tcBorders>
              <w:top w:val="nil"/>
              <w:left w:val="nil"/>
              <w:bottom w:val="nil"/>
              <w:right w:val="nil"/>
            </w:tcBorders>
            <w:shd w:val="clear" w:color="auto" w:fill="auto"/>
            <w:noWrap/>
            <w:vAlign w:val="bottom"/>
            <w:hideMark/>
          </w:tcPr>
          <w:p w:rsidR="00137DE0" w:rsidRPr="00421850" w:rsidRDefault="00137DE0" w:rsidP="00524079">
            <w:pPr>
              <w:rPr>
                <w:rFonts w:ascii="Calibri" w:hAnsi="Calibri"/>
                <w:color w:val="000000"/>
                <w:sz w:val="22"/>
                <w:szCs w:val="22"/>
              </w:rPr>
            </w:pPr>
          </w:p>
        </w:tc>
      </w:tr>
      <w:tr w:rsidR="00137DE0" w:rsidRPr="00421850" w:rsidTr="00524079">
        <w:trPr>
          <w:trHeight w:val="300"/>
          <w:jc w:val="center"/>
        </w:trPr>
        <w:tc>
          <w:tcPr>
            <w:tcW w:w="3060" w:type="dxa"/>
            <w:tcBorders>
              <w:top w:val="nil"/>
              <w:left w:val="nil"/>
              <w:bottom w:val="nil"/>
              <w:right w:val="nil"/>
            </w:tcBorders>
            <w:shd w:val="clear" w:color="auto" w:fill="auto"/>
            <w:noWrap/>
            <w:vAlign w:val="bottom"/>
            <w:hideMark/>
          </w:tcPr>
          <w:p w:rsidR="00137DE0" w:rsidRPr="00421850" w:rsidRDefault="00137DE0" w:rsidP="00524079">
            <w:pPr>
              <w:rPr>
                <w:rFonts w:ascii="Calibri" w:hAnsi="Calibri"/>
                <w:color w:val="000000"/>
                <w:sz w:val="22"/>
                <w:szCs w:val="22"/>
              </w:rPr>
            </w:pPr>
            <w:r w:rsidRPr="00421850">
              <w:rPr>
                <w:rFonts w:ascii="Calibri" w:hAnsi="Calibri"/>
                <w:color w:val="000000"/>
                <w:sz w:val="22"/>
                <w:szCs w:val="22"/>
              </w:rPr>
              <w:t>P(T&lt;=t) two-tail</w:t>
            </w:r>
          </w:p>
        </w:tc>
        <w:tc>
          <w:tcPr>
            <w:tcW w:w="1053" w:type="dxa"/>
            <w:tcBorders>
              <w:top w:val="nil"/>
              <w:left w:val="nil"/>
              <w:bottom w:val="nil"/>
              <w:right w:val="nil"/>
            </w:tcBorders>
            <w:shd w:val="clear" w:color="auto" w:fill="auto"/>
            <w:noWrap/>
            <w:vAlign w:val="bottom"/>
            <w:hideMark/>
          </w:tcPr>
          <w:p w:rsidR="00137DE0" w:rsidRPr="00421850" w:rsidRDefault="00137DE0" w:rsidP="00524079">
            <w:pPr>
              <w:jc w:val="right"/>
              <w:rPr>
                <w:rFonts w:ascii="Calibri" w:hAnsi="Calibri"/>
                <w:color w:val="000000"/>
                <w:sz w:val="22"/>
                <w:szCs w:val="22"/>
              </w:rPr>
            </w:pPr>
            <w:r w:rsidRPr="00421850">
              <w:rPr>
                <w:rFonts w:ascii="Calibri" w:hAnsi="Calibri"/>
                <w:color w:val="000000"/>
                <w:sz w:val="22"/>
                <w:szCs w:val="22"/>
                <w:highlight w:val="yellow"/>
              </w:rPr>
              <w:t>6.66E-05</w:t>
            </w:r>
          </w:p>
        </w:tc>
        <w:tc>
          <w:tcPr>
            <w:tcW w:w="1122" w:type="dxa"/>
            <w:tcBorders>
              <w:top w:val="nil"/>
              <w:left w:val="nil"/>
              <w:bottom w:val="nil"/>
              <w:right w:val="nil"/>
            </w:tcBorders>
            <w:shd w:val="clear" w:color="auto" w:fill="auto"/>
            <w:noWrap/>
            <w:vAlign w:val="bottom"/>
            <w:hideMark/>
          </w:tcPr>
          <w:p w:rsidR="00137DE0" w:rsidRPr="00421850" w:rsidRDefault="00137DE0" w:rsidP="00524079">
            <w:pPr>
              <w:rPr>
                <w:rFonts w:ascii="Calibri" w:hAnsi="Calibri"/>
                <w:color w:val="000000"/>
                <w:sz w:val="22"/>
                <w:szCs w:val="22"/>
              </w:rPr>
            </w:pPr>
          </w:p>
        </w:tc>
      </w:tr>
      <w:tr w:rsidR="00137DE0" w:rsidRPr="00421850" w:rsidTr="00524079">
        <w:trPr>
          <w:trHeight w:val="315"/>
          <w:jc w:val="center"/>
        </w:trPr>
        <w:tc>
          <w:tcPr>
            <w:tcW w:w="3060" w:type="dxa"/>
            <w:tcBorders>
              <w:top w:val="nil"/>
              <w:left w:val="nil"/>
              <w:bottom w:val="single" w:sz="8" w:space="0" w:color="auto"/>
              <w:right w:val="nil"/>
            </w:tcBorders>
            <w:shd w:val="clear" w:color="auto" w:fill="auto"/>
            <w:noWrap/>
            <w:vAlign w:val="bottom"/>
            <w:hideMark/>
          </w:tcPr>
          <w:p w:rsidR="00137DE0" w:rsidRPr="00421850" w:rsidRDefault="00137DE0" w:rsidP="00524079">
            <w:pPr>
              <w:rPr>
                <w:rFonts w:ascii="Calibri" w:hAnsi="Calibri"/>
                <w:color w:val="000000"/>
                <w:sz w:val="22"/>
                <w:szCs w:val="22"/>
              </w:rPr>
            </w:pPr>
            <w:r w:rsidRPr="00421850">
              <w:rPr>
                <w:rFonts w:ascii="Calibri" w:hAnsi="Calibri"/>
                <w:color w:val="000000"/>
                <w:sz w:val="22"/>
                <w:szCs w:val="22"/>
              </w:rPr>
              <w:t>t Critical two-tail</w:t>
            </w:r>
          </w:p>
        </w:tc>
        <w:tc>
          <w:tcPr>
            <w:tcW w:w="1053" w:type="dxa"/>
            <w:tcBorders>
              <w:top w:val="nil"/>
              <w:left w:val="nil"/>
              <w:bottom w:val="single" w:sz="8" w:space="0" w:color="auto"/>
              <w:right w:val="nil"/>
            </w:tcBorders>
            <w:shd w:val="clear" w:color="auto" w:fill="auto"/>
            <w:noWrap/>
            <w:vAlign w:val="bottom"/>
            <w:hideMark/>
          </w:tcPr>
          <w:p w:rsidR="00137DE0" w:rsidRPr="00421850" w:rsidRDefault="00137DE0" w:rsidP="00524079">
            <w:pPr>
              <w:jc w:val="right"/>
              <w:rPr>
                <w:rFonts w:ascii="Calibri" w:hAnsi="Calibri"/>
                <w:color w:val="000000"/>
                <w:sz w:val="22"/>
                <w:szCs w:val="22"/>
              </w:rPr>
            </w:pPr>
            <w:r w:rsidRPr="00421850">
              <w:rPr>
                <w:rFonts w:ascii="Calibri" w:hAnsi="Calibri"/>
                <w:color w:val="000000"/>
                <w:sz w:val="22"/>
                <w:szCs w:val="22"/>
              </w:rPr>
              <w:t>1.99</w:t>
            </w:r>
          </w:p>
        </w:tc>
        <w:tc>
          <w:tcPr>
            <w:tcW w:w="1122" w:type="dxa"/>
            <w:tcBorders>
              <w:top w:val="nil"/>
              <w:left w:val="nil"/>
              <w:bottom w:val="single" w:sz="8" w:space="0" w:color="auto"/>
              <w:right w:val="nil"/>
            </w:tcBorders>
            <w:shd w:val="clear" w:color="auto" w:fill="auto"/>
            <w:noWrap/>
            <w:vAlign w:val="bottom"/>
            <w:hideMark/>
          </w:tcPr>
          <w:p w:rsidR="00137DE0" w:rsidRPr="00421850" w:rsidRDefault="00137DE0" w:rsidP="00524079">
            <w:pPr>
              <w:rPr>
                <w:rFonts w:ascii="Calibri" w:hAnsi="Calibri"/>
                <w:color w:val="000000"/>
                <w:sz w:val="22"/>
                <w:szCs w:val="22"/>
              </w:rPr>
            </w:pPr>
            <w:r w:rsidRPr="00421850">
              <w:rPr>
                <w:rFonts w:ascii="Calibri" w:hAnsi="Calibri"/>
                <w:color w:val="000000"/>
                <w:sz w:val="22"/>
                <w:szCs w:val="22"/>
              </w:rPr>
              <w:t> </w:t>
            </w:r>
          </w:p>
        </w:tc>
      </w:tr>
    </w:tbl>
    <w:p w:rsidR="00137DE0" w:rsidRDefault="00137DE0" w:rsidP="00137DE0"/>
    <w:p w:rsidR="00007970" w:rsidRDefault="00007970" w:rsidP="00674F12">
      <w:pPr>
        <w:spacing w:after="200" w:line="276" w:lineRule="auto"/>
        <w:rPr>
          <w:rFonts w:ascii="Arial" w:hAnsi="Arial" w:cs="Arial"/>
          <w:b/>
          <w:color w:val="000000" w:themeColor="text1"/>
        </w:rPr>
      </w:pPr>
    </w:p>
    <w:sectPr w:rsidR="00007970" w:rsidSect="00524079">
      <w:headerReference w:type="default" r:id="rId52"/>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24079" w:rsidRDefault="00524079" w:rsidP="0094204C">
      <w:r>
        <w:separator/>
      </w:r>
    </w:p>
  </w:endnote>
  <w:endnote w:type="continuationSeparator" w:id="0">
    <w:p w:rsidR="00524079" w:rsidRDefault="00524079" w:rsidP="009420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79517"/>
      <w:docPartObj>
        <w:docPartGallery w:val="Page Numbers (Bottom of Page)"/>
        <w:docPartUnique/>
      </w:docPartObj>
    </w:sdtPr>
    <w:sdtContent>
      <w:p w:rsidR="00524079" w:rsidRDefault="00524079">
        <w:pPr>
          <w:pStyle w:val="Footer"/>
          <w:jc w:val="right"/>
        </w:pPr>
        <w:r>
          <w:fldChar w:fldCharType="begin"/>
        </w:r>
        <w:r>
          <w:instrText xml:space="preserve"> PAGE   \* MERGEFORMAT </w:instrText>
        </w:r>
        <w:r>
          <w:fldChar w:fldCharType="separate"/>
        </w:r>
        <w:r w:rsidR="007A14C4">
          <w:rPr>
            <w:noProof/>
          </w:rPr>
          <w:t>6</w:t>
        </w:r>
        <w:r>
          <w:rPr>
            <w:noProof/>
          </w:rPr>
          <w:fldChar w:fldCharType="end"/>
        </w:r>
      </w:p>
    </w:sdtContent>
  </w:sdt>
  <w:p w:rsidR="00524079" w:rsidRDefault="0052407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24079" w:rsidRDefault="00524079" w:rsidP="0094204C">
      <w:r>
        <w:separator/>
      </w:r>
    </w:p>
  </w:footnote>
  <w:footnote w:type="continuationSeparator" w:id="0">
    <w:p w:rsidR="00524079" w:rsidRDefault="00524079" w:rsidP="0094204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4079" w:rsidRDefault="00524079">
    <w:pPr>
      <w:pStyle w:val="Header"/>
    </w:pPr>
    <w:r>
      <w:t>Sinclair Annual Update 2014-15 (Physical Therapist Assistant Program)</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4079" w:rsidRDefault="00524079" w:rsidP="00524079">
    <w:pPr>
      <w:jc w:val="center"/>
    </w:pPr>
    <w:r>
      <w:t>PTA Program Attrition Data 2012-2015</w:t>
    </w:r>
  </w:p>
  <w:p w:rsidR="00524079" w:rsidRDefault="0052407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4079" w:rsidRDefault="0052407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991A29"/>
    <w:multiLevelType w:val="hybridMultilevel"/>
    <w:tmpl w:val="0CA6A0DC"/>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
    <w:nsid w:val="01C6439B"/>
    <w:multiLevelType w:val="hybridMultilevel"/>
    <w:tmpl w:val="902434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67D1E3C"/>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AE822D4"/>
    <w:multiLevelType w:val="hybridMultilevel"/>
    <w:tmpl w:val="E42C16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39A4159"/>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54659C2"/>
    <w:multiLevelType w:val="hybridMultilevel"/>
    <w:tmpl w:val="58A2B4E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5D2477E"/>
    <w:multiLevelType w:val="hybridMultilevel"/>
    <w:tmpl w:val="F47868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919106F"/>
    <w:multiLevelType w:val="hybridMultilevel"/>
    <w:tmpl w:val="33A4990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8">
    <w:nsid w:val="1A2C41EB"/>
    <w:multiLevelType w:val="hybridMultilevel"/>
    <w:tmpl w:val="1730D0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BA37643"/>
    <w:multiLevelType w:val="hybridMultilevel"/>
    <w:tmpl w:val="F70E759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1D22F24"/>
    <w:multiLevelType w:val="hybridMultilevel"/>
    <w:tmpl w:val="F51E0AD2"/>
    <w:lvl w:ilvl="0" w:tplc="04090001">
      <w:start w:val="1"/>
      <w:numFmt w:val="bullet"/>
      <w:lvlText w:val=""/>
      <w:lvlJc w:val="left"/>
      <w:pPr>
        <w:ind w:left="720" w:hanging="360"/>
      </w:pPr>
      <w:rPr>
        <w:rFonts w:ascii="Symbol" w:hAnsi="Symbol" w:hint="default"/>
      </w:rPr>
    </w:lvl>
    <w:lvl w:ilvl="1" w:tplc="B72E05F6">
      <w:numFmt w:val="bullet"/>
      <w:lvlText w:val="•"/>
      <w:lvlJc w:val="left"/>
      <w:pPr>
        <w:ind w:left="1440" w:hanging="360"/>
      </w:pPr>
      <w:rPr>
        <w:rFonts w:ascii="Arial" w:eastAsia="Times New Roman"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9916311"/>
    <w:multiLevelType w:val="hybridMultilevel"/>
    <w:tmpl w:val="7A9041C6"/>
    <w:lvl w:ilvl="0" w:tplc="39C46396">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2ABA6107"/>
    <w:multiLevelType w:val="hybridMultilevel"/>
    <w:tmpl w:val="A9F80A0E"/>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32245B57"/>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38773C8"/>
    <w:multiLevelType w:val="hybridMultilevel"/>
    <w:tmpl w:val="784EA36E"/>
    <w:lvl w:ilvl="0" w:tplc="04090015">
      <w:start w:val="1"/>
      <w:numFmt w:val="upp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3A080841"/>
    <w:multiLevelType w:val="hybridMultilevel"/>
    <w:tmpl w:val="A030CE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nsid w:val="41A2206E"/>
    <w:multiLevelType w:val="hybridMultilevel"/>
    <w:tmpl w:val="E9C6F5C8"/>
    <w:lvl w:ilvl="0" w:tplc="77F2E814">
      <w:numFmt w:val="bullet"/>
      <w:lvlText w:val="-"/>
      <w:lvlJc w:val="left"/>
      <w:pPr>
        <w:ind w:left="1080" w:hanging="360"/>
      </w:pPr>
      <w:rPr>
        <w:rFonts w:ascii="Arial" w:eastAsia="Times New Roman" w:hAnsi="Arial" w:cs="Aria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nsid w:val="461A2809"/>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AD34CB6"/>
    <w:multiLevelType w:val="hybridMultilevel"/>
    <w:tmpl w:val="6F9E67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AF673BF"/>
    <w:multiLevelType w:val="hybridMultilevel"/>
    <w:tmpl w:val="2AAEDD64"/>
    <w:lvl w:ilvl="0" w:tplc="DD9C33E4">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07B4433"/>
    <w:multiLevelType w:val="hybridMultilevel"/>
    <w:tmpl w:val="C6C611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187633D"/>
    <w:multiLevelType w:val="hybridMultilevel"/>
    <w:tmpl w:val="4E5451FC"/>
    <w:lvl w:ilvl="0" w:tplc="FE768044">
      <w:start w:val="1"/>
      <w:numFmt w:val="upperLetter"/>
      <w:lvlText w:val="%1."/>
      <w:lvlJc w:val="left"/>
      <w:pPr>
        <w:ind w:left="5400" w:hanging="360"/>
      </w:pPr>
      <w:rPr>
        <w:rFonts w:hint="default"/>
      </w:rPr>
    </w:lvl>
    <w:lvl w:ilvl="1" w:tplc="04090019" w:tentative="1">
      <w:start w:val="1"/>
      <w:numFmt w:val="lowerLetter"/>
      <w:lvlText w:val="%2."/>
      <w:lvlJc w:val="left"/>
      <w:pPr>
        <w:ind w:left="6120" w:hanging="360"/>
      </w:pPr>
    </w:lvl>
    <w:lvl w:ilvl="2" w:tplc="0409001B" w:tentative="1">
      <w:start w:val="1"/>
      <w:numFmt w:val="lowerRoman"/>
      <w:lvlText w:val="%3."/>
      <w:lvlJc w:val="right"/>
      <w:pPr>
        <w:ind w:left="6840" w:hanging="180"/>
      </w:pPr>
    </w:lvl>
    <w:lvl w:ilvl="3" w:tplc="0409000F" w:tentative="1">
      <w:start w:val="1"/>
      <w:numFmt w:val="decimal"/>
      <w:lvlText w:val="%4."/>
      <w:lvlJc w:val="left"/>
      <w:pPr>
        <w:ind w:left="7560" w:hanging="360"/>
      </w:pPr>
    </w:lvl>
    <w:lvl w:ilvl="4" w:tplc="04090019" w:tentative="1">
      <w:start w:val="1"/>
      <w:numFmt w:val="lowerLetter"/>
      <w:lvlText w:val="%5."/>
      <w:lvlJc w:val="left"/>
      <w:pPr>
        <w:ind w:left="8280" w:hanging="360"/>
      </w:pPr>
    </w:lvl>
    <w:lvl w:ilvl="5" w:tplc="0409001B" w:tentative="1">
      <w:start w:val="1"/>
      <w:numFmt w:val="lowerRoman"/>
      <w:lvlText w:val="%6."/>
      <w:lvlJc w:val="right"/>
      <w:pPr>
        <w:ind w:left="9000" w:hanging="180"/>
      </w:pPr>
    </w:lvl>
    <w:lvl w:ilvl="6" w:tplc="0409000F" w:tentative="1">
      <w:start w:val="1"/>
      <w:numFmt w:val="decimal"/>
      <w:lvlText w:val="%7."/>
      <w:lvlJc w:val="left"/>
      <w:pPr>
        <w:ind w:left="9720" w:hanging="360"/>
      </w:pPr>
    </w:lvl>
    <w:lvl w:ilvl="7" w:tplc="04090019" w:tentative="1">
      <w:start w:val="1"/>
      <w:numFmt w:val="lowerLetter"/>
      <w:lvlText w:val="%8."/>
      <w:lvlJc w:val="left"/>
      <w:pPr>
        <w:ind w:left="10440" w:hanging="360"/>
      </w:pPr>
    </w:lvl>
    <w:lvl w:ilvl="8" w:tplc="0409001B" w:tentative="1">
      <w:start w:val="1"/>
      <w:numFmt w:val="lowerRoman"/>
      <w:lvlText w:val="%9."/>
      <w:lvlJc w:val="right"/>
      <w:pPr>
        <w:ind w:left="11160" w:hanging="180"/>
      </w:pPr>
    </w:lvl>
  </w:abstractNum>
  <w:abstractNum w:abstractNumId="22">
    <w:nsid w:val="580168D5"/>
    <w:multiLevelType w:val="hybridMultilevel"/>
    <w:tmpl w:val="933C05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0206749"/>
    <w:multiLevelType w:val="hybridMultilevel"/>
    <w:tmpl w:val="951828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66D13D45"/>
    <w:multiLevelType w:val="hybridMultilevel"/>
    <w:tmpl w:val="77661C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6DC020E8"/>
    <w:multiLevelType w:val="hybridMultilevel"/>
    <w:tmpl w:val="9AE863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18F4D5E"/>
    <w:multiLevelType w:val="hybridMultilevel"/>
    <w:tmpl w:val="4B36CB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746E75B7"/>
    <w:multiLevelType w:val="hybridMultilevel"/>
    <w:tmpl w:val="6624CB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4"/>
  </w:num>
  <w:num w:numId="2">
    <w:abstractNumId w:val="9"/>
  </w:num>
  <w:num w:numId="3">
    <w:abstractNumId w:val="12"/>
  </w:num>
  <w:num w:numId="4">
    <w:abstractNumId w:val="17"/>
  </w:num>
  <w:num w:numId="5">
    <w:abstractNumId w:val="4"/>
  </w:num>
  <w:num w:numId="6">
    <w:abstractNumId w:val="13"/>
  </w:num>
  <w:num w:numId="7">
    <w:abstractNumId w:val="25"/>
  </w:num>
  <w:num w:numId="8">
    <w:abstractNumId w:val="21"/>
  </w:num>
  <w:num w:numId="9">
    <w:abstractNumId w:val="2"/>
  </w:num>
  <w:num w:numId="10">
    <w:abstractNumId w:val="26"/>
  </w:num>
  <w:num w:numId="11">
    <w:abstractNumId w:val="0"/>
  </w:num>
  <w:num w:numId="12">
    <w:abstractNumId w:val="24"/>
  </w:num>
  <w:num w:numId="13">
    <w:abstractNumId w:val="15"/>
  </w:num>
  <w:num w:numId="14">
    <w:abstractNumId w:val="6"/>
  </w:num>
  <w:num w:numId="15">
    <w:abstractNumId w:val="11"/>
  </w:num>
  <w:num w:numId="16">
    <w:abstractNumId w:val="1"/>
  </w:num>
  <w:num w:numId="17">
    <w:abstractNumId w:val="18"/>
  </w:num>
  <w:num w:numId="18">
    <w:abstractNumId w:val="7"/>
  </w:num>
  <w:num w:numId="19">
    <w:abstractNumId w:val="7"/>
  </w:num>
  <w:num w:numId="20">
    <w:abstractNumId w:val="16"/>
  </w:num>
  <w:num w:numId="21">
    <w:abstractNumId w:val="27"/>
  </w:num>
  <w:num w:numId="22">
    <w:abstractNumId w:val="10"/>
  </w:num>
  <w:num w:numId="23">
    <w:abstractNumId w:val="19"/>
  </w:num>
  <w:num w:numId="24">
    <w:abstractNumId w:val="3"/>
  </w:num>
  <w:num w:numId="25">
    <w:abstractNumId w:val="5"/>
  </w:num>
  <w:num w:numId="26">
    <w:abstractNumId w:val="20"/>
  </w:num>
  <w:num w:numId="27">
    <w:abstractNumId w:val="23"/>
  </w:num>
  <w:num w:numId="28">
    <w:abstractNumId w:val="8"/>
  </w:num>
  <w:num w:numId="29">
    <w:abstractNumId w:val="2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ocumentProtection w:edit="forms" w:formatting="1" w:enforcement="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5129"/>
    <w:rsid w:val="0000193E"/>
    <w:rsid w:val="00007970"/>
    <w:rsid w:val="00010061"/>
    <w:rsid w:val="00017E7C"/>
    <w:rsid w:val="000228C0"/>
    <w:rsid w:val="000279EB"/>
    <w:rsid w:val="000337E6"/>
    <w:rsid w:val="00034513"/>
    <w:rsid w:val="00034CE6"/>
    <w:rsid w:val="00035043"/>
    <w:rsid w:val="00036DF9"/>
    <w:rsid w:val="00037073"/>
    <w:rsid w:val="000460EB"/>
    <w:rsid w:val="00054BFD"/>
    <w:rsid w:val="00056964"/>
    <w:rsid w:val="000616F3"/>
    <w:rsid w:val="00063778"/>
    <w:rsid w:val="00063A82"/>
    <w:rsid w:val="00065129"/>
    <w:rsid w:val="00072428"/>
    <w:rsid w:val="000738FE"/>
    <w:rsid w:val="00074BD5"/>
    <w:rsid w:val="00075EFA"/>
    <w:rsid w:val="00080933"/>
    <w:rsid w:val="00091B95"/>
    <w:rsid w:val="00092370"/>
    <w:rsid w:val="00092845"/>
    <w:rsid w:val="00097843"/>
    <w:rsid w:val="000A089D"/>
    <w:rsid w:val="000A2A44"/>
    <w:rsid w:val="000A2C70"/>
    <w:rsid w:val="000A455C"/>
    <w:rsid w:val="000A4EE0"/>
    <w:rsid w:val="000B0D23"/>
    <w:rsid w:val="000B261C"/>
    <w:rsid w:val="000C705D"/>
    <w:rsid w:val="000D1111"/>
    <w:rsid w:val="000D3A39"/>
    <w:rsid w:val="000D722B"/>
    <w:rsid w:val="000E4EFE"/>
    <w:rsid w:val="000E736D"/>
    <w:rsid w:val="000F0AF3"/>
    <w:rsid w:val="000F154F"/>
    <w:rsid w:val="000F1823"/>
    <w:rsid w:val="000F21F2"/>
    <w:rsid w:val="000F2F76"/>
    <w:rsid w:val="000F4249"/>
    <w:rsid w:val="000F4830"/>
    <w:rsid w:val="00100CAB"/>
    <w:rsid w:val="00101369"/>
    <w:rsid w:val="0010227C"/>
    <w:rsid w:val="001026AA"/>
    <w:rsid w:val="00115E77"/>
    <w:rsid w:val="001201D5"/>
    <w:rsid w:val="00120277"/>
    <w:rsid w:val="00120E81"/>
    <w:rsid w:val="001240D0"/>
    <w:rsid w:val="00126E63"/>
    <w:rsid w:val="001324D2"/>
    <w:rsid w:val="00133ED6"/>
    <w:rsid w:val="00137DE0"/>
    <w:rsid w:val="00142776"/>
    <w:rsid w:val="00143DD8"/>
    <w:rsid w:val="00151786"/>
    <w:rsid w:val="001532B7"/>
    <w:rsid w:val="001560EA"/>
    <w:rsid w:val="001628B1"/>
    <w:rsid w:val="00167DC4"/>
    <w:rsid w:val="00171A3B"/>
    <w:rsid w:val="00174C4B"/>
    <w:rsid w:val="001803A0"/>
    <w:rsid w:val="00181457"/>
    <w:rsid w:val="00183806"/>
    <w:rsid w:val="00183A7F"/>
    <w:rsid w:val="00183F6E"/>
    <w:rsid w:val="001848C2"/>
    <w:rsid w:val="00184AE5"/>
    <w:rsid w:val="0018751E"/>
    <w:rsid w:val="0018798A"/>
    <w:rsid w:val="00190EF3"/>
    <w:rsid w:val="00190F5C"/>
    <w:rsid w:val="0019135D"/>
    <w:rsid w:val="00194350"/>
    <w:rsid w:val="00195B7B"/>
    <w:rsid w:val="001A1B67"/>
    <w:rsid w:val="001A2E6B"/>
    <w:rsid w:val="001A7AF7"/>
    <w:rsid w:val="001B2147"/>
    <w:rsid w:val="001B2AAD"/>
    <w:rsid w:val="001B45D5"/>
    <w:rsid w:val="001B571A"/>
    <w:rsid w:val="001B6007"/>
    <w:rsid w:val="001B61EA"/>
    <w:rsid w:val="001C202C"/>
    <w:rsid w:val="001C42D0"/>
    <w:rsid w:val="001C5DC3"/>
    <w:rsid w:val="001C7B25"/>
    <w:rsid w:val="001D3E1D"/>
    <w:rsid w:val="001D5757"/>
    <w:rsid w:val="001D7080"/>
    <w:rsid w:val="001D736E"/>
    <w:rsid w:val="001E0764"/>
    <w:rsid w:val="001E6B5A"/>
    <w:rsid w:val="001E7137"/>
    <w:rsid w:val="001F4A82"/>
    <w:rsid w:val="001F4B9E"/>
    <w:rsid w:val="00203021"/>
    <w:rsid w:val="002103CA"/>
    <w:rsid w:val="002105E7"/>
    <w:rsid w:val="00210FF3"/>
    <w:rsid w:val="002110EE"/>
    <w:rsid w:val="002245AB"/>
    <w:rsid w:val="00225B53"/>
    <w:rsid w:val="0022692B"/>
    <w:rsid w:val="002315EE"/>
    <w:rsid w:val="0023421E"/>
    <w:rsid w:val="0025548D"/>
    <w:rsid w:val="00255C18"/>
    <w:rsid w:val="00255F7D"/>
    <w:rsid w:val="00256114"/>
    <w:rsid w:val="0025618C"/>
    <w:rsid w:val="00260089"/>
    <w:rsid w:val="00262914"/>
    <w:rsid w:val="00262EFB"/>
    <w:rsid w:val="002641D9"/>
    <w:rsid w:val="00265A99"/>
    <w:rsid w:val="002663CC"/>
    <w:rsid w:val="00266F2F"/>
    <w:rsid w:val="0026791C"/>
    <w:rsid w:val="00276B75"/>
    <w:rsid w:val="00277D8F"/>
    <w:rsid w:val="00280C60"/>
    <w:rsid w:val="00281C63"/>
    <w:rsid w:val="0028603C"/>
    <w:rsid w:val="00287E22"/>
    <w:rsid w:val="002922CE"/>
    <w:rsid w:val="00293D8D"/>
    <w:rsid w:val="002A1D8C"/>
    <w:rsid w:val="002A3EE4"/>
    <w:rsid w:val="002C1797"/>
    <w:rsid w:val="002C39BF"/>
    <w:rsid w:val="002C45ED"/>
    <w:rsid w:val="002C56AC"/>
    <w:rsid w:val="002C5C9C"/>
    <w:rsid w:val="002D1023"/>
    <w:rsid w:val="002D1DFE"/>
    <w:rsid w:val="002D2452"/>
    <w:rsid w:val="002D2748"/>
    <w:rsid w:val="002D3CAD"/>
    <w:rsid w:val="002D428E"/>
    <w:rsid w:val="002E175B"/>
    <w:rsid w:val="002E28B0"/>
    <w:rsid w:val="002E548B"/>
    <w:rsid w:val="002E5D65"/>
    <w:rsid w:val="002E6B01"/>
    <w:rsid w:val="002F4C1C"/>
    <w:rsid w:val="002F63A2"/>
    <w:rsid w:val="00303041"/>
    <w:rsid w:val="003041DD"/>
    <w:rsid w:val="00305AE1"/>
    <w:rsid w:val="0030733F"/>
    <w:rsid w:val="00307A43"/>
    <w:rsid w:val="00315CE8"/>
    <w:rsid w:val="0031626A"/>
    <w:rsid w:val="00320CDE"/>
    <w:rsid w:val="00320DF3"/>
    <w:rsid w:val="003233E7"/>
    <w:rsid w:val="003254BC"/>
    <w:rsid w:val="00330692"/>
    <w:rsid w:val="00337A3A"/>
    <w:rsid w:val="003436B9"/>
    <w:rsid w:val="0034504C"/>
    <w:rsid w:val="003454F6"/>
    <w:rsid w:val="00350D53"/>
    <w:rsid w:val="00353CF8"/>
    <w:rsid w:val="003641BA"/>
    <w:rsid w:val="00372B02"/>
    <w:rsid w:val="003764C9"/>
    <w:rsid w:val="00377628"/>
    <w:rsid w:val="0037786D"/>
    <w:rsid w:val="00377D40"/>
    <w:rsid w:val="0038079E"/>
    <w:rsid w:val="00387FF4"/>
    <w:rsid w:val="003A298D"/>
    <w:rsid w:val="003B2034"/>
    <w:rsid w:val="003B5176"/>
    <w:rsid w:val="003B5F45"/>
    <w:rsid w:val="003B6EA6"/>
    <w:rsid w:val="003C17F6"/>
    <w:rsid w:val="003C1A7C"/>
    <w:rsid w:val="003C1C8E"/>
    <w:rsid w:val="003D2587"/>
    <w:rsid w:val="003D6946"/>
    <w:rsid w:val="003D6D6E"/>
    <w:rsid w:val="003E791C"/>
    <w:rsid w:val="0040129E"/>
    <w:rsid w:val="00404810"/>
    <w:rsid w:val="004118FA"/>
    <w:rsid w:val="00413866"/>
    <w:rsid w:val="00414645"/>
    <w:rsid w:val="004205E1"/>
    <w:rsid w:val="00423FAC"/>
    <w:rsid w:val="00424E5D"/>
    <w:rsid w:val="00425F46"/>
    <w:rsid w:val="004304AB"/>
    <w:rsid w:val="00432E58"/>
    <w:rsid w:val="00434F56"/>
    <w:rsid w:val="004359FC"/>
    <w:rsid w:val="004412F4"/>
    <w:rsid w:val="004467C4"/>
    <w:rsid w:val="004537FA"/>
    <w:rsid w:val="00455833"/>
    <w:rsid w:val="004604FB"/>
    <w:rsid w:val="00461386"/>
    <w:rsid w:val="00462C72"/>
    <w:rsid w:val="00462D00"/>
    <w:rsid w:val="00470DD8"/>
    <w:rsid w:val="004710A6"/>
    <w:rsid w:val="004712EB"/>
    <w:rsid w:val="004757C7"/>
    <w:rsid w:val="00476425"/>
    <w:rsid w:val="0048088F"/>
    <w:rsid w:val="00480BB2"/>
    <w:rsid w:val="004818E1"/>
    <w:rsid w:val="00481A7E"/>
    <w:rsid w:val="004832B3"/>
    <w:rsid w:val="0048427F"/>
    <w:rsid w:val="00495C9D"/>
    <w:rsid w:val="00497536"/>
    <w:rsid w:val="004A692C"/>
    <w:rsid w:val="004B7492"/>
    <w:rsid w:val="004C2B30"/>
    <w:rsid w:val="004C389D"/>
    <w:rsid w:val="004C52FC"/>
    <w:rsid w:val="004C7DB2"/>
    <w:rsid w:val="004D169D"/>
    <w:rsid w:val="004D32E6"/>
    <w:rsid w:val="004D3BE1"/>
    <w:rsid w:val="004D3C8C"/>
    <w:rsid w:val="004D531F"/>
    <w:rsid w:val="004E47AA"/>
    <w:rsid w:val="004E4BD6"/>
    <w:rsid w:val="004E7E99"/>
    <w:rsid w:val="004F004F"/>
    <w:rsid w:val="004F41D5"/>
    <w:rsid w:val="004F438D"/>
    <w:rsid w:val="00500A25"/>
    <w:rsid w:val="00503B0A"/>
    <w:rsid w:val="00506C0B"/>
    <w:rsid w:val="0051294F"/>
    <w:rsid w:val="00516463"/>
    <w:rsid w:val="00520FBE"/>
    <w:rsid w:val="0052152C"/>
    <w:rsid w:val="00524079"/>
    <w:rsid w:val="0054350A"/>
    <w:rsid w:val="005531E8"/>
    <w:rsid w:val="00557C81"/>
    <w:rsid w:val="0056141B"/>
    <w:rsid w:val="00566801"/>
    <w:rsid w:val="005674F9"/>
    <w:rsid w:val="00570DBE"/>
    <w:rsid w:val="00573ECD"/>
    <w:rsid w:val="00585766"/>
    <w:rsid w:val="00585D3D"/>
    <w:rsid w:val="005863ED"/>
    <w:rsid w:val="005864A4"/>
    <w:rsid w:val="00587CE5"/>
    <w:rsid w:val="005918B2"/>
    <w:rsid w:val="00592DD4"/>
    <w:rsid w:val="00597F85"/>
    <w:rsid w:val="005B2484"/>
    <w:rsid w:val="005C52A0"/>
    <w:rsid w:val="005D19D9"/>
    <w:rsid w:val="005D1FE6"/>
    <w:rsid w:val="005E6F4A"/>
    <w:rsid w:val="005F5F7E"/>
    <w:rsid w:val="005F6B5B"/>
    <w:rsid w:val="005F7377"/>
    <w:rsid w:val="00607D0F"/>
    <w:rsid w:val="0061213B"/>
    <w:rsid w:val="0061454F"/>
    <w:rsid w:val="0061477D"/>
    <w:rsid w:val="0061712A"/>
    <w:rsid w:val="00624906"/>
    <w:rsid w:val="00633C41"/>
    <w:rsid w:val="006368CC"/>
    <w:rsid w:val="00637591"/>
    <w:rsid w:val="00640611"/>
    <w:rsid w:val="006428B4"/>
    <w:rsid w:val="00643904"/>
    <w:rsid w:val="00651CF2"/>
    <w:rsid w:val="006532D6"/>
    <w:rsid w:val="0065453B"/>
    <w:rsid w:val="00654C15"/>
    <w:rsid w:val="006551C4"/>
    <w:rsid w:val="00660080"/>
    <w:rsid w:val="0066285F"/>
    <w:rsid w:val="0066607A"/>
    <w:rsid w:val="00673CDD"/>
    <w:rsid w:val="00674F12"/>
    <w:rsid w:val="00677703"/>
    <w:rsid w:val="006835C1"/>
    <w:rsid w:val="006856B5"/>
    <w:rsid w:val="00690A3D"/>
    <w:rsid w:val="0069284B"/>
    <w:rsid w:val="00694870"/>
    <w:rsid w:val="006962AA"/>
    <w:rsid w:val="006A2AA3"/>
    <w:rsid w:val="006A3FB5"/>
    <w:rsid w:val="006B5AFE"/>
    <w:rsid w:val="006B5D02"/>
    <w:rsid w:val="006B6194"/>
    <w:rsid w:val="006B6ABA"/>
    <w:rsid w:val="006C142B"/>
    <w:rsid w:val="006C28B1"/>
    <w:rsid w:val="006C3259"/>
    <w:rsid w:val="006C4C0B"/>
    <w:rsid w:val="006C4F5E"/>
    <w:rsid w:val="006D30DA"/>
    <w:rsid w:val="006D67EB"/>
    <w:rsid w:val="006E3686"/>
    <w:rsid w:val="006E68B6"/>
    <w:rsid w:val="006F0183"/>
    <w:rsid w:val="007145A3"/>
    <w:rsid w:val="00716A26"/>
    <w:rsid w:val="00740D35"/>
    <w:rsid w:val="00746675"/>
    <w:rsid w:val="007518D0"/>
    <w:rsid w:val="00751FC5"/>
    <w:rsid w:val="00753484"/>
    <w:rsid w:val="00757B7D"/>
    <w:rsid w:val="00761B84"/>
    <w:rsid w:val="0076591B"/>
    <w:rsid w:val="00780208"/>
    <w:rsid w:val="00781DA4"/>
    <w:rsid w:val="007825CC"/>
    <w:rsid w:val="007856A2"/>
    <w:rsid w:val="0078669D"/>
    <w:rsid w:val="00786F00"/>
    <w:rsid w:val="00791FF2"/>
    <w:rsid w:val="0079281D"/>
    <w:rsid w:val="00794893"/>
    <w:rsid w:val="00794EA2"/>
    <w:rsid w:val="007A14C4"/>
    <w:rsid w:val="007A43CE"/>
    <w:rsid w:val="007C1FEF"/>
    <w:rsid w:val="007C3A6B"/>
    <w:rsid w:val="007C46D3"/>
    <w:rsid w:val="007C74F5"/>
    <w:rsid w:val="007D2C36"/>
    <w:rsid w:val="007E21DF"/>
    <w:rsid w:val="007E36F4"/>
    <w:rsid w:val="007F0B44"/>
    <w:rsid w:val="007F3D9F"/>
    <w:rsid w:val="007F45E6"/>
    <w:rsid w:val="007F66F9"/>
    <w:rsid w:val="0080292B"/>
    <w:rsid w:val="008034BE"/>
    <w:rsid w:val="008056C5"/>
    <w:rsid w:val="00805C23"/>
    <w:rsid w:val="00807113"/>
    <w:rsid w:val="00817DDA"/>
    <w:rsid w:val="00821011"/>
    <w:rsid w:val="008258DA"/>
    <w:rsid w:val="00827AE5"/>
    <w:rsid w:val="00847243"/>
    <w:rsid w:val="008642E1"/>
    <w:rsid w:val="00866AD4"/>
    <w:rsid w:val="00875A7C"/>
    <w:rsid w:val="0087612F"/>
    <w:rsid w:val="00877383"/>
    <w:rsid w:val="00880686"/>
    <w:rsid w:val="008836F4"/>
    <w:rsid w:val="008860C1"/>
    <w:rsid w:val="008909D4"/>
    <w:rsid w:val="008942FA"/>
    <w:rsid w:val="00897A68"/>
    <w:rsid w:val="008B25A5"/>
    <w:rsid w:val="008B52A0"/>
    <w:rsid w:val="008D0B3E"/>
    <w:rsid w:val="008D4D55"/>
    <w:rsid w:val="008E01D4"/>
    <w:rsid w:val="008E063A"/>
    <w:rsid w:val="008F140E"/>
    <w:rsid w:val="008F3D47"/>
    <w:rsid w:val="008F41A6"/>
    <w:rsid w:val="008F67F3"/>
    <w:rsid w:val="009045E0"/>
    <w:rsid w:val="00904D00"/>
    <w:rsid w:val="009108ED"/>
    <w:rsid w:val="00912037"/>
    <w:rsid w:val="00915CDA"/>
    <w:rsid w:val="00916E6B"/>
    <w:rsid w:val="00916E8D"/>
    <w:rsid w:val="00923B8C"/>
    <w:rsid w:val="00923C37"/>
    <w:rsid w:val="00925394"/>
    <w:rsid w:val="0092540D"/>
    <w:rsid w:val="009268A3"/>
    <w:rsid w:val="0093143D"/>
    <w:rsid w:val="0094204C"/>
    <w:rsid w:val="00944A7E"/>
    <w:rsid w:val="009466D9"/>
    <w:rsid w:val="00952FA6"/>
    <w:rsid w:val="00954382"/>
    <w:rsid w:val="00963DD8"/>
    <w:rsid w:val="00966427"/>
    <w:rsid w:val="00967614"/>
    <w:rsid w:val="00970358"/>
    <w:rsid w:val="009778D1"/>
    <w:rsid w:val="00980E93"/>
    <w:rsid w:val="00980F43"/>
    <w:rsid w:val="00981D62"/>
    <w:rsid w:val="00987869"/>
    <w:rsid w:val="00996D73"/>
    <w:rsid w:val="009A1143"/>
    <w:rsid w:val="009A2F4E"/>
    <w:rsid w:val="009A616E"/>
    <w:rsid w:val="009A69F0"/>
    <w:rsid w:val="009C1092"/>
    <w:rsid w:val="009C5B6C"/>
    <w:rsid w:val="009D4417"/>
    <w:rsid w:val="009D4970"/>
    <w:rsid w:val="009E0C0C"/>
    <w:rsid w:val="009E19B3"/>
    <w:rsid w:val="009E2519"/>
    <w:rsid w:val="009E6657"/>
    <w:rsid w:val="009F2769"/>
    <w:rsid w:val="009F44E5"/>
    <w:rsid w:val="009F71F8"/>
    <w:rsid w:val="00A03C1A"/>
    <w:rsid w:val="00A11155"/>
    <w:rsid w:val="00A14B89"/>
    <w:rsid w:val="00A201E2"/>
    <w:rsid w:val="00A21E6E"/>
    <w:rsid w:val="00A279B7"/>
    <w:rsid w:val="00A316A8"/>
    <w:rsid w:val="00A34037"/>
    <w:rsid w:val="00A341DF"/>
    <w:rsid w:val="00A36DEE"/>
    <w:rsid w:val="00A40407"/>
    <w:rsid w:val="00A503D8"/>
    <w:rsid w:val="00A51345"/>
    <w:rsid w:val="00A52611"/>
    <w:rsid w:val="00A54831"/>
    <w:rsid w:val="00A6078F"/>
    <w:rsid w:val="00A60EE4"/>
    <w:rsid w:val="00A62968"/>
    <w:rsid w:val="00A63ACE"/>
    <w:rsid w:val="00A76147"/>
    <w:rsid w:val="00A76879"/>
    <w:rsid w:val="00A833C8"/>
    <w:rsid w:val="00A8476F"/>
    <w:rsid w:val="00A86DFB"/>
    <w:rsid w:val="00A974DC"/>
    <w:rsid w:val="00AC0386"/>
    <w:rsid w:val="00AC62F8"/>
    <w:rsid w:val="00AD4FA7"/>
    <w:rsid w:val="00AD5BF9"/>
    <w:rsid w:val="00AE270A"/>
    <w:rsid w:val="00AE4AD2"/>
    <w:rsid w:val="00AE5F43"/>
    <w:rsid w:val="00AF1271"/>
    <w:rsid w:val="00AF6A23"/>
    <w:rsid w:val="00B11F28"/>
    <w:rsid w:val="00B23418"/>
    <w:rsid w:val="00B2426B"/>
    <w:rsid w:val="00B27095"/>
    <w:rsid w:val="00B31728"/>
    <w:rsid w:val="00B34F9E"/>
    <w:rsid w:val="00B373D2"/>
    <w:rsid w:val="00B42C55"/>
    <w:rsid w:val="00B44B23"/>
    <w:rsid w:val="00B4625A"/>
    <w:rsid w:val="00B50893"/>
    <w:rsid w:val="00B608D5"/>
    <w:rsid w:val="00B61D81"/>
    <w:rsid w:val="00B644CE"/>
    <w:rsid w:val="00B6642B"/>
    <w:rsid w:val="00B700A5"/>
    <w:rsid w:val="00B71307"/>
    <w:rsid w:val="00B75DD0"/>
    <w:rsid w:val="00B764F8"/>
    <w:rsid w:val="00B81607"/>
    <w:rsid w:val="00B8227E"/>
    <w:rsid w:val="00B86BE7"/>
    <w:rsid w:val="00B90597"/>
    <w:rsid w:val="00B90F20"/>
    <w:rsid w:val="00B91F1E"/>
    <w:rsid w:val="00BA3246"/>
    <w:rsid w:val="00BA411F"/>
    <w:rsid w:val="00BA527A"/>
    <w:rsid w:val="00BA56FF"/>
    <w:rsid w:val="00BB272C"/>
    <w:rsid w:val="00BB28CF"/>
    <w:rsid w:val="00BB4A89"/>
    <w:rsid w:val="00BB4ABC"/>
    <w:rsid w:val="00BB4C9F"/>
    <w:rsid w:val="00BB5574"/>
    <w:rsid w:val="00BC12BF"/>
    <w:rsid w:val="00BC5FF1"/>
    <w:rsid w:val="00BC6C11"/>
    <w:rsid w:val="00BD2C4F"/>
    <w:rsid w:val="00BD351F"/>
    <w:rsid w:val="00BD3EF3"/>
    <w:rsid w:val="00BE10E2"/>
    <w:rsid w:val="00BE51FF"/>
    <w:rsid w:val="00BE7A2A"/>
    <w:rsid w:val="00BF3561"/>
    <w:rsid w:val="00BF556C"/>
    <w:rsid w:val="00BF788F"/>
    <w:rsid w:val="00C01C25"/>
    <w:rsid w:val="00C01CD8"/>
    <w:rsid w:val="00C03F7C"/>
    <w:rsid w:val="00C05015"/>
    <w:rsid w:val="00C05EFD"/>
    <w:rsid w:val="00C065CC"/>
    <w:rsid w:val="00C10E68"/>
    <w:rsid w:val="00C21D3E"/>
    <w:rsid w:val="00C22083"/>
    <w:rsid w:val="00C23C6D"/>
    <w:rsid w:val="00C31F8A"/>
    <w:rsid w:val="00C32DEA"/>
    <w:rsid w:val="00C45053"/>
    <w:rsid w:val="00C50A91"/>
    <w:rsid w:val="00C52D74"/>
    <w:rsid w:val="00C5365F"/>
    <w:rsid w:val="00C56C48"/>
    <w:rsid w:val="00C616FD"/>
    <w:rsid w:val="00C63B58"/>
    <w:rsid w:val="00C67468"/>
    <w:rsid w:val="00C7001F"/>
    <w:rsid w:val="00C71F16"/>
    <w:rsid w:val="00C77723"/>
    <w:rsid w:val="00C800A9"/>
    <w:rsid w:val="00C80222"/>
    <w:rsid w:val="00C81731"/>
    <w:rsid w:val="00C86826"/>
    <w:rsid w:val="00C86D2C"/>
    <w:rsid w:val="00C90C76"/>
    <w:rsid w:val="00C9326D"/>
    <w:rsid w:val="00CA10D7"/>
    <w:rsid w:val="00CA3469"/>
    <w:rsid w:val="00CA5208"/>
    <w:rsid w:val="00CB09E0"/>
    <w:rsid w:val="00CC0679"/>
    <w:rsid w:val="00CC582B"/>
    <w:rsid w:val="00CC66AD"/>
    <w:rsid w:val="00CC69E8"/>
    <w:rsid w:val="00CC6AF3"/>
    <w:rsid w:val="00CD0A81"/>
    <w:rsid w:val="00CD2613"/>
    <w:rsid w:val="00CE06A2"/>
    <w:rsid w:val="00CE118B"/>
    <w:rsid w:val="00CE572E"/>
    <w:rsid w:val="00CF0112"/>
    <w:rsid w:val="00CF34BC"/>
    <w:rsid w:val="00D0057F"/>
    <w:rsid w:val="00D07030"/>
    <w:rsid w:val="00D100D1"/>
    <w:rsid w:val="00D11460"/>
    <w:rsid w:val="00D15F96"/>
    <w:rsid w:val="00D23E74"/>
    <w:rsid w:val="00D30B75"/>
    <w:rsid w:val="00D31DDA"/>
    <w:rsid w:val="00D341BD"/>
    <w:rsid w:val="00D44D7D"/>
    <w:rsid w:val="00D52978"/>
    <w:rsid w:val="00D57E53"/>
    <w:rsid w:val="00D609C0"/>
    <w:rsid w:val="00D60F74"/>
    <w:rsid w:val="00D632DC"/>
    <w:rsid w:val="00D708C3"/>
    <w:rsid w:val="00D72CCC"/>
    <w:rsid w:val="00D73E22"/>
    <w:rsid w:val="00D76683"/>
    <w:rsid w:val="00D850D0"/>
    <w:rsid w:val="00D94260"/>
    <w:rsid w:val="00D9642E"/>
    <w:rsid w:val="00DA03C5"/>
    <w:rsid w:val="00DA0A26"/>
    <w:rsid w:val="00DA36F2"/>
    <w:rsid w:val="00DA5E37"/>
    <w:rsid w:val="00DA7FA2"/>
    <w:rsid w:val="00DB041B"/>
    <w:rsid w:val="00DB17B2"/>
    <w:rsid w:val="00DC0672"/>
    <w:rsid w:val="00DC38CE"/>
    <w:rsid w:val="00DC40B3"/>
    <w:rsid w:val="00DC5CEE"/>
    <w:rsid w:val="00DC7E3C"/>
    <w:rsid w:val="00DD0726"/>
    <w:rsid w:val="00DD42DB"/>
    <w:rsid w:val="00DE276D"/>
    <w:rsid w:val="00DE2EE1"/>
    <w:rsid w:val="00DF401A"/>
    <w:rsid w:val="00DF5973"/>
    <w:rsid w:val="00DF6676"/>
    <w:rsid w:val="00DF738A"/>
    <w:rsid w:val="00DF7501"/>
    <w:rsid w:val="00DF7E66"/>
    <w:rsid w:val="00E0210F"/>
    <w:rsid w:val="00E12A67"/>
    <w:rsid w:val="00E12E4F"/>
    <w:rsid w:val="00E13C55"/>
    <w:rsid w:val="00E149A6"/>
    <w:rsid w:val="00E14C90"/>
    <w:rsid w:val="00E16205"/>
    <w:rsid w:val="00E254D9"/>
    <w:rsid w:val="00E25ACC"/>
    <w:rsid w:val="00E3280B"/>
    <w:rsid w:val="00E41433"/>
    <w:rsid w:val="00E4425B"/>
    <w:rsid w:val="00E47A53"/>
    <w:rsid w:val="00E501C6"/>
    <w:rsid w:val="00E545EC"/>
    <w:rsid w:val="00E55AD1"/>
    <w:rsid w:val="00E55CA2"/>
    <w:rsid w:val="00E568F5"/>
    <w:rsid w:val="00E56EF1"/>
    <w:rsid w:val="00E642B3"/>
    <w:rsid w:val="00E66EBA"/>
    <w:rsid w:val="00E7049B"/>
    <w:rsid w:val="00E7096B"/>
    <w:rsid w:val="00E727BB"/>
    <w:rsid w:val="00E727F2"/>
    <w:rsid w:val="00E7360B"/>
    <w:rsid w:val="00E73A43"/>
    <w:rsid w:val="00E749F1"/>
    <w:rsid w:val="00E838CE"/>
    <w:rsid w:val="00E87116"/>
    <w:rsid w:val="00E90F22"/>
    <w:rsid w:val="00E96021"/>
    <w:rsid w:val="00E97819"/>
    <w:rsid w:val="00E97968"/>
    <w:rsid w:val="00EA5F33"/>
    <w:rsid w:val="00EA7AFE"/>
    <w:rsid w:val="00EB3C20"/>
    <w:rsid w:val="00EC0B9E"/>
    <w:rsid w:val="00EC1EB5"/>
    <w:rsid w:val="00EC6B80"/>
    <w:rsid w:val="00ED0C45"/>
    <w:rsid w:val="00ED4142"/>
    <w:rsid w:val="00EE3152"/>
    <w:rsid w:val="00EF15CD"/>
    <w:rsid w:val="00EF6E21"/>
    <w:rsid w:val="00F0239E"/>
    <w:rsid w:val="00F03B73"/>
    <w:rsid w:val="00F07EFD"/>
    <w:rsid w:val="00F1164D"/>
    <w:rsid w:val="00F1200D"/>
    <w:rsid w:val="00F154DF"/>
    <w:rsid w:val="00F17C08"/>
    <w:rsid w:val="00F260DC"/>
    <w:rsid w:val="00F27D5C"/>
    <w:rsid w:val="00F340B8"/>
    <w:rsid w:val="00F37373"/>
    <w:rsid w:val="00F43F29"/>
    <w:rsid w:val="00F509AE"/>
    <w:rsid w:val="00F60941"/>
    <w:rsid w:val="00F60C52"/>
    <w:rsid w:val="00F60FAC"/>
    <w:rsid w:val="00F668C7"/>
    <w:rsid w:val="00F7013F"/>
    <w:rsid w:val="00F7110B"/>
    <w:rsid w:val="00F75A9F"/>
    <w:rsid w:val="00F75CE3"/>
    <w:rsid w:val="00F7793D"/>
    <w:rsid w:val="00F81080"/>
    <w:rsid w:val="00F8191D"/>
    <w:rsid w:val="00F8464A"/>
    <w:rsid w:val="00F85CDD"/>
    <w:rsid w:val="00F86156"/>
    <w:rsid w:val="00F90C43"/>
    <w:rsid w:val="00F920EB"/>
    <w:rsid w:val="00F930A9"/>
    <w:rsid w:val="00F938A3"/>
    <w:rsid w:val="00F94D4D"/>
    <w:rsid w:val="00F95896"/>
    <w:rsid w:val="00FA0275"/>
    <w:rsid w:val="00FA02A0"/>
    <w:rsid w:val="00FA24D1"/>
    <w:rsid w:val="00FA6FE2"/>
    <w:rsid w:val="00FA76D9"/>
    <w:rsid w:val="00FA7DDB"/>
    <w:rsid w:val="00FB0E89"/>
    <w:rsid w:val="00FB1D81"/>
    <w:rsid w:val="00FB231A"/>
    <w:rsid w:val="00FB4AA9"/>
    <w:rsid w:val="00FC11BC"/>
    <w:rsid w:val="00FC1435"/>
    <w:rsid w:val="00FC45CA"/>
    <w:rsid w:val="00FC49AB"/>
    <w:rsid w:val="00FC7F0C"/>
    <w:rsid w:val="00FD204A"/>
    <w:rsid w:val="00FD4866"/>
    <w:rsid w:val="00FE084D"/>
    <w:rsid w:val="00FF3007"/>
    <w:rsid w:val="00FF4BC4"/>
    <w:rsid w:val="00FF558C"/>
    <w:rsid w:val="00FF6E17"/>
    <w:rsid w:val="00FF7279"/>
    <w:rsid w:val="00FF79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04B00FB-EA37-4547-A875-DC807C255E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7DD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5129"/>
    <w:pPr>
      <w:ind w:left="720"/>
      <w:contextualSpacing/>
    </w:pPr>
  </w:style>
  <w:style w:type="table" w:styleId="TableGrid">
    <w:name w:val="Table Grid"/>
    <w:basedOn w:val="TableNormal"/>
    <w:rsid w:val="004D3C8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4D3C8C"/>
    <w:rPr>
      <w:strike w:val="0"/>
      <w:dstrike w:val="0"/>
      <w:color w:val="275E94"/>
      <w:u w:val="none"/>
      <w:effect w:val="none"/>
    </w:rPr>
  </w:style>
  <w:style w:type="paragraph" w:styleId="Header">
    <w:name w:val="header"/>
    <w:basedOn w:val="Normal"/>
    <w:link w:val="HeaderChar"/>
    <w:uiPriority w:val="99"/>
    <w:unhideWhenUsed/>
    <w:rsid w:val="0094204C"/>
    <w:pPr>
      <w:tabs>
        <w:tab w:val="center" w:pos="4680"/>
        <w:tab w:val="right" w:pos="9360"/>
      </w:tabs>
    </w:pPr>
  </w:style>
  <w:style w:type="character" w:customStyle="1" w:styleId="HeaderChar">
    <w:name w:val="Header Char"/>
    <w:basedOn w:val="DefaultParagraphFont"/>
    <w:link w:val="Header"/>
    <w:uiPriority w:val="99"/>
    <w:rsid w:val="0094204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4204C"/>
    <w:pPr>
      <w:tabs>
        <w:tab w:val="center" w:pos="4680"/>
        <w:tab w:val="right" w:pos="9360"/>
      </w:tabs>
    </w:pPr>
  </w:style>
  <w:style w:type="character" w:customStyle="1" w:styleId="FooterChar">
    <w:name w:val="Footer Char"/>
    <w:basedOn w:val="DefaultParagraphFont"/>
    <w:link w:val="Footer"/>
    <w:uiPriority w:val="99"/>
    <w:rsid w:val="0094204C"/>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C66AD"/>
    <w:rPr>
      <w:rFonts w:ascii="Tahoma" w:hAnsi="Tahoma" w:cs="Tahoma"/>
      <w:sz w:val="16"/>
      <w:szCs w:val="16"/>
    </w:rPr>
  </w:style>
  <w:style w:type="character" w:customStyle="1" w:styleId="BalloonTextChar">
    <w:name w:val="Balloon Text Char"/>
    <w:basedOn w:val="DefaultParagraphFont"/>
    <w:link w:val="BalloonText"/>
    <w:uiPriority w:val="99"/>
    <w:semiHidden/>
    <w:rsid w:val="00CC66AD"/>
    <w:rPr>
      <w:rFonts w:ascii="Tahoma" w:eastAsia="Times New Roman" w:hAnsi="Tahoma" w:cs="Tahoma"/>
      <w:sz w:val="16"/>
      <w:szCs w:val="16"/>
    </w:rPr>
  </w:style>
  <w:style w:type="character" w:styleId="FollowedHyperlink">
    <w:name w:val="FollowedHyperlink"/>
    <w:basedOn w:val="DefaultParagraphFont"/>
    <w:uiPriority w:val="99"/>
    <w:semiHidden/>
    <w:unhideWhenUsed/>
    <w:rsid w:val="0054350A"/>
    <w:rPr>
      <w:color w:val="800080" w:themeColor="followedHyperlink"/>
      <w:u w:val="single"/>
    </w:rPr>
  </w:style>
  <w:style w:type="character" w:styleId="Strong">
    <w:name w:val="Strong"/>
    <w:basedOn w:val="DefaultParagraphFont"/>
    <w:uiPriority w:val="22"/>
    <w:qFormat/>
    <w:rsid w:val="008860C1"/>
    <w:rPr>
      <w:b/>
      <w:bCs/>
    </w:rPr>
  </w:style>
  <w:style w:type="character" w:styleId="CommentReference">
    <w:name w:val="annotation reference"/>
    <w:basedOn w:val="DefaultParagraphFont"/>
    <w:uiPriority w:val="99"/>
    <w:semiHidden/>
    <w:unhideWhenUsed/>
    <w:rsid w:val="001324D2"/>
    <w:rPr>
      <w:sz w:val="16"/>
      <w:szCs w:val="16"/>
    </w:rPr>
  </w:style>
  <w:style w:type="paragraph" w:styleId="CommentText">
    <w:name w:val="annotation text"/>
    <w:basedOn w:val="Normal"/>
    <w:link w:val="CommentTextChar"/>
    <w:uiPriority w:val="99"/>
    <w:semiHidden/>
    <w:unhideWhenUsed/>
    <w:rsid w:val="001324D2"/>
    <w:rPr>
      <w:sz w:val="20"/>
      <w:szCs w:val="20"/>
    </w:rPr>
  </w:style>
  <w:style w:type="character" w:customStyle="1" w:styleId="CommentTextChar">
    <w:name w:val="Comment Text Char"/>
    <w:basedOn w:val="DefaultParagraphFont"/>
    <w:link w:val="CommentText"/>
    <w:uiPriority w:val="99"/>
    <w:semiHidden/>
    <w:rsid w:val="001324D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324D2"/>
    <w:rPr>
      <w:b/>
      <w:bCs/>
    </w:rPr>
  </w:style>
  <w:style w:type="character" w:customStyle="1" w:styleId="CommentSubjectChar">
    <w:name w:val="Comment Subject Char"/>
    <w:basedOn w:val="CommentTextChar"/>
    <w:link w:val="CommentSubject"/>
    <w:uiPriority w:val="99"/>
    <w:semiHidden/>
    <w:rsid w:val="001324D2"/>
    <w:rPr>
      <w:rFonts w:ascii="Times New Roman" w:eastAsia="Times New Roman" w:hAnsi="Times New Roman" w:cs="Times New Roman"/>
      <w:b/>
      <w:bCs/>
      <w:sz w:val="20"/>
      <w:szCs w:val="20"/>
    </w:rPr>
  </w:style>
  <w:style w:type="character" w:styleId="Emphasis">
    <w:name w:val="Emphasis"/>
    <w:basedOn w:val="DefaultParagraphFont"/>
    <w:uiPriority w:val="20"/>
    <w:qFormat/>
    <w:rsid w:val="00FB0E89"/>
    <w:rPr>
      <w:b/>
      <w:bCs/>
      <w:i w:val="0"/>
      <w:iCs w:val="0"/>
    </w:rPr>
  </w:style>
  <w:style w:type="paragraph" w:styleId="Revision">
    <w:name w:val="Revision"/>
    <w:hidden/>
    <w:uiPriority w:val="99"/>
    <w:semiHidden/>
    <w:rsid w:val="004C7DB2"/>
    <w:pPr>
      <w:spacing w:after="0" w:line="240" w:lineRule="auto"/>
    </w:pPr>
    <w:rPr>
      <w:rFonts w:ascii="Times New Roman" w:eastAsia="Times New Roman" w:hAnsi="Times New Roman" w:cs="Times New Roman"/>
      <w:sz w:val="24"/>
      <w:szCs w:val="24"/>
    </w:rPr>
  </w:style>
  <w:style w:type="paragraph" w:customStyle="1" w:styleId="xl66">
    <w:name w:val="xl66"/>
    <w:basedOn w:val="Normal"/>
    <w:rsid w:val="004D531F"/>
    <w:pPr>
      <w:spacing w:before="100" w:beforeAutospacing="1" w:after="100" w:afterAutospacing="1"/>
      <w:jc w:val="right"/>
    </w:pPr>
  </w:style>
  <w:style w:type="paragraph" w:customStyle="1" w:styleId="xl67">
    <w:name w:val="xl67"/>
    <w:basedOn w:val="Normal"/>
    <w:rsid w:val="004D531F"/>
    <w:pPr>
      <w:spacing w:before="100" w:beforeAutospacing="1" w:after="100" w:afterAutospacing="1"/>
      <w:textAlignment w:val="top"/>
    </w:pPr>
  </w:style>
  <w:style w:type="paragraph" w:customStyle="1" w:styleId="xl69">
    <w:name w:val="xl69"/>
    <w:basedOn w:val="Normal"/>
    <w:rsid w:val="004D531F"/>
    <w:pPr>
      <w:shd w:val="clear" w:color="000000" w:fill="D9D9D9"/>
      <w:spacing w:before="100" w:beforeAutospacing="1" w:after="100" w:afterAutospacing="1"/>
    </w:pPr>
  </w:style>
  <w:style w:type="paragraph" w:customStyle="1" w:styleId="xl70">
    <w:name w:val="xl70"/>
    <w:basedOn w:val="Normal"/>
    <w:rsid w:val="004D531F"/>
    <w:pPr>
      <w:shd w:val="clear" w:color="000000" w:fill="D9D9D9"/>
      <w:spacing w:before="100" w:beforeAutospacing="1" w:after="100" w:afterAutospacing="1"/>
    </w:pPr>
  </w:style>
  <w:style w:type="paragraph" w:customStyle="1" w:styleId="xl71">
    <w:name w:val="xl71"/>
    <w:basedOn w:val="Normal"/>
    <w:rsid w:val="004D531F"/>
    <w:pPr>
      <w:shd w:val="clear" w:color="000000" w:fill="D9D9D9"/>
      <w:spacing w:before="100" w:beforeAutospacing="1" w:after="100" w:afterAutospacing="1"/>
      <w:jc w:val="right"/>
    </w:pPr>
  </w:style>
  <w:style w:type="paragraph" w:customStyle="1" w:styleId="xl72">
    <w:name w:val="xl72"/>
    <w:basedOn w:val="Normal"/>
    <w:rsid w:val="004D531F"/>
    <w:pPr>
      <w:shd w:val="clear" w:color="000000" w:fill="D9D9D9"/>
      <w:spacing w:before="100" w:beforeAutospacing="1" w:after="100" w:afterAutospacing="1"/>
    </w:pPr>
  </w:style>
  <w:style w:type="paragraph" w:customStyle="1" w:styleId="xl73">
    <w:name w:val="xl73"/>
    <w:basedOn w:val="Normal"/>
    <w:rsid w:val="004D531F"/>
    <w:pPr>
      <w:spacing w:before="100" w:beforeAutospacing="1" w:after="100" w:afterAutospacing="1"/>
      <w:textAlignment w:val="top"/>
    </w:pPr>
    <w:rPr>
      <w:b/>
      <w:bCs/>
    </w:rPr>
  </w:style>
  <w:style w:type="paragraph" w:customStyle="1" w:styleId="xl74">
    <w:name w:val="xl74"/>
    <w:basedOn w:val="Normal"/>
    <w:rsid w:val="004D531F"/>
    <w:pPr>
      <w:spacing w:before="100" w:beforeAutospacing="1" w:after="100" w:afterAutospacing="1"/>
      <w:textAlignment w:val="top"/>
    </w:pPr>
    <w:rPr>
      <w:b/>
      <w:bCs/>
    </w:rPr>
  </w:style>
  <w:style w:type="paragraph" w:customStyle="1" w:styleId="xl75">
    <w:name w:val="xl75"/>
    <w:basedOn w:val="Normal"/>
    <w:rsid w:val="004D531F"/>
    <w:pPr>
      <w:spacing w:before="100" w:beforeAutospacing="1" w:after="100" w:afterAutospacing="1"/>
      <w:jc w:val="right"/>
      <w:textAlignment w:val="top"/>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848282">
      <w:bodyDiv w:val="1"/>
      <w:marLeft w:val="0"/>
      <w:marRight w:val="0"/>
      <w:marTop w:val="0"/>
      <w:marBottom w:val="0"/>
      <w:divBdr>
        <w:top w:val="none" w:sz="0" w:space="0" w:color="auto"/>
        <w:left w:val="none" w:sz="0" w:space="0" w:color="auto"/>
        <w:bottom w:val="none" w:sz="0" w:space="0" w:color="auto"/>
        <w:right w:val="none" w:sz="0" w:space="0" w:color="auto"/>
      </w:divBdr>
    </w:div>
    <w:div w:id="55132259">
      <w:bodyDiv w:val="1"/>
      <w:marLeft w:val="0"/>
      <w:marRight w:val="0"/>
      <w:marTop w:val="0"/>
      <w:marBottom w:val="0"/>
      <w:divBdr>
        <w:top w:val="none" w:sz="0" w:space="0" w:color="auto"/>
        <w:left w:val="none" w:sz="0" w:space="0" w:color="auto"/>
        <w:bottom w:val="none" w:sz="0" w:space="0" w:color="auto"/>
        <w:right w:val="none" w:sz="0" w:space="0" w:color="auto"/>
      </w:divBdr>
    </w:div>
    <w:div w:id="98374985">
      <w:bodyDiv w:val="1"/>
      <w:marLeft w:val="0"/>
      <w:marRight w:val="0"/>
      <w:marTop w:val="0"/>
      <w:marBottom w:val="0"/>
      <w:divBdr>
        <w:top w:val="none" w:sz="0" w:space="0" w:color="auto"/>
        <w:left w:val="none" w:sz="0" w:space="0" w:color="auto"/>
        <w:bottom w:val="none" w:sz="0" w:space="0" w:color="auto"/>
        <w:right w:val="none" w:sz="0" w:space="0" w:color="auto"/>
      </w:divBdr>
    </w:div>
    <w:div w:id="234708823">
      <w:bodyDiv w:val="1"/>
      <w:marLeft w:val="0"/>
      <w:marRight w:val="0"/>
      <w:marTop w:val="0"/>
      <w:marBottom w:val="0"/>
      <w:divBdr>
        <w:top w:val="none" w:sz="0" w:space="0" w:color="auto"/>
        <w:left w:val="none" w:sz="0" w:space="0" w:color="auto"/>
        <w:bottom w:val="none" w:sz="0" w:space="0" w:color="auto"/>
        <w:right w:val="none" w:sz="0" w:space="0" w:color="auto"/>
      </w:divBdr>
    </w:div>
    <w:div w:id="281151798">
      <w:bodyDiv w:val="1"/>
      <w:marLeft w:val="0"/>
      <w:marRight w:val="0"/>
      <w:marTop w:val="0"/>
      <w:marBottom w:val="0"/>
      <w:divBdr>
        <w:top w:val="none" w:sz="0" w:space="0" w:color="auto"/>
        <w:left w:val="none" w:sz="0" w:space="0" w:color="auto"/>
        <w:bottom w:val="none" w:sz="0" w:space="0" w:color="auto"/>
        <w:right w:val="none" w:sz="0" w:space="0" w:color="auto"/>
      </w:divBdr>
    </w:div>
    <w:div w:id="296036278">
      <w:bodyDiv w:val="1"/>
      <w:marLeft w:val="0"/>
      <w:marRight w:val="0"/>
      <w:marTop w:val="0"/>
      <w:marBottom w:val="0"/>
      <w:divBdr>
        <w:top w:val="none" w:sz="0" w:space="0" w:color="auto"/>
        <w:left w:val="none" w:sz="0" w:space="0" w:color="auto"/>
        <w:bottom w:val="none" w:sz="0" w:space="0" w:color="auto"/>
        <w:right w:val="none" w:sz="0" w:space="0" w:color="auto"/>
      </w:divBdr>
    </w:div>
    <w:div w:id="330958366">
      <w:bodyDiv w:val="1"/>
      <w:marLeft w:val="0"/>
      <w:marRight w:val="0"/>
      <w:marTop w:val="0"/>
      <w:marBottom w:val="0"/>
      <w:divBdr>
        <w:top w:val="none" w:sz="0" w:space="0" w:color="auto"/>
        <w:left w:val="none" w:sz="0" w:space="0" w:color="auto"/>
        <w:bottom w:val="none" w:sz="0" w:space="0" w:color="auto"/>
        <w:right w:val="none" w:sz="0" w:space="0" w:color="auto"/>
      </w:divBdr>
    </w:div>
    <w:div w:id="452602578">
      <w:bodyDiv w:val="1"/>
      <w:marLeft w:val="0"/>
      <w:marRight w:val="0"/>
      <w:marTop w:val="0"/>
      <w:marBottom w:val="0"/>
      <w:divBdr>
        <w:top w:val="none" w:sz="0" w:space="0" w:color="auto"/>
        <w:left w:val="none" w:sz="0" w:space="0" w:color="auto"/>
        <w:bottom w:val="none" w:sz="0" w:space="0" w:color="auto"/>
        <w:right w:val="none" w:sz="0" w:space="0" w:color="auto"/>
      </w:divBdr>
    </w:div>
    <w:div w:id="490561360">
      <w:bodyDiv w:val="1"/>
      <w:marLeft w:val="0"/>
      <w:marRight w:val="0"/>
      <w:marTop w:val="0"/>
      <w:marBottom w:val="0"/>
      <w:divBdr>
        <w:top w:val="none" w:sz="0" w:space="0" w:color="auto"/>
        <w:left w:val="none" w:sz="0" w:space="0" w:color="auto"/>
        <w:bottom w:val="none" w:sz="0" w:space="0" w:color="auto"/>
        <w:right w:val="none" w:sz="0" w:space="0" w:color="auto"/>
      </w:divBdr>
    </w:div>
    <w:div w:id="510416947">
      <w:bodyDiv w:val="1"/>
      <w:marLeft w:val="0"/>
      <w:marRight w:val="0"/>
      <w:marTop w:val="0"/>
      <w:marBottom w:val="0"/>
      <w:divBdr>
        <w:top w:val="none" w:sz="0" w:space="0" w:color="auto"/>
        <w:left w:val="none" w:sz="0" w:space="0" w:color="auto"/>
        <w:bottom w:val="none" w:sz="0" w:space="0" w:color="auto"/>
        <w:right w:val="none" w:sz="0" w:space="0" w:color="auto"/>
      </w:divBdr>
    </w:div>
    <w:div w:id="592320904">
      <w:bodyDiv w:val="1"/>
      <w:marLeft w:val="0"/>
      <w:marRight w:val="0"/>
      <w:marTop w:val="0"/>
      <w:marBottom w:val="0"/>
      <w:divBdr>
        <w:top w:val="none" w:sz="0" w:space="0" w:color="auto"/>
        <w:left w:val="none" w:sz="0" w:space="0" w:color="auto"/>
        <w:bottom w:val="none" w:sz="0" w:space="0" w:color="auto"/>
        <w:right w:val="none" w:sz="0" w:space="0" w:color="auto"/>
      </w:divBdr>
    </w:div>
    <w:div w:id="615790268">
      <w:bodyDiv w:val="1"/>
      <w:marLeft w:val="0"/>
      <w:marRight w:val="0"/>
      <w:marTop w:val="0"/>
      <w:marBottom w:val="0"/>
      <w:divBdr>
        <w:top w:val="none" w:sz="0" w:space="0" w:color="auto"/>
        <w:left w:val="none" w:sz="0" w:space="0" w:color="auto"/>
        <w:bottom w:val="none" w:sz="0" w:space="0" w:color="auto"/>
        <w:right w:val="none" w:sz="0" w:space="0" w:color="auto"/>
      </w:divBdr>
    </w:div>
    <w:div w:id="711224658">
      <w:bodyDiv w:val="1"/>
      <w:marLeft w:val="0"/>
      <w:marRight w:val="0"/>
      <w:marTop w:val="0"/>
      <w:marBottom w:val="0"/>
      <w:divBdr>
        <w:top w:val="none" w:sz="0" w:space="0" w:color="auto"/>
        <w:left w:val="none" w:sz="0" w:space="0" w:color="auto"/>
        <w:bottom w:val="none" w:sz="0" w:space="0" w:color="auto"/>
        <w:right w:val="none" w:sz="0" w:space="0" w:color="auto"/>
      </w:divBdr>
    </w:div>
    <w:div w:id="824857814">
      <w:bodyDiv w:val="1"/>
      <w:marLeft w:val="0"/>
      <w:marRight w:val="0"/>
      <w:marTop w:val="0"/>
      <w:marBottom w:val="0"/>
      <w:divBdr>
        <w:top w:val="none" w:sz="0" w:space="0" w:color="auto"/>
        <w:left w:val="none" w:sz="0" w:space="0" w:color="auto"/>
        <w:bottom w:val="none" w:sz="0" w:space="0" w:color="auto"/>
        <w:right w:val="none" w:sz="0" w:space="0" w:color="auto"/>
      </w:divBdr>
    </w:div>
    <w:div w:id="915171446">
      <w:bodyDiv w:val="1"/>
      <w:marLeft w:val="0"/>
      <w:marRight w:val="0"/>
      <w:marTop w:val="0"/>
      <w:marBottom w:val="0"/>
      <w:divBdr>
        <w:top w:val="none" w:sz="0" w:space="0" w:color="auto"/>
        <w:left w:val="none" w:sz="0" w:space="0" w:color="auto"/>
        <w:bottom w:val="none" w:sz="0" w:space="0" w:color="auto"/>
        <w:right w:val="none" w:sz="0" w:space="0" w:color="auto"/>
      </w:divBdr>
    </w:div>
    <w:div w:id="928729782">
      <w:bodyDiv w:val="1"/>
      <w:marLeft w:val="0"/>
      <w:marRight w:val="0"/>
      <w:marTop w:val="0"/>
      <w:marBottom w:val="0"/>
      <w:divBdr>
        <w:top w:val="none" w:sz="0" w:space="0" w:color="auto"/>
        <w:left w:val="none" w:sz="0" w:space="0" w:color="auto"/>
        <w:bottom w:val="none" w:sz="0" w:space="0" w:color="auto"/>
        <w:right w:val="none" w:sz="0" w:space="0" w:color="auto"/>
      </w:divBdr>
    </w:div>
    <w:div w:id="966008385">
      <w:bodyDiv w:val="1"/>
      <w:marLeft w:val="0"/>
      <w:marRight w:val="0"/>
      <w:marTop w:val="0"/>
      <w:marBottom w:val="0"/>
      <w:divBdr>
        <w:top w:val="none" w:sz="0" w:space="0" w:color="auto"/>
        <w:left w:val="none" w:sz="0" w:space="0" w:color="auto"/>
        <w:bottom w:val="none" w:sz="0" w:space="0" w:color="auto"/>
        <w:right w:val="none" w:sz="0" w:space="0" w:color="auto"/>
      </w:divBdr>
    </w:div>
    <w:div w:id="1093278543">
      <w:bodyDiv w:val="1"/>
      <w:marLeft w:val="0"/>
      <w:marRight w:val="0"/>
      <w:marTop w:val="0"/>
      <w:marBottom w:val="0"/>
      <w:divBdr>
        <w:top w:val="none" w:sz="0" w:space="0" w:color="auto"/>
        <w:left w:val="none" w:sz="0" w:space="0" w:color="auto"/>
        <w:bottom w:val="none" w:sz="0" w:space="0" w:color="auto"/>
        <w:right w:val="none" w:sz="0" w:space="0" w:color="auto"/>
      </w:divBdr>
    </w:div>
    <w:div w:id="1185483765">
      <w:bodyDiv w:val="1"/>
      <w:marLeft w:val="0"/>
      <w:marRight w:val="0"/>
      <w:marTop w:val="0"/>
      <w:marBottom w:val="0"/>
      <w:divBdr>
        <w:top w:val="none" w:sz="0" w:space="0" w:color="auto"/>
        <w:left w:val="none" w:sz="0" w:space="0" w:color="auto"/>
        <w:bottom w:val="none" w:sz="0" w:space="0" w:color="auto"/>
        <w:right w:val="none" w:sz="0" w:space="0" w:color="auto"/>
      </w:divBdr>
    </w:div>
    <w:div w:id="1194878917">
      <w:bodyDiv w:val="1"/>
      <w:marLeft w:val="0"/>
      <w:marRight w:val="0"/>
      <w:marTop w:val="0"/>
      <w:marBottom w:val="0"/>
      <w:divBdr>
        <w:top w:val="none" w:sz="0" w:space="0" w:color="auto"/>
        <w:left w:val="none" w:sz="0" w:space="0" w:color="auto"/>
        <w:bottom w:val="none" w:sz="0" w:space="0" w:color="auto"/>
        <w:right w:val="none" w:sz="0" w:space="0" w:color="auto"/>
      </w:divBdr>
    </w:div>
    <w:div w:id="1249658711">
      <w:bodyDiv w:val="1"/>
      <w:marLeft w:val="0"/>
      <w:marRight w:val="0"/>
      <w:marTop w:val="0"/>
      <w:marBottom w:val="0"/>
      <w:divBdr>
        <w:top w:val="none" w:sz="0" w:space="0" w:color="auto"/>
        <w:left w:val="none" w:sz="0" w:space="0" w:color="auto"/>
        <w:bottom w:val="none" w:sz="0" w:space="0" w:color="auto"/>
        <w:right w:val="none" w:sz="0" w:space="0" w:color="auto"/>
      </w:divBdr>
    </w:div>
    <w:div w:id="1249920261">
      <w:bodyDiv w:val="1"/>
      <w:marLeft w:val="0"/>
      <w:marRight w:val="0"/>
      <w:marTop w:val="0"/>
      <w:marBottom w:val="0"/>
      <w:divBdr>
        <w:top w:val="none" w:sz="0" w:space="0" w:color="auto"/>
        <w:left w:val="none" w:sz="0" w:space="0" w:color="auto"/>
        <w:bottom w:val="none" w:sz="0" w:space="0" w:color="auto"/>
        <w:right w:val="none" w:sz="0" w:space="0" w:color="auto"/>
      </w:divBdr>
    </w:div>
    <w:div w:id="1290284235">
      <w:bodyDiv w:val="1"/>
      <w:marLeft w:val="0"/>
      <w:marRight w:val="0"/>
      <w:marTop w:val="0"/>
      <w:marBottom w:val="0"/>
      <w:divBdr>
        <w:top w:val="none" w:sz="0" w:space="0" w:color="auto"/>
        <w:left w:val="none" w:sz="0" w:space="0" w:color="auto"/>
        <w:bottom w:val="none" w:sz="0" w:space="0" w:color="auto"/>
        <w:right w:val="none" w:sz="0" w:space="0" w:color="auto"/>
      </w:divBdr>
    </w:div>
    <w:div w:id="1335840435">
      <w:bodyDiv w:val="1"/>
      <w:marLeft w:val="0"/>
      <w:marRight w:val="0"/>
      <w:marTop w:val="0"/>
      <w:marBottom w:val="0"/>
      <w:divBdr>
        <w:top w:val="none" w:sz="0" w:space="0" w:color="auto"/>
        <w:left w:val="none" w:sz="0" w:space="0" w:color="auto"/>
        <w:bottom w:val="none" w:sz="0" w:space="0" w:color="auto"/>
        <w:right w:val="none" w:sz="0" w:space="0" w:color="auto"/>
      </w:divBdr>
    </w:div>
    <w:div w:id="1336611112">
      <w:bodyDiv w:val="1"/>
      <w:marLeft w:val="0"/>
      <w:marRight w:val="0"/>
      <w:marTop w:val="0"/>
      <w:marBottom w:val="0"/>
      <w:divBdr>
        <w:top w:val="none" w:sz="0" w:space="0" w:color="auto"/>
        <w:left w:val="none" w:sz="0" w:space="0" w:color="auto"/>
        <w:bottom w:val="none" w:sz="0" w:space="0" w:color="auto"/>
        <w:right w:val="none" w:sz="0" w:space="0" w:color="auto"/>
      </w:divBdr>
    </w:div>
    <w:div w:id="1392076552">
      <w:bodyDiv w:val="1"/>
      <w:marLeft w:val="0"/>
      <w:marRight w:val="0"/>
      <w:marTop w:val="0"/>
      <w:marBottom w:val="0"/>
      <w:divBdr>
        <w:top w:val="none" w:sz="0" w:space="0" w:color="auto"/>
        <w:left w:val="none" w:sz="0" w:space="0" w:color="auto"/>
        <w:bottom w:val="none" w:sz="0" w:space="0" w:color="auto"/>
        <w:right w:val="none" w:sz="0" w:space="0" w:color="auto"/>
      </w:divBdr>
    </w:div>
    <w:div w:id="1422797451">
      <w:bodyDiv w:val="1"/>
      <w:marLeft w:val="0"/>
      <w:marRight w:val="0"/>
      <w:marTop w:val="0"/>
      <w:marBottom w:val="0"/>
      <w:divBdr>
        <w:top w:val="none" w:sz="0" w:space="0" w:color="auto"/>
        <w:left w:val="none" w:sz="0" w:space="0" w:color="auto"/>
        <w:bottom w:val="none" w:sz="0" w:space="0" w:color="auto"/>
        <w:right w:val="none" w:sz="0" w:space="0" w:color="auto"/>
      </w:divBdr>
    </w:div>
    <w:div w:id="1500003218">
      <w:bodyDiv w:val="1"/>
      <w:marLeft w:val="0"/>
      <w:marRight w:val="0"/>
      <w:marTop w:val="0"/>
      <w:marBottom w:val="0"/>
      <w:divBdr>
        <w:top w:val="none" w:sz="0" w:space="0" w:color="auto"/>
        <w:left w:val="none" w:sz="0" w:space="0" w:color="auto"/>
        <w:bottom w:val="none" w:sz="0" w:space="0" w:color="auto"/>
        <w:right w:val="none" w:sz="0" w:space="0" w:color="auto"/>
      </w:divBdr>
    </w:div>
    <w:div w:id="1505246628">
      <w:bodyDiv w:val="1"/>
      <w:marLeft w:val="0"/>
      <w:marRight w:val="0"/>
      <w:marTop w:val="0"/>
      <w:marBottom w:val="0"/>
      <w:divBdr>
        <w:top w:val="none" w:sz="0" w:space="0" w:color="auto"/>
        <w:left w:val="none" w:sz="0" w:space="0" w:color="auto"/>
        <w:bottom w:val="none" w:sz="0" w:space="0" w:color="auto"/>
        <w:right w:val="none" w:sz="0" w:space="0" w:color="auto"/>
      </w:divBdr>
    </w:div>
    <w:div w:id="1511064972">
      <w:bodyDiv w:val="1"/>
      <w:marLeft w:val="0"/>
      <w:marRight w:val="0"/>
      <w:marTop w:val="0"/>
      <w:marBottom w:val="0"/>
      <w:divBdr>
        <w:top w:val="none" w:sz="0" w:space="0" w:color="auto"/>
        <w:left w:val="none" w:sz="0" w:space="0" w:color="auto"/>
        <w:bottom w:val="none" w:sz="0" w:space="0" w:color="auto"/>
        <w:right w:val="none" w:sz="0" w:space="0" w:color="auto"/>
      </w:divBdr>
    </w:div>
    <w:div w:id="1521119309">
      <w:bodyDiv w:val="1"/>
      <w:marLeft w:val="0"/>
      <w:marRight w:val="0"/>
      <w:marTop w:val="0"/>
      <w:marBottom w:val="0"/>
      <w:divBdr>
        <w:top w:val="none" w:sz="0" w:space="0" w:color="auto"/>
        <w:left w:val="none" w:sz="0" w:space="0" w:color="auto"/>
        <w:bottom w:val="none" w:sz="0" w:space="0" w:color="auto"/>
        <w:right w:val="none" w:sz="0" w:space="0" w:color="auto"/>
      </w:divBdr>
    </w:div>
    <w:div w:id="1532955792">
      <w:bodyDiv w:val="1"/>
      <w:marLeft w:val="0"/>
      <w:marRight w:val="0"/>
      <w:marTop w:val="0"/>
      <w:marBottom w:val="0"/>
      <w:divBdr>
        <w:top w:val="none" w:sz="0" w:space="0" w:color="auto"/>
        <w:left w:val="none" w:sz="0" w:space="0" w:color="auto"/>
        <w:bottom w:val="none" w:sz="0" w:space="0" w:color="auto"/>
        <w:right w:val="none" w:sz="0" w:space="0" w:color="auto"/>
      </w:divBdr>
    </w:div>
    <w:div w:id="1554122605">
      <w:bodyDiv w:val="1"/>
      <w:marLeft w:val="0"/>
      <w:marRight w:val="0"/>
      <w:marTop w:val="0"/>
      <w:marBottom w:val="0"/>
      <w:divBdr>
        <w:top w:val="none" w:sz="0" w:space="0" w:color="auto"/>
        <w:left w:val="none" w:sz="0" w:space="0" w:color="auto"/>
        <w:bottom w:val="none" w:sz="0" w:space="0" w:color="auto"/>
        <w:right w:val="none" w:sz="0" w:space="0" w:color="auto"/>
      </w:divBdr>
    </w:div>
    <w:div w:id="1584531634">
      <w:bodyDiv w:val="1"/>
      <w:marLeft w:val="0"/>
      <w:marRight w:val="0"/>
      <w:marTop w:val="0"/>
      <w:marBottom w:val="0"/>
      <w:divBdr>
        <w:top w:val="none" w:sz="0" w:space="0" w:color="auto"/>
        <w:left w:val="none" w:sz="0" w:space="0" w:color="auto"/>
        <w:bottom w:val="none" w:sz="0" w:space="0" w:color="auto"/>
        <w:right w:val="none" w:sz="0" w:space="0" w:color="auto"/>
      </w:divBdr>
    </w:div>
    <w:div w:id="1687632413">
      <w:bodyDiv w:val="1"/>
      <w:marLeft w:val="0"/>
      <w:marRight w:val="0"/>
      <w:marTop w:val="0"/>
      <w:marBottom w:val="0"/>
      <w:divBdr>
        <w:top w:val="none" w:sz="0" w:space="0" w:color="auto"/>
        <w:left w:val="none" w:sz="0" w:space="0" w:color="auto"/>
        <w:bottom w:val="none" w:sz="0" w:space="0" w:color="auto"/>
        <w:right w:val="none" w:sz="0" w:space="0" w:color="auto"/>
      </w:divBdr>
    </w:div>
    <w:div w:id="1759978385">
      <w:bodyDiv w:val="1"/>
      <w:marLeft w:val="0"/>
      <w:marRight w:val="0"/>
      <w:marTop w:val="0"/>
      <w:marBottom w:val="0"/>
      <w:divBdr>
        <w:top w:val="none" w:sz="0" w:space="0" w:color="auto"/>
        <w:left w:val="none" w:sz="0" w:space="0" w:color="auto"/>
        <w:bottom w:val="none" w:sz="0" w:space="0" w:color="auto"/>
        <w:right w:val="none" w:sz="0" w:space="0" w:color="auto"/>
      </w:divBdr>
    </w:div>
    <w:div w:id="1762410750">
      <w:bodyDiv w:val="1"/>
      <w:marLeft w:val="0"/>
      <w:marRight w:val="0"/>
      <w:marTop w:val="0"/>
      <w:marBottom w:val="0"/>
      <w:divBdr>
        <w:top w:val="none" w:sz="0" w:space="0" w:color="auto"/>
        <w:left w:val="none" w:sz="0" w:space="0" w:color="auto"/>
        <w:bottom w:val="none" w:sz="0" w:space="0" w:color="auto"/>
        <w:right w:val="none" w:sz="0" w:space="0" w:color="auto"/>
      </w:divBdr>
    </w:div>
    <w:div w:id="1792824019">
      <w:bodyDiv w:val="1"/>
      <w:marLeft w:val="0"/>
      <w:marRight w:val="0"/>
      <w:marTop w:val="0"/>
      <w:marBottom w:val="0"/>
      <w:divBdr>
        <w:top w:val="none" w:sz="0" w:space="0" w:color="auto"/>
        <w:left w:val="none" w:sz="0" w:space="0" w:color="auto"/>
        <w:bottom w:val="none" w:sz="0" w:space="0" w:color="auto"/>
        <w:right w:val="none" w:sz="0" w:space="0" w:color="auto"/>
      </w:divBdr>
    </w:div>
    <w:div w:id="1855260892">
      <w:bodyDiv w:val="1"/>
      <w:marLeft w:val="0"/>
      <w:marRight w:val="0"/>
      <w:marTop w:val="0"/>
      <w:marBottom w:val="0"/>
      <w:divBdr>
        <w:top w:val="none" w:sz="0" w:space="0" w:color="auto"/>
        <w:left w:val="none" w:sz="0" w:space="0" w:color="auto"/>
        <w:bottom w:val="none" w:sz="0" w:space="0" w:color="auto"/>
        <w:right w:val="none" w:sz="0" w:space="0" w:color="auto"/>
      </w:divBdr>
    </w:div>
    <w:div w:id="1961177994">
      <w:bodyDiv w:val="1"/>
      <w:marLeft w:val="0"/>
      <w:marRight w:val="0"/>
      <w:marTop w:val="0"/>
      <w:marBottom w:val="0"/>
      <w:divBdr>
        <w:top w:val="none" w:sz="0" w:space="0" w:color="auto"/>
        <w:left w:val="none" w:sz="0" w:space="0" w:color="auto"/>
        <w:bottom w:val="none" w:sz="0" w:space="0" w:color="auto"/>
        <w:right w:val="none" w:sz="0" w:space="0" w:color="auto"/>
      </w:divBdr>
    </w:div>
    <w:div w:id="2057655008">
      <w:bodyDiv w:val="1"/>
      <w:marLeft w:val="0"/>
      <w:marRight w:val="0"/>
      <w:marTop w:val="0"/>
      <w:marBottom w:val="0"/>
      <w:divBdr>
        <w:top w:val="none" w:sz="0" w:space="0" w:color="auto"/>
        <w:left w:val="none" w:sz="0" w:space="0" w:color="auto"/>
        <w:bottom w:val="none" w:sz="0" w:space="0" w:color="auto"/>
        <w:right w:val="none" w:sz="0" w:space="0" w:color="auto"/>
      </w:divBdr>
    </w:div>
    <w:div w:id="20837184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chart" Target="charts/chart10.xml"/><Relationship Id="rId26" Type="http://schemas.openxmlformats.org/officeDocument/2006/relationships/chart" Target="charts/chart18.xml"/><Relationship Id="rId39" Type="http://schemas.openxmlformats.org/officeDocument/2006/relationships/chart" Target="charts/chart31.xml"/><Relationship Id="rId3" Type="http://schemas.openxmlformats.org/officeDocument/2006/relationships/styles" Target="styles.xml"/><Relationship Id="rId21" Type="http://schemas.openxmlformats.org/officeDocument/2006/relationships/chart" Target="charts/chart13.xml"/><Relationship Id="rId34" Type="http://schemas.openxmlformats.org/officeDocument/2006/relationships/chart" Target="charts/chart26.xml"/><Relationship Id="rId42" Type="http://schemas.openxmlformats.org/officeDocument/2006/relationships/chart" Target="charts/chart34.xml"/><Relationship Id="rId47" Type="http://schemas.openxmlformats.org/officeDocument/2006/relationships/chart" Target="charts/chart38.xml"/><Relationship Id="rId50" Type="http://schemas.openxmlformats.org/officeDocument/2006/relationships/chart" Target="charts/chart41.xm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chart" Target="charts/chart9.xml"/><Relationship Id="rId25" Type="http://schemas.openxmlformats.org/officeDocument/2006/relationships/chart" Target="charts/chart17.xml"/><Relationship Id="rId33" Type="http://schemas.openxmlformats.org/officeDocument/2006/relationships/chart" Target="charts/chart25.xml"/><Relationship Id="rId38" Type="http://schemas.openxmlformats.org/officeDocument/2006/relationships/chart" Target="charts/chart30.xml"/><Relationship Id="rId46"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chart" Target="charts/chart8.xml"/><Relationship Id="rId20" Type="http://schemas.openxmlformats.org/officeDocument/2006/relationships/chart" Target="charts/chart12.xml"/><Relationship Id="rId29" Type="http://schemas.openxmlformats.org/officeDocument/2006/relationships/chart" Target="charts/chart21.xml"/><Relationship Id="rId41" Type="http://schemas.openxmlformats.org/officeDocument/2006/relationships/chart" Target="charts/chart33.xm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24" Type="http://schemas.openxmlformats.org/officeDocument/2006/relationships/chart" Target="charts/chart16.xml"/><Relationship Id="rId32" Type="http://schemas.openxmlformats.org/officeDocument/2006/relationships/chart" Target="charts/chart24.xml"/><Relationship Id="rId37" Type="http://schemas.openxmlformats.org/officeDocument/2006/relationships/chart" Target="charts/chart29.xml"/><Relationship Id="rId40" Type="http://schemas.openxmlformats.org/officeDocument/2006/relationships/chart" Target="charts/chart32.xml"/><Relationship Id="rId45" Type="http://schemas.openxmlformats.org/officeDocument/2006/relationships/chart" Target="charts/chart37.xml"/><Relationship Id="rId53"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hart" Target="charts/chart7.xml"/><Relationship Id="rId23" Type="http://schemas.openxmlformats.org/officeDocument/2006/relationships/chart" Target="charts/chart15.xml"/><Relationship Id="rId28" Type="http://schemas.openxmlformats.org/officeDocument/2006/relationships/chart" Target="charts/chart20.xml"/><Relationship Id="rId36" Type="http://schemas.openxmlformats.org/officeDocument/2006/relationships/chart" Target="charts/chart28.xml"/><Relationship Id="rId49" Type="http://schemas.openxmlformats.org/officeDocument/2006/relationships/chart" Target="charts/chart40.xml"/><Relationship Id="rId10" Type="http://schemas.openxmlformats.org/officeDocument/2006/relationships/chart" Target="charts/chart3.xml"/><Relationship Id="rId19" Type="http://schemas.openxmlformats.org/officeDocument/2006/relationships/chart" Target="charts/chart11.xml"/><Relationship Id="rId31" Type="http://schemas.openxmlformats.org/officeDocument/2006/relationships/chart" Target="charts/chart23.xml"/><Relationship Id="rId44" Type="http://schemas.openxmlformats.org/officeDocument/2006/relationships/chart" Target="charts/chart36.xml"/><Relationship Id="rId52" Type="http://schemas.openxmlformats.org/officeDocument/2006/relationships/header" Target="header3.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6.xml"/><Relationship Id="rId22" Type="http://schemas.openxmlformats.org/officeDocument/2006/relationships/chart" Target="charts/chart14.xml"/><Relationship Id="rId27" Type="http://schemas.openxmlformats.org/officeDocument/2006/relationships/chart" Target="charts/chart19.xml"/><Relationship Id="rId30" Type="http://schemas.openxmlformats.org/officeDocument/2006/relationships/chart" Target="charts/chart22.xml"/><Relationship Id="rId35" Type="http://schemas.openxmlformats.org/officeDocument/2006/relationships/chart" Target="charts/chart27.xml"/><Relationship Id="rId43" Type="http://schemas.openxmlformats.org/officeDocument/2006/relationships/chart" Target="charts/chart35.xml"/><Relationship Id="rId48" Type="http://schemas.openxmlformats.org/officeDocument/2006/relationships/chart" Target="charts/chart39.xml"/><Relationship Id="rId8" Type="http://schemas.openxmlformats.org/officeDocument/2006/relationships/chart" Target="charts/chart1.xml"/><Relationship Id="rId51" Type="http://schemas.openxmlformats.org/officeDocument/2006/relationships/header" Target="header2.xml"/></Relationships>
</file>

<file path=word/charts/_rels/chart1.xml.rels><?xml version="1.0" encoding="UTF-8" standalone="yes"?>
<Relationships xmlns="http://schemas.openxmlformats.org/package/2006/relationships"><Relationship Id="rId1" Type="http://schemas.openxmlformats.org/officeDocument/2006/relationships/oleObject" Target="file:///\\cypress.scc-nt.sinclair.edu\users$\Jared.Cutler\FY%2013-14%20Assessment%20Committee%20Learning%20Liaison%20Materials\Rolling%20over%20FY%202012-13%20updates%20to%20FY%202013-14\Charts.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willow\rehabilitation%20services\PTA\Sinclair%20Annual%20Update\First%20Clinical%20CPI%20Data.xlsx" TargetMode="External"/></Relationships>
</file>

<file path=word/charts/_rels/chart11.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12.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13.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_rels/chart14.xml.rels><?xml version="1.0" encoding="UTF-8" standalone="yes"?>
<Relationships xmlns="http://schemas.openxmlformats.org/package/2006/relationships"><Relationship Id="rId1" Type="http://schemas.openxmlformats.org/officeDocument/2006/relationships/package" Target="../embeddings/Microsoft_Excel_Worksheet7.xlsx"/></Relationships>
</file>

<file path=word/charts/_rels/chart15.xml.rels><?xml version="1.0" encoding="UTF-8" standalone="yes"?>
<Relationships xmlns="http://schemas.openxmlformats.org/package/2006/relationships"><Relationship Id="rId1" Type="http://schemas.openxmlformats.org/officeDocument/2006/relationships/package" Target="../embeddings/Microsoft_Excel_Worksheet8.xlsx"/></Relationships>
</file>

<file path=word/charts/_rels/chart16.xml.rels><?xml version="1.0" encoding="UTF-8" standalone="yes"?>
<Relationships xmlns="http://schemas.openxmlformats.org/package/2006/relationships"><Relationship Id="rId1" Type="http://schemas.openxmlformats.org/officeDocument/2006/relationships/package" Target="../embeddings/Microsoft_Excel_Worksheet9.xlsx"/></Relationships>
</file>

<file path=word/charts/_rels/chart17.xml.rels><?xml version="1.0" encoding="UTF-8" standalone="yes"?>
<Relationships xmlns="http://schemas.openxmlformats.org/package/2006/relationships"><Relationship Id="rId1" Type="http://schemas.openxmlformats.org/officeDocument/2006/relationships/package" Target="../embeddings/Microsoft_Excel_Worksheet10.xlsx"/></Relationships>
</file>

<file path=word/charts/_rels/chart18.xml.rels><?xml version="1.0" encoding="UTF-8" standalone="yes"?>
<Relationships xmlns="http://schemas.openxmlformats.org/package/2006/relationships"><Relationship Id="rId1" Type="http://schemas.openxmlformats.org/officeDocument/2006/relationships/package" Target="../embeddings/Microsoft_Excel_Worksheet11.xlsx"/></Relationships>
</file>

<file path=word/charts/_rels/chart19.xml.rels><?xml version="1.0" encoding="UTF-8" standalone="yes"?>
<Relationships xmlns="http://schemas.openxmlformats.org/package/2006/relationships"><Relationship Id="rId1" Type="http://schemas.openxmlformats.org/officeDocument/2006/relationships/package" Target="../embeddings/Microsoft_Excel_Worksheet12.xlsx"/></Relationships>
</file>

<file path=word/charts/_rels/chart2.xml.rels><?xml version="1.0" encoding="UTF-8" standalone="yes"?>
<Relationships xmlns="http://schemas.openxmlformats.org/package/2006/relationships"><Relationship Id="rId1" Type="http://schemas.openxmlformats.org/officeDocument/2006/relationships/oleObject" Target="file:///\\cypress.scc-nt.sinclair.edu\users$\Jared.Cutler\FY%2013-14%20Assessment%20Committee%20Learning%20Liaison%20Materials\Rolling%20over%20FY%202012-13%20updates%20to%20FY%202013-14\Charts.xlsx" TargetMode="External"/></Relationships>
</file>

<file path=word/charts/_rels/chart20.xml.rels><?xml version="1.0" encoding="UTF-8" standalone="yes"?>
<Relationships xmlns="http://schemas.openxmlformats.org/package/2006/relationships"><Relationship Id="rId1" Type="http://schemas.openxmlformats.org/officeDocument/2006/relationships/package" Target="../embeddings/Microsoft_Excel_Worksheet13.xlsx"/></Relationships>
</file>

<file path=word/charts/_rels/chart21.xml.rels><?xml version="1.0" encoding="UTF-8" standalone="yes"?>
<Relationships xmlns="http://schemas.openxmlformats.org/package/2006/relationships"><Relationship Id="rId1" Type="http://schemas.openxmlformats.org/officeDocument/2006/relationships/package" Target="../embeddings/Microsoft_Excel_Worksheet14.xlsx"/></Relationships>
</file>

<file path=word/charts/_rels/chart22.xml.rels><?xml version="1.0" encoding="UTF-8" standalone="yes"?>
<Relationships xmlns="http://schemas.openxmlformats.org/package/2006/relationships"><Relationship Id="rId1" Type="http://schemas.openxmlformats.org/officeDocument/2006/relationships/package" Target="../embeddings/Microsoft_Excel_Worksheet15.xlsx"/></Relationships>
</file>

<file path=word/charts/_rels/chart23.xml.rels><?xml version="1.0" encoding="UTF-8" standalone="yes"?>
<Relationships xmlns="http://schemas.openxmlformats.org/package/2006/relationships"><Relationship Id="rId1" Type="http://schemas.openxmlformats.org/officeDocument/2006/relationships/package" Target="../embeddings/Microsoft_Excel_Worksheet16.xlsx"/></Relationships>
</file>

<file path=word/charts/_rels/chart24.xml.rels><?xml version="1.0" encoding="UTF-8" standalone="yes"?>
<Relationships xmlns="http://schemas.openxmlformats.org/package/2006/relationships"><Relationship Id="rId1" Type="http://schemas.openxmlformats.org/officeDocument/2006/relationships/package" Target="../embeddings/Microsoft_Excel_Worksheet17.xlsx"/></Relationships>
</file>

<file path=word/charts/_rels/chart25.xml.rels><?xml version="1.0" encoding="UTF-8" standalone="yes"?>
<Relationships xmlns="http://schemas.openxmlformats.org/package/2006/relationships"><Relationship Id="rId1" Type="http://schemas.openxmlformats.org/officeDocument/2006/relationships/package" Target="../embeddings/Microsoft_Excel_Worksheet18.xlsx"/></Relationships>
</file>

<file path=word/charts/_rels/chart26.xml.rels><?xml version="1.0" encoding="UTF-8" standalone="yes"?>
<Relationships xmlns="http://schemas.openxmlformats.org/package/2006/relationships"><Relationship Id="rId1" Type="http://schemas.openxmlformats.org/officeDocument/2006/relationships/package" Target="../embeddings/Microsoft_Excel_Worksheet19.xlsx"/></Relationships>
</file>

<file path=word/charts/_rels/chart27.xml.rels><?xml version="1.0" encoding="UTF-8" standalone="yes"?>
<Relationships xmlns="http://schemas.openxmlformats.org/package/2006/relationships"><Relationship Id="rId1" Type="http://schemas.openxmlformats.org/officeDocument/2006/relationships/package" Target="../embeddings/Microsoft_Excel_Worksheet20.xlsx"/></Relationships>
</file>

<file path=word/charts/_rels/chart28.xml.rels><?xml version="1.0" encoding="UTF-8" standalone="yes"?>
<Relationships xmlns="http://schemas.openxmlformats.org/package/2006/relationships"><Relationship Id="rId1" Type="http://schemas.openxmlformats.org/officeDocument/2006/relationships/package" Target="../embeddings/Microsoft_Excel_Worksheet21.xlsx"/></Relationships>
</file>

<file path=word/charts/_rels/chart29.xml.rels><?xml version="1.0" encoding="UTF-8" standalone="yes"?>
<Relationships xmlns="http://schemas.openxmlformats.org/package/2006/relationships"><Relationship Id="rId1" Type="http://schemas.openxmlformats.org/officeDocument/2006/relationships/package" Target="../embeddings/Microsoft_Excel_Worksheet22.xlsx"/></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1.xml"/><Relationship Id="rId1" Type="http://schemas.microsoft.com/office/2011/relationships/chartStyle" Target="style1.xml"/></Relationships>
</file>

<file path=word/charts/_rels/chart30.xml.rels><?xml version="1.0" encoding="UTF-8" standalone="yes"?>
<Relationships xmlns="http://schemas.openxmlformats.org/package/2006/relationships"><Relationship Id="rId1" Type="http://schemas.openxmlformats.org/officeDocument/2006/relationships/package" Target="../embeddings/Microsoft_Excel_Worksheet23.xlsx"/></Relationships>
</file>

<file path=word/charts/_rels/chart31.xml.rels><?xml version="1.0" encoding="UTF-8" standalone="yes"?>
<Relationships xmlns="http://schemas.openxmlformats.org/package/2006/relationships"><Relationship Id="rId1" Type="http://schemas.openxmlformats.org/officeDocument/2006/relationships/package" Target="../embeddings/Microsoft_Excel_Worksheet24.xlsx"/></Relationships>
</file>

<file path=word/charts/_rels/chart32.xml.rels><?xml version="1.0" encoding="UTF-8" standalone="yes"?>
<Relationships xmlns="http://schemas.openxmlformats.org/package/2006/relationships"><Relationship Id="rId1" Type="http://schemas.openxmlformats.org/officeDocument/2006/relationships/package" Target="../embeddings/Microsoft_Excel_Worksheet25.xlsx"/></Relationships>
</file>

<file path=word/charts/_rels/chart33.xml.rels><?xml version="1.0" encoding="UTF-8" standalone="yes"?>
<Relationships xmlns="http://schemas.openxmlformats.org/package/2006/relationships"><Relationship Id="rId1" Type="http://schemas.openxmlformats.org/officeDocument/2006/relationships/package" Target="../embeddings/Microsoft_Excel_Worksheet26.xlsx"/></Relationships>
</file>

<file path=word/charts/_rels/chart34.xml.rels><?xml version="1.0" encoding="UTF-8" standalone="yes"?>
<Relationships xmlns="http://schemas.openxmlformats.org/package/2006/relationships"><Relationship Id="rId1" Type="http://schemas.openxmlformats.org/officeDocument/2006/relationships/oleObject" Target="file:///\\willow\rehabilitation%20services\PTA\Sinclair%20Annual%20Update\First%20Clinical%20CPI%20Data.xlsx" TargetMode="External"/></Relationships>
</file>

<file path=word/charts/_rels/chart35.xml.rels><?xml version="1.0" encoding="UTF-8" standalone="yes"?>
<Relationships xmlns="http://schemas.openxmlformats.org/package/2006/relationships"><Relationship Id="rId1" Type="http://schemas.openxmlformats.org/officeDocument/2006/relationships/oleObject" Target="file:///\\willow\rehabilitation%20services\PTA\Sinclair%20Annual%20Update\Second%20Clinical%20CPI%20Data.xlsx" TargetMode="External"/></Relationships>
</file>

<file path=word/charts/_rels/chart36.xml.rels><?xml version="1.0" encoding="UTF-8" standalone="yes"?>
<Relationships xmlns="http://schemas.openxmlformats.org/package/2006/relationships"><Relationship Id="rId3" Type="http://schemas.openxmlformats.org/officeDocument/2006/relationships/package" Target="../embeddings/Microsoft_Excel_Worksheet27.xlsx"/><Relationship Id="rId2" Type="http://schemas.microsoft.com/office/2011/relationships/chartColorStyle" Target="colors6.xml"/><Relationship Id="rId1" Type="http://schemas.microsoft.com/office/2011/relationships/chartStyle" Target="style6.xml"/></Relationships>
</file>

<file path=word/charts/_rels/chart37.xml.rels><?xml version="1.0" encoding="UTF-8" standalone="yes"?>
<Relationships xmlns="http://schemas.openxmlformats.org/package/2006/relationships"><Relationship Id="rId3" Type="http://schemas.openxmlformats.org/officeDocument/2006/relationships/package" Target="../embeddings/Microsoft_Excel_Worksheet28.xlsx"/><Relationship Id="rId2" Type="http://schemas.microsoft.com/office/2011/relationships/chartColorStyle" Target="colors7.xml"/><Relationship Id="rId1" Type="http://schemas.microsoft.com/office/2011/relationships/chartStyle" Target="style7.xml"/></Relationships>
</file>

<file path=word/charts/_rels/chart38.xml.rels><?xml version="1.0" encoding="UTF-8" standalone="yes"?>
<Relationships xmlns="http://schemas.openxmlformats.org/package/2006/relationships"><Relationship Id="rId3" Type="http://schemas.openxmlformats.org/officeDocument/2006/relationships/package" Target="../embeddings/Microsoft_Excel_Worksheet29.xlsx"/><Relationship Id="rId2" Type="http://schemas.microsoft.com/office/2011/relationships/chartColorStyle" Target="colors8.xml"/><Relationship Id="rId1" Type="http://schemas.microsoft.com/office/2011/relationships/chartStyle" Target="style8.xml"/></Relationships>
</file>

<file path=word/charts/_rels/chart39.xml.rels><?xml version="1.0" encoding="UTF-8" standalone="yes"?>
<Relationships xmlns="http://schemas.openxmlformats.org/package/2006/relationships"><Relationship Id="rId3" Type="http://schemas.openxmlformats.org/officeDocument/2006/relationships/package" Target="../embeddings/Microsoft_Excel_Worksheet30.xlsx"/><Relationship Id="rId2" Type="http://schemas.microsoft.com/office/2011/relationships/chartColorStyle" Target="colors9.xml"/><Relationship Id="rId1" Type="http://schemas.microsoft.com/office/2011/relationships/chartStyle" Target="style9.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2.xml"/><Relationship Id="rId1" Type="http://schemas.microsoft.com/office/2011/relationships/chartStyle" Target="style2.xml"/></Relationships>
</file>

<file path=word/charts/_rels/chart40.xml.rels><?xml version="1.0" encoding="UTF-8" standalone="yes"?>
<Relationships xmlns="http://schemas.openxmlformats.org/package/2006/relationships"><Relationship Id="rId3" Type="http://schemas.openxmlformats.org/officeDocument/2006/relationships/package" Target="../embeddings/Microsoft_Excel_Worksheet31.xlsx"/><Relationship Id="rId2" Type="http://schemas.microsoft.com/office/2011/relationships/chartColorStyle" Target="colors10.xml"/><Relationship Id="rId1" Type="http://schemas.microsoft.com/office/2011/relationships/chartStyle" Target="style10.xml"/></Relationships>
</file>

<file path=word/charts/_rels/chart41.xml.rels><?xml version="1.0" encoding="UTF-8" standalone="yes"?>
<Relationships xmlns="http://schemas.openxmlformats.org/package/2006/relationships"><Relationship Id="rId3" Type="http://schemas.openxmlformats.org/officeDocument/2006/relationships/package" Target="../embeddings/Microsoft_Excel_Worksheet32.xlsx"/><Relationship Id="rId2" Type="http://schemas.microsoft.com/office/2011/relationships/chartColorStyle" Target="colors11.xml"/><Relationship Id="rId1" Type="http://schemas.microsoft.com/office/2011/relationships/chartStyle" Target="style11.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3.xml"/><Relationship Id="rId1" Type="http://schemas.microsoft.com/office/2011/relationships/chartStyle" Target="style3.xml"/></Relationships>
</file>

<file path=word/charts/_rels/chart6.xml.rels><?xml version="1.0" encoding="UTF-8" standalone="yes"?>
<Relationships xmlns="http://schemas.openxmlformats.org/package/2006/relationships"><Relationship Id="rId3" Type="http://schemas.openxmlformats.org/officeDocument/2006/relationships/oleObject" Target="file:///\\willow\rehabilitation%20services\PTA\Sinclair%20Annual%20Update\PO%20Importance-Satisfaction.xlsx" TargetMode="External"/><Relationship Id="rId2" Type="http://schemas.microsoft.com/office/2011/relationships/chartColorStyle" Target="colors4.xml"/><Relationship Id="rId1" Type="http://schemas.microsoft.com/office/2011/relationships/chartStyle" Target="style4.xml"/></Relationships>
</file>

<file path=word/charts/_rels/chart7.xml.rels><?xml version="1.0" encoding="UTF-8" standalone="yes"?>
<Relationships xmlns="http://schemas.openxmlformats.org/package/2006/relationships"><Relationship Id="rId3" Type="http://schemas.openxmlformats.org/officeDocument/2006/relationships/oleObject" Target="file:///\\willow\rehabilitation%20services\PTA\Sinclair%20Annual%20Update\PO%20Importance-Satisfaction.xlsx" TargetMode="External"/><Relationship Id="rId2" Type="http://schemas.microsoft.com/office/2011/relationships/chartColorStyle" Target="colors5.xml"/><Relationship Id="rId1" Type="http://schemas.microsoft.com/office/2011/relationships/chartStyle" Target="style5.xml"/></Relationships>
</file>

<file path=word/charts/_rels/chart8.xml.rels><?xml version="1.0" encoding="UTF-8" standalone="yes"?>
<Relationships xmlns="http://schemas.openxmlformats.org/package/2006/relationships"><Relationship Id="rId1" Type="http://schemas.openxmlformats.org/officeDocument/2006/relationships/oleObject" Target="file:///\\willow\rehabilitation%20services\PTA\Sinclair%20Annual%20Update\First%20Clinical%20CPI%20Data.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willow\rehabilitation%20services\PTA\Sinclair%20Annual%20Update\Second%20Clinical%20CPI%20Data.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100"/>
              <a:t>Overall Department Completions</a:t>
            </a:r>
            <a:r>
              <a:rPr lang="en-US" sz="1100" baseline="0"/>
              <a:t> </a:t>
            </a:r>
          </a:p>
          <a:p>
            <a:pPr>
              <a:defRPr/>
            </a:pPr>
            <a:r>
              <a:rPr lang="en-US" sz="1100" baseline="0"/>
              <a:t>(Degrees, Certificates, and Short-term Certificates)</a:t>
            </a:r>
            <a:endParaRPr lang="en-US" sz="1100"/>
          </a:p>
        </c:rich>
      </c:tx>
      <c:layout>
        <c:manualLayout>
          <c:xMode val="edge"/>
          <c:yMode val="edge"/>
          <c:x val="0.17140266841644794"/>
          <c:y val="2.7777777777777821E-2"/>
        </c:manualLayout>
      </c:layout>
      <c:overlay val="0"/>
    </c:title>
    <c:autoTitleDeleted val="0"/>
    <c:plotArea>
      <c:layout/>
      <c:barChart>
        <c:barDir val="col"/>
        <c:grouping val="clustered"/>
        <c:varyColors val="0"/>
        <c:ser>
          <c:idx val="0"/>
          <c:order val="0"/>
          <c:tx>
            <c:strRef>
              <c:f>'[Charts.xlsx]CHART FOR COMPLETIONS'!$M$6</c:f>
              <c:strCache>
                <c:ptCount val="1"/>
                <c:pt idx="0">
                  <c:v>0681 - Physical Therapist Assistant</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'[Charts.xlsx]CHART FOR COMPLETIONS'!$E$5:$K$5</c:f>
              <c:strCache>
                <c:ptCount val="7"/>
                <c:pt idx="0">
                  <c:v>FY 07-08</c:v>
                </c:pt>
                <c:pt idx="1">
                  <c:v>FY 08-09</c:v>
                </c:pt>
                <c:pt idx="2">
                  <c:v>FY 09-10</c:v>
                </c:pt>
                <c:pt idx="3">
                  <c:v>FY 10-11</c:v>
                </c:pt>
                <c:pt idx="4">
                  <c:v>FY 11-12</c:v>
                </c:pt>
                <c:pt idx="5">
                  <c:v>FY 12-13</c:v>
                </c:pt>
                <c:pt idx="6">
                  <c:v>FY 13-14</c:v>
                </c:pt>
              </c:strCache>
            </c:strRef>
          </c:cat>
          <c:val>
            <c:numRef>
              <c:f>'[Charts.xlsx]CHART FOR COMPLETIONS'!$E$6:$K$6</c:f>
              <c:numCache>
                <c:formatCode>#,##0</c:formatCode>
                <c:ptCount val="7"/>
                <c:pt idx="0">
                  <c:v>24</c:v>
                </c:pt>
                <c:pt idx="1">
                  <c:v>22</c:v>
                </c:pt>
                <c:pt idx="2">
                  <c:v>20</c:v>
                </c:pt>
                <c:pt idx="3">
                  <c:v>26</c:v>
                </c:pt>
                <c:pt idx="4" formatCode="General">
                  <c:v>19</c:v>
                </c:pt>
                <c:pt idx="5" formatCode="General">
                  <c:v>31</c:v>
                </c:pt>
                <c:pt idx="6" formatCode="General">
                  <c:v>25</c:v>
                </c:pt>
              </c:numCache>
            </c:numRef>
          </c:val>
        </c:ser>
        <c:ser>
          <c:idx val="1"/>
          <c:order val="1"/>
          <c:tx>
            <c:strRef>
              <c:f>'[Charts.xlsx]CHART FOR COMPLETIONS'!$M$7</c:f>
              <c:strCache>
                <c:ptCount val="1"/>
                <c:pt idx="0">
                  <c:v>0497 - Real Estate Education</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'[Charts.xlsx]CHART FOR COMPLETIONS'!$E$5:$K$5</c:f>
              <c:strCache>
                <c:ptCount val="7"/>
                <c:pt idx="0">
                  <c:v>FY 07-08</c:v>
                </c:pt>
                <c:pt idx="1">
                  <c:v>FY 08-09</c:v>
                </c:pt>
                <c:pt idx="2">
                  <c:v>FY 09-10</c:v>
                </c:pt>
                <c:pt idx="3">
                  <c:v>FY 10-11</c:v>
                </c:pt>
                <c:pt idx="4">
                  <c:v>FY 11-12</c:v>
                </c:pt>
                <c:pt idx="5">
                  <c:v>FY 12-13</c:v>
                </c:pt>
                <c:pt idx="6">
                  <c:v>FY 13-14</c:v>
                </c:pt>
              </c:strCache>
            </c:strRef>
          </c:cat>
          <c:val>
            <c:numRef>
              <c:f>'[Charts.xlsx]CHART FOR COMPLETIONS'!$E$7:$K$7</c:f>
            </c:numRef>
          </c:val>
        </c:ser>
        <c:dLbls>
          <c:showLegendKey val="0"/>
          <c:showVal val="0"/>
          <c:showCatName val="0"/>
          <c:showSerName val="0"/>
          <c:showPercent val="0"/>
          <c:showBubbleSize val="0"/>
        </c:dLbls>
        <c:gapWidth val="150"/>
        <c:axId val="34957208"/>
        <c:axId val="34957600"/>
      </c:barChart>
      <c:catAx>
        <c:axId val="34957208"/>
        <c:scaling>
          <c:orientation val="minMax"/>
        </c:scaling>
        <c:delete val="0"/>
        <c:axPos val="b"/>
        <c:numFmt formatCode="General" sourceLinked="0"/>
        <c:majorTickMark val="out"/>
        <c:minorTickMark val="none"/>
        <c:tickLblPos val="nextTo"/>
        <c:crossAx val="34957600"/>
        <c:crosses val="autoZero"/>
        <c:auto val="1"/>
        <c:lblAlgn val="ctr"/>
        <c:lblOffset val="100"/>
        <c:noMultiLvlLbl val="0"/>
      </c:catAx>
      <c:valAx>
        <c:axId val="34957600"/>
        <c:scaling>
          <c:orientation val="minMax"/>
        </c:scaling>
        <c:delete val="0"/>
        <c:axPos val="l"/>
        <c:majorGridlines>
          <c:spPr>
            <a:ln>
              <a:solidFill>
                <a:sysClr val="windowText" lastClr="000000">
                  <a:alpha val="31000"/>
                </a:sysClr>
              </a:solidFill>
            </a:ln>
          </c:spPr>
        </c:majorGridlines>
        <c:numFmt formatCode="#,##0" sourceLinked="1"/>
        <c:majorTickMark val="out"/>
        <c:minorTickMark val="none"/>
        <c:tickLblPos val="nextTo"/>
        <c:crossAx val="34957208"/>
        <c:crosses val="autoZero"/>
        <c:crossBetween val="between"/>
      </c:valAx>
    </c:plotArea>
    <c:legend>
      <c:legendPos val="r"/>
      <c:layout/>
      <c:overlay val="0"/>
    </c:legend>
    <c:plotVisOnly val="1"/>
    <c:dispBlanksAs val="gap"/>
    <c:showDLblsOverMax val="0"/>
  </c:chart>
  <c:spPr>
    <a:ln w="28575">
      <a:solidFill>
        <a:sysClr val="windowText" lastClr="000000"/>
      </a:solidFill>
    </a:ln>
  </c:sp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title>
      <c:tx>
        <c:rich>
          <a:bodyPr/>
          <a:lstStyle/>
          <a:p>
            <a:pPr>
              <a:defRPr/>
            </a:pPr>
            <a:r>
              <a:rPr lang="en-US" sz="1100"/>
              <a:t>First</a:t>
            </a:r>
            <a:r>
              <a:rPr lang="en-US" sz="1100" baseline="0"/>
              <a:t> Clinical - Average Rating for Cultural Competence</a:t>
            </a:r>
            <a:endParaRPr lang="en-US" sz="1100"/>
          </a:p>
        </c:rich>
      </c:tx>
      <c:layout/>
      <c:overlay val="0"/>
    </c:title>
    <c:autoTitleDeleted val="0"/>
    <c:plotArea>
      <c:layout/>
      <c:lineChart>
        <c:grouping val="standard"/>
        <c:varyColors val="0"/>
        <c:ser>
          <c:idx val="0"/>
          <c:order val="0"/>
          <c:tx>
            <c:strRef>
              <c:f>'1st Cultural Competence'!$B$1</c:f>
              <c:strCache>
                <c:ptCount val="1"/>
                <c:pt idx="0">
                  <c:v>Avg Rating at Mid-Term</c:v>
                </c:pt>
              </c:strCache>
            </c:strRef>
          </c:tx>
          <c:dLbls>
            <c:dLbl>
              <c:idx val="0"/>
              <c:layout>
                <c:manualLayout>
                  <c:x val="-5.2916828019448386E-2"/>
                  <c:y val="7.4119895013123355E-2"/>
                </c:manualLayout>
              </c:layout>
              <c:dLblPos val="r"/>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5.018458758228992E-2"/>
                  <c:y val="6.8786561679790026E-2"/>
                </c:manualLayout>
              </c:layout>
              <c:dLblPos val="r"/>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5.2916828019448386E-2"/>
                  <c:y val="6.8786561679790026E-2"/>
                </c:manualLayout>
              </c:layout>
              <c:dLblPos val="r"/>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'1st Cultural Competence'!$A$2:$A$4</c:f>
              <c:strCache>
                <c:ptCount val="3"/>
                <c:pt idx="0">
                  <c:v>Fall 2012</c:v>
                </c:pt>
                <c:pt idx="1">
                  <c:v>Fall 2013</c:v>
                </c:pt>
                <c:pt idx="2">
                  <c:v>Fall 2014</c:v>
                </c:pt>
              </c:strCache>
            </c:strRef>
          </c:cat>
          <c:val>
            <c:numRef>
              <c:f>'1st Cultural Competence'!$B$2:$B$4</c:f>
              <c:numCache>
                <c:formatCode>0.00</c:formatCode>
                <c:ptCount val="3"/>
                <c:pt idx="0">
                  <c:v>5.2121212121212119</c:v>
                </c:pt>
                <c:pt idx="1">
                  <c:v>5.7857142857142856</c:v>
                </c:pt>
                <c:pt idx="2">
                  <c:v>6.0540540540540544</c:v>
                </c:pt>
              </c:numCache>
            </c:numRef>
          </c:val>
          <c:smooth val="0"/>
        </c:ser>
        <c:ser>
          <c:idx val="1"/>
          <c:order val="1"/>
          <c:tx>
            <c:strRef>
              <c:f>'1st Cultural Competence'!$C$1</c:f>
              <c:strCache>
                <c:ptCount val="1"/>
                <c:pt idx="0">
                  <c:v>Avg Rating at Final</c:v>
                </c:pt>
              </c:strCache>
            </c:strRef>
          </c:tx>
          <c:dLbls>
            <c:spPr>
              <a:noFill/>
              <a:ln>
                <a:noFill/>
              </a:ln>
              <a:effectLst/>
            </c:sp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'1st Cultural Competence'!$A$2:$A$4</c:f>
              <c:strCache>
                <c:ptCount val="3"/>
                <c:pt idx="0">
                  <c:v>Fall 2012</c:v>
                </c:pt>
                <c:pt idx="1">
                  <c:v>Fall 2013</c:v>
                </c:pt>
                <c:pt idx="2">
                  <c:v>Fall 2014</c:v>
                </c:pt>
              </c:strCache>
            </c:strRef>
          </c:cat>
          <c:val>
            <c:numRef>
              <c:f>'1st Cultural Competence'!$C$2:$C$4</c:f>
              <c:numCache>
                <c:formatCode>0.00</c:formatCode>
                <c:ptCount val="3"/>
                <c:pt idx="0">
                  <c:v>6.9375</c:v>
                </c:pt>
                <c:pt idx="1">
                  <c:v>7.25</c:v>
                </c:pt>
                <c:pt idx="2">
                  <c:v>7.5</c:v>
                </c:pt>
              </c:numCache>
            </c:numRef>
          </c:val>
          <c:smooth val="0"/>
        </c:ser>
        <c:dLbls>
          <c:dLblPos val="t"/>
          <c:showLegendKey val="0"/>
          <c:showVal val="1"/>
          <c:showCatName val="0"/>
          <c:showSerName val="0"/>
          <c:showPercent val="0"/>
          <c:showBubbleSize val="0"/>
        </c:dLbls>
        <c:marker val="1"/>
        <c:smooth val="0"/>
        <c:axId val="263897776"/>
        <c:axId val="263898168"/>
      </c:lineChart>
      <c:catAx>
        <c:axId val="263897776"/>
        <c:scaling>
          <c:orientation val="minMax"/>
        </c:scaling>
        <c:delete val="0"/>
        <c:axPos val="b"/>
        <c:numFmt formatCode="General" sourceLinked="0"/>
        <c:majorTickMark val="out"/>
        <c:minorTickMark val="none"/>
        <c:tickLblPos val="nextTo"/>
        <c:crossAx val="263898168"/>
        <c:crosses val="autoZero"/>
        <c:auto val="1"/>
        <c:lblAlgn val="ctr"/>
        <c:lblOffset val="100"/>
        <c:noMultiLvlLbl val="0"/>
      </c:catAx>
      <c:valAx>
        <c:axId val="263898168"/>
        <c:scaling>
          <c:orientation val="minMax"/>
          <c:max val="10"/>
          <c:min val="2"/>
        </c:scaling>
        <c:delete val="0"/>
        <c:axPos val="l"/>
        <c:majorGridlines/>
        <c:title>
          <c:tx>
            <c:rich>
              <a:bodyPr rot="-5400000" vert="horz"/>
              <a:lstStyle/>
              <a:p>
                <a:pPr>
                  <a:defRPr/>
                </a:pPr>
                <a:r>
                  <a:rPr lang="en-US" sz="1000"/>
                  <a:t>CPI</a:t>
                </a:r>
                <a:r>
                  <a:rPr lang="en-US" sz="1000" baseline="0"/>
                  <a:t> Rating (0-10)</a:t>
                </a:r>
                <a:endParaRPr lang="en-US" sz="1000"/>
              </a:p>
            </c:rich>
          </c:tx>
          <c:layout/>
          <c:overlay val="0"/>
        </c:title>
        <c:numFmt formatCode="0.00" sourceLinked="1"/>
        <c:majorTickMark val="out"/>
        <c:minorTickMark val="none"/>
        <c:tickLblPos val="nextTo"/>
        <c:crossAx val="263897776"/>
        <c:crosses val="autoZero"/>
        <c:crossBetween val="between"/>
      </c:valAx>
    </c:plotArea>
    <c:legend>
      <c:legendPos val="b"/>
      <c:layout/>
      <c:overlay val="0"/>
    </c:legend>
    <c:plotVisOnly val="1"/>
    <c:dispBlanksAs val="gap"/>
    <c:showDLblsOverMax val="0"/>
  </c:chart>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title>
      <c:tx>
        <c:rich>
          <a:bodyPr/>
          <a:lstStyle/>
          <a:p>
            <a:pPr>
              <a:defRPr/>
            </a:pPr>
            <a:r>
              <a:rPr lang="en-US" sz="1100"/>
              <a:t>Second Clinical - Average</a:t>
            </a:r>
            <a:r>
              <a:rPr lang="en-US" sz="1100" baseline="0"/>
              <a:t> Rating for Cultural Competence</a:t>
            </a:r>
            <a:endParaRPr lang="en-US" sz="1100"/>
          </a:p>
        </c:rich>
      </c:tx>
      <c:layout/>
      <c:overlay val="0"/>
    </c:title>
    <c:autoTitleDeleted val="0"/>
    <c:plotArea>
      <c:layout/>
      <c:lineChart>
        <c:grouping val="standard"/>
        <c:varyColors val="0"/>
        <c:ser>
          <c:idx val="0"/>
          <c:order val="0"/>
          <c:tx>
            <c:strRef>
              <c:f>'2nd Cultural Competence'!$B$1</c:f>
              <c:strCache>
                <c:ptCount val="1"/>
                <c:pt idx="0">
                  <c:v>Avg Rating at Mid-Term</c:v>
                </c:pt>
              </c:strCache>
            </c:strRef>
          </c:tx>
          <c:dLbls>
            <c:dLbl>
              <c:idx val="0"/>
              <c:layout>
                <c:manualLayout>
                  <c:x val="-5.5535051983532736E-2"/>
                  <c:y val="7.356780402449685E-2"/>
                </c:manualLayout>
              </c:layout>
              <c:dLblPos val="r"/>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5.0081745916729835E-2"/>
                  <c:y val="6.3691260814620301E-2"/>
                </c:manualLayout>
              </c:layout>
              <c:dLblPos val="r"/>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5.2808398950131133E-2"/>
                  <c:y val="6.8629532419558673E-2"/>
                </c:manualLayout>
              </c:layout>
              <c:dLblPos val="r"/>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'2nd Cultural Competence'!$A$2:$A$4</c:f>
              <c:strCache>
                <c:ptCount val="3"/>
                <c:pt idx="0">
                  <c:v>Spring 2012</c:v>
                </c:pt>
                <c:pt idx="1">
                  <c:v>Spring 2013</c:v>
                </c:pt>
                <c:pt idx="2">
                  <c:v>Spring 2014</c:v>
                </c:pt>
              </c:strCache>
            </c:strRef>
          </c:cat>
          <c:val>
            <c:numRef>
              <c:f>'2nd Cultural Competence'!$B$2:$B$4</c:f>
              <c:numCache>
                <c:formatCode>0.00</c:formatCode>
                <c:ptCount val="3"/>
                <c:pt idx="0">
                  <c:v>6.6923076923076925</c:v>
                </c:pt>
                <c:pt idx="1">
                  <c:v>7.1785714285714288</c:v>
                </c:pt>
                <c:pt idx="2">
                  <c:v>6.9259259259259256</c:v>
                </c:pt>
              </c:numCache>
            </c:numRef>
          </c:val>
          <c:smooth val="0"/>
        </c:ser>
        <c:ser>
          <c:idx val="1"/>
          <c:order val="1"/>
          <c:tx>
            <c:strRef>
              <c:f>'2nd Cultural Competence'!$C$1</c:f>
              <c:strCache>
                <c:ptCount val="1"/>
                <c:pt idx="0">
                  <c:v>Avg Rating at Final</c:v>
                </c:pt>
              </c:strCache>
            </c:strRef>
          </c:tx>
          <c:dLbls>
            <c:spPr>
              <a:noFill/>
              <a:ln>
                <a:noFill/>
              </a:ln>
              <a:effectLst/>
            </c:sp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'2nd Cultural Competence'!$A$2:$A$4</c:f>
              <c:strCache>
                <c:ptCount val="3"/>
                <c:pt idx="0">
                  <c:v>Spring 2012</c:v>
                </c:pt>
                <c:pt idx="1">
                  <c:v>Spring 2013</c:v>
                </c:pt>
                <c:pt idx="2">
                  <c:v>Spring 2014</c:v>
                </c:pt>
              </c:strCache>
            </c:strRef>
          </c:cat>
          <c:val>
            <c:numRef>
              <c:f>'2nd Cultural Competence'!$C$2:$C$4</c:f>
              <c:numCache>
                <c:formatCode>0.00</c:formatCode>
                <c:ptCount val="3"/>
                <c:pt idx="0">
                  <c:v>7.7692307692307692</c:v>
                </c:pt>
                <c:pt idx="1">
                  <c:v>8.1481481481481488</c:v>
                </c:pt>
                <c:pt idx="2">
                  <c:v>8.2799999999999994</c:v>
                </c:pt>
              </c:numCache>
            </c:numRef>
          </c:val>
          <c:smooth val="0"/>
        </c:ser>
        <c:dLbls>
          <c:dLblPos val="t"/>
          <c:showLegendKey val="0"/>
          <c:showVal val="1"/>
          <c:showCatName val="0"/>
          <c:showSerName val="0"/>
          <c:showPercent val="0"/>
          <c:showBubbleSize val="0"/>
        </c:dLbls>
        <c:marker val="1"/>
        <c:smooth val="0"/>
        <c:axId val="262919992"/>
        <c:axId val="263898952"/>
      </c:lineChart>
      <c:catAx>
        <c:axId val="262919992"/>
        <c:scaling>
          <c:orientation val="minMax"/>
        </c:scaling>
        <c:delete val="0"/>
        <c:axPos val="b"/>
        <c:numFmt formatCode="General" sourceLinked="0"/>
        <c:majorTickMark val="out"/>
        <c:minorTickMark val="none"/>
        <c:tickLblPos val="nextTo"/>
        <c:crossAx val="263898952"/>
        <c:crosses val="autoZero"/>
        <c:auto val="1"/>
        <c:lblAlgn val="ctr"/>
        <c:lblOffset val="100"/>
        <c:noMultiLvlLbl val="0"/>
      </c:catAx>
      <c:valAx>
        <c:axId val="263898952"/>
        <c:scaling>
          <c:orientation val="minMax"/>
          <c:max val="10"/>
          <c:min val="2"/>
        </c:scaling>
        <c:delete val="0"/>
        <c:axPos val="l"/>
        <c:majorGridlines/>
        <c:title>
          <c:tx>
            <c:rich>
              <a:bodyPr rot="-5400000" vert="horz"/>
              <a:lstStyle/>
              <a:p>
                <a:pPr>
                  <a:defRPr/>
                </a:pPr>
                <a:r>
                  <a:rPr lang="en-US" sz="1000"/>
                  <a:t>CPI Rating (0-10)</a:t>
                </a:r>
              </a:p>
            </c:rich>
          </c:tx>
          <c:layout/>
          <c:overlay val="0"/>
        </c:title>
        <c:numFmt formatCode="0.00" sourceLinked="1"/>
        <c:majorTickMark val="out"/>
        <c:minorTickMark val="none"/>
        <c:tickLblPos val="nextTo"/>
        <c:crossAx val="262919992"/>
        <c:crosses val="autoZero"/>
        <c:crossBetween val="between"/>
        <c:majorUnit val="2"/>
      </c:valAx>
    </c:plotArea>
    <c:legend>
      <c:legendPos val="b"/>
      <c:layout/>
      <c:overlay val="0"/>
    </c:legend>
    <c:plotVisOnly val="1"/>
    <c:dispBlanksAs val="gap"/>
    <c:showDLblsOverMax val="0"/>
  </c:chart>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title>
      <c:tx>
        <c:rich>
          <a:bodyPr/>
          <a:lstStyle/>
          <a:p>
            <a:pPr>
              <a:defRPr/>
            </a:pPr>
            <a:r>
              <a:rPr lang="en-US" sz="1100"/>
              <a:t>First Clinical - Average</a:t>
            </a:r>
            <a:r>
              <a:rPr lang="en-US" sz="1100" baseline="0"/>
              <a:t> Rating for Safety</a:t>
            </a:r>
            <a:endParaRPr lang="en-US" sz="1100"/>
          </a:p>
        </c:rich>
      </c:tx>
      <c:layout/>
      <c:overlay val="0"/>
    </c:title>
    <c:autoTitleDeleted val="0"/>
    <c:plotArea>
      <c:layout/>
      <c:lineChart>
        <c:grouping val="standard"/>
        <c:varyColors val="0"/>
        <c:ser>
          <c:idx val="0"/>
          <c:order val="0"/>
          <c:tx>
            <c:strRef>
              <c:f>'1st Safety'!$B$1</c:f>
              <c:strCache>
                <c:ptCount val="1"/>
                <c:pt idx="0">
                  <c:v>Avg Rating at Mid-Term</c:v>
                </c:pt>
              </c:strCache>
            </c:strRef>
          </c:tx>
          <c:dLbls>
            <c:spPr>
              <a:noFill/>
              <a:ln>
                <a:noFill/>
              </a:ln>
              <a:effectLst/>
            </c:sp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'1st Safety'!$A$2:$A$4</c:f>
              <c:strCache>
                <c:ptCount val="3"/>
                <c:pt idx="0">
                  <c:v>Fall 2012</c:v>
                </c:pt>
                <c:pt idx="1">
                  <c:v>Fall 2013</c:v>
                </c:pt>
                <c:pt idx="2">
                  <c:v>Fall 2014</c:v>
                </c:pt>
              </c:strCache>
            </c:strRef>
          </c:cat>
          <c:val>
            <c:numRef>
              <c:f>'1st Safety'!$B$2:$B$4</c:f>
              <c:numCache>
                <c:formatCode>0.00</c:formatCode>
                <c:ptCount val="3"/>
                <c:pt idx="0">
                  <c:v>4.3030303030303028</c:v>
                </c:pt>
                <c:pt idx="1">
                  <c:v>5.0714285714285712</c:v>
                </c:pt>
                <c:pt idx="2">
                  <c:v>5.5945945945945947</c:v>
                </c:pt>
              </c:numCache>
            </c:numRef>
          </c:val>
          <c:smooth val="0"/>
        </c:ser>
        <c:ser>
          <c:idx val="1"/>
          <c:order val="1"/>
          <c:tx>
            <c:strRef>
              <c:f>'1st Safety'!$C$1</c:f>
              <c:strCache>
                <c:ptCount val="1"/>
                <c:pt idx="0">
                  <c:v>Avg Rating at Final</c:v>
                </c:pt>
              </c:strCache>
            </c:strRef>
          </c:tx>
          <c:dLbls>
            <c:spPr>
              <a:noFill/>
              <a:ln>
                <a:noFill/>
              </a:ln>
              <a:effectLst/>
            </c:sp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'1st Safety'!$A$2:$A$4</c:f>
              <c:strCache>
                <c:ptCount val="3"/>
                <c:pt idx="0">
                  <c:v>Fall 2012</c:v>
                </c:pt>
                <c:pt idx="1">
                  <c:v>Fall 2013</c:v>
                </c:pt>
                <c:pt idx="2">
                  <c:v>Fall 2014</c:v>
                </c:pt>
              </c:strCache>
            </c:strRef>
          </c:cat>
          <c:val>
            <c:numRef>
              <c:f>'1st Safety'!$C$2:$C$4</c:f>
              <c:numCache>
                <c:formatCode>0.00</c:formatCode>
                <c:ptCount val="3"/>
                <c:pt idx="0">
                  <c:v>6.9375</c:v>
                </c:pt>
                <c:pt idx="1">
                  <c:v>7.1071428571428568</c:v>
                </c:pt>
                <c:pt idx="2">
                  <c:v>7.3611111111111107</c:v>
                </c:pt>
              </c:numCache>
            </c:numRef>
          </c:val>
          <c:smooth val="0"/>
        </c:ser>
        <c:dLbls>
          <c:dLblPos val="t"/>
          <c:showLegendKey val="0"/>
          <c:showVal val="1"/>
          <c:showCatName val="0"/>
          <c:showSerName val="0"/>
          <c:showPercent val="0"/>
          <c:showBubbleSize val="0"/>
        </c:dLbls>
        <c:marker val="1"/>
        <c:smooth val="0"/>
        <c:axId val="263899736"/>
        <c:axId val="263900128"/>
      </c:lineChart>
      <c:catAx>
        <c:axId val="263899736"/>
        <c:scaling>
          <c:orientation val="minMax"/>
        </c:scaling>
        <c:delete val="0"/>
        <c:axPos val="b"/>
        <c:numFmt formatCode="General" sourceLinked="0"/>
        <c:majorTickMark val="out"/>
        <c:minorTickMark val="none"/>
        <c:tickLblPos val="nextTo"/>
        <c:crossAx val="263900128"/>
        <c:crosses val="autoZero"/>
        <c:auto val="1"/>
        <c:lblAlgn val="ctr"/>
        <c:lblOffset val="100"/>
        <c:noMultiLvlLbl val="0"/>
      </c:catAx>
      <c:valAx>
        <c:axId val="263900128"/>
        <c:scaling>
          <c:orientation val="minMax"/>
          <c:max val="10"/>
          <c:min val="2"/>
        </c:scaling>
        <c:delete val="0"/>
        <c:axPos val="l"/>
        <c:majorGridlines/>
        <c:title>
          <c:tx>
            <c:rich>
              <a:bodyPr rot="-5400000" vert="horz"/>
              <a:lstStyle/>
              <a:p>
                <a:pPr>
                  <a:defRPr/>
                </a:pPr>
                <a:r>
                  <a:rPr lang="en-US" sz="1000"/>
                  <a:t>CPI</a:t>
                </a:r>
                <a:r>
                  <a:rPr lang="en-US" sz="1000" baseline="0"/>
                  <a:t> Rating (0-10)</a:t>
                </a:r>
                <a:endParaRPr lang="en-US" sz="1000"/>
              </a:p>
            </c:rich>
          </c:tx>
          <c:layout/>
          <c:overlay val="0"/>
        </c:title>
        <c:numFmt formatCode="0.00" sourceLinked="1"/>
        <c:majorTickMark val="out"/>
        <c:minorTickMark val="none"/>
        <c:tickLblPos val="nextTo"/>
        <c:crossAx val="263899736"/>
        <c:crosses val="autoZero"/>
        <c:crossBetween val="between"/>
      </c:valAx>
    </c:plotArea>
    <c:legend>
      <c:legendPos val="b"/>
      <c:layout/>
      <c:overlay val="0"/>
    </c:legend>
    <c:plotVisOnly val="1"/>
    <c:dispBlanksAs val="gap"/>
    <c:showDLblsOverMax val="0"/>
  </c:chart>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title>
      <c:tx>
        <c:rich>
          <a:bodyPr/>
          <a:lstStyle/>
          <a:p>
            <a:pPr>
              <a:defRPr/>
            </a:pPr>
            <a:r>
              <a:rPr lang="en-US" sz="1100"/>
              <a:t>Second Clinical - Average Rating</a:t>
            </a:r>
            <a:r>
              <a:rPr lang="en-US" sz="1100" baseline="0"/>
              <a:t> for Safety</a:t>
            </a:r>
            <a:endParaRPr lang="en-US" sz="1100"/>
          </a:p>
        </c:rich>
      </c:tx>
      <c:layout/>
      <c:overlay val="0"/>
    </c:title>
    <c:autoTitleDeleted val="0"/>
    <c:plotArea>
      <c:layout/>
      <c:lineChart>
        <c:grouping val="standard"/>
        <c:varyColors val="0"/>
        <c:ser>
          <c:idx val="0"/>
          <c:order val="0"/>
          <c:tx>
            <c:strRef>
              <c:f>'2nd Safety'!$B$1</c:f>
              <c:strCache>
                <c:ptCount val="1"/>
                <c:pt idx="0">
                  <c:v>Avg Rating at Mid-Term</c:v>
                </c:pt>
              </c:strCache>
            </c:strRef>
          </c:tx>
          <c:dLbls>
            <c:dLbl>
              <c:idx val="0"/>
              <c:layout>
                <c:manualLayout>
                  <c:x val="-4.6531571613249834E-2"/>
                  <c:y val="7.9388166366844592E-2"/>
                </c:manualLayout>
              </c:layout>
              <c:dLblPos val="r"/>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5.2217428045375026E-2"/>
                  <c:y val="7.9388166366844509E-2"/>
                </c:manualLayout>
              </c:layout>
              <c:dLblPos val="r"/>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5.5060356261437467E-2"/>
                  <c:y val="5.9413135155858325E-2"/>
                </c:manualLayout>
              </c:layout>
              <c:dLblPos val="r"/>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'2nd Safety'!$A$2:$A$4</c:f>
              <c:strCache>
                <c:ptCount val="3"/>
                <c:pt idx="0">
                  <c:v>Spring 2012</c:v>
                </c:pt>
                <c:pt idx="1">
                  <c:v>Spring 2013</c:v>
                </c:pt>
                <c:pt idx="2">
                  <c:v>Spring 2014</c:v>
                </c:pt>
              </c:strCache>
            </c:strRef>
          </c:cat>
          <c:val>
            <c:numRef>
              <c:f>'2nd Safety'!$B$2:$B$4</c:f>
              <c:numCache>
                <c:formatCode>0.00</c:formatCode>
                <c:ptCount val="3"/>
                <c:pt idx="0">
                  <c:v>6.2307692307692308</c:v>
                </c:pt>
                <c:pt idx="1">
                  <c:v>6.6785714285714288</c:v>
                </c:pt>
                <c:pt idx="2">
                  <c:v>6.5925925925925926</c:v>
                </c:pt>
              </c:numCache>
            </c:numRef>
          </c:val>
          <c:smooth val="0"/>
        </c:ser>
        <c:ser>
          <c:idx val="1"/>
          <c:order val="1"/>
          <c:tx>
            <c:strRef>
              <c:f>'2nd Safety'!$C$1</c:f>
              <c:strCache>
                <c:ptCount val="1"/>
                <c:pt idx="0">
                  <c:v>Avg Rating at Final</c:v>
                </c:pt>
              </c:strCache>
            </c:strRef>
          </c:tx>
          <c:dLbls>
            <c:spPr>
              <a:noFill/>
              <a:ln>
                <a:noFill/>
              </a:ln>
              <a:effectLst/>
            </c:sp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'2nd Safety'!$A$2:$A$4</c:f>
              <c:strCache>
                <c:ptCount val="3"/>
                <c:pt idx="0">
                  <c:v>Spring 2012</c:v>
                </c:pt>
                <c:pt idx="1">
                  <c:v>Spring 2013</c:v>
                </c:pt>
                <c:pt idx="2">
                  <c:v>Spring 2014</c:v>
                </c:pt>
              </c:strCache>
            </c:strRef>
          </c:cat>
          <c:val>
            <c:numRef>
              <c:f>'2nd Safety'!$C$2:$C$4</c:f>
              <c:numCache>
                <c:formatCode>0.00</c:formatCode>
                <c:ptCount val="3"/>
                <c:pt idx="0">
                  <c:v>7.9230769230769234</c:v>
                </c:pt>
                <c:pt idx="1">
                  <c:v>8</c:v>
                </c:pt>
                <c:pt idx="2">
                  <c:v>8.08</c:v>
                </c:pt>
              </c:numCache>
            </c:numRef>
          </c:val>
          <c:smooth val="0"/>
        </c:ser>
        <c:dLbls>
          <c:dLblPos val="t"/>
          <c:showLegendKey val="0"/>
          <c:showVal val="1"/>
          <c:showCatName val="0"/>
          <c:showSerName val="0"/>
          <c:showPercent val="0"/>
          <c:showBubbleSize val="0"/>
        </c:dLbls>
        <c:marker val="1"/>
        <c:smooth val="0"/>
        <c:axId val="263900912"/>
        <c:axId val="263901304"/>
      </c:lineChart>
      <c:catAx>
        <c:axId val="263900912"/>
        <c:scaling>
          <c:orientation val="minMax"/>
        </c:scaling>
        <c:delete val="0"/>
        <c:axPos val="b"/>
        <c:numFmt formatCode="General" sourceLinked="0"/>
        <c:majorTickMark val="out"/>
        <c:minorTickMark val="none"/>
        <c:tickLblPos val="nextTo"/>
        <c:crossAx val="263901304"/>
        <c:crosses val="autoZero"/>
        <c:auto val="1"/>
        <c:lblAlgn val="ctr"/>
        <c:lblOffset val="100"/>
        <c:noMultiLvlLbl val="0"/>
      </c:catAx>
      <c:valAx>
        <c:axId val="263901304"/>
        <c:scaling>
          <c:orientation val="minMax"/>
          <c:max val="10"/>
          <c:min val="2"/>
        </c:scaling>
        <c:delete val="0"/>
        <c:axPos val="l"/>
        <c:majorGridlines/>
        <c:title>
          <c:tx>
            <c:rich>
              <a:bodyPr rot="-5400000" vert="horz"/>
              <a:lstStyle/>
              <a:p>
                <a:pPr>
                  <a:defRPr/>
                </a:pPr>
                <a:r>
                  <a:rPr lang="en-US" sz="1000"/>
                  <a:t>CPI</a:t>
                </a:r>
                <a:r>
                  <a:rPr lang="en-US" sz="1000" baseline="0"/>
                  <a:t> Rating (0-10)</a:t>
                </a:r>
                <a:endParaRPr lang="en-US" sz="1000"/>
              </a:p>
            </c:rich>
          </c:tx>
          <c:layout/>
          <c:overlay val="0"/>
        </c:title>
        <c:numFmt formatCode="0.00" sourceLinked="1"/>
        <c:majorTickMark val="out"/>
        <c:minorTickMark val="none"/>
        <c:tickLblPos val="nextTo"/>
        <c:crossAx val="263900912"/>
        <c:crosses val="autoZero"/>
        <c:crossBetween val="between"/>
        <c:majorUnit val="2"/>
      </c:valAx>
    </c:plotArea>
    <c:legend>
      <c:legendPos val="b"/>
      <c:layout/>
      <c:overlay val="0"/>
    </c:legend>
    <c:plotVisOnly val="1"/>
    <c:dispBlanksAs val="gap"/>
    <c:showDLblsOverMax val="0"/>
  </c:chart>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title>
      <c:tx>
        <c:rich>
          <a:bodyPr/>
          <a:lstStyle/>
          <a:p>
            <a:pPr>
              <a:defRPr/>
            </a:pPr>
            <a:r>
              <a:rPr lang="en-US" sz="1100"/>
              <a:t>First Clinical - Average Rating for Interventions:</a:t>
            </a:r>
            <a:r>
              <a:rPr lang="en-US" sz="1100" baseline="0"/>
              <a:t>  Therapeutic Exercise</a:t>
            </a:r>
            <a:endParaRPr lang="en-US" sz="1100"/>
          </a:p>
        </c:rich>
      </c:tx>
      <c:layout/>
      <c:overlay val="0"/>
    </c:title>
    <c:autoTitleDeleted val="0"/>
    <c:plotArea>
      <c:layout/>
      <c:lineChart>
        <c:grouping val="standard"/>
        <c:varyColors val="0"/>
        <c:ser>
          <c:idx val="0"/>
          <c:order val="0"/>
          <c:tx>
            <c:strRef>
              <c:f>'1st Interventions-TherEx'!$B$1</c:f>
              <c:strCache>
                <c:ptCount val="1"/>
                <c:pt idx="0">
                  <c:v>Avg Rating at Mid-Term</c:v>
                </c:pt>
              </c:strCache>
            </c:strRef>
          </c:tx>
          <c:dLbls>
            <c:spPr>
              <a:noFill/>
              <a:ln>
                <a:noFill/>
              </a:ln>
              <a:effectLst/>
            </c:sp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'1st Interventions-TherEx'!$A$2:$A$4</c:f>
              <c:strCache>
                <c:ptCount val="3"/>
                <c:pt idx="0">
                  <c:v>Fall 2012</c:v>
                </c:pt>
                <c:pt idx="1">
                  <c:v>Fall 2013</c:v>
                </c:pt>
                <c:pt idx="2">
                  <c:v>Fall 2014</c:v>
                </c:pt>
              </c:strCache>
            </c:strRef>
          </c:cat>
          <c:val>
            <c:numRef>
              <c:f>'1st Interventions-TherEx'!$B$2:$B$4</c:f>
              <c:numCache>
                <c:formatCode>0.00</c:formatCode>
                <c:ptCount val="3"/>
                <c:pt idx="0">
                  <c:v>4.2424242424242422</c:v>
                </c:pt>
                <c:pt idx="1">
                  <c:v>4.5357142857142856</c:v>
                </c:pt>
                <c:pt idx="2">
                  <c:v>5.0270270270270272</c:v>
                </c:pt>
              </c:numCache>
            </c:numRef>
          </c:val>
          <c:smooth val="0"/>
        </c:ser>
        <c:ser>
          <c:idx val="1"/>
          <c:order val="1"/>
          <c:tx>
            <c:strRef>
              <c:f>'1st Interventions-TherEx'!$C$1</c:f>
              <c:strCache>
                <c:ptCount val="1"/>
                <c:pt idx="0">
                  <c:v>Avg Rating at Final</c:v>
                </c:pt>
              </c:strCache>
            </c:strRef>
          </c:tx>
          <c:dLbls>
            <c:spPr>
              <a:noFill/>
              <a:ln>
                <a:noFill/>
              </a:ln>
              <a:effectLst/>
            </c:sp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'1st Interventions-TherEx'!$A$2:$A$4</c:f>
              <c:strCache>
                <c:ptCount val="3"/>
                <c:pt idx="0">
                  <c:v>Fall 2012</c:v>
                </c:pt>
                <c:pt idx="1">
                  <c:v>Fall 2013</c:v>
                </c:pt>
                <c:pt idx="2">
                  <c:v>Fall 2014</c:v>
                </c:pt>
              </c:strCache>
            </c:strRef>
          </c:cat>
          <c:val>
            <c:numRef>
              <c:f>'1st Interventions-TherEx'!$C$2:$C$4</c:f>
              <c:numCache>
                <c:formatCode>0.00</c:formatCode>
                <c:ptCount val="3"/>
                <c:pt idx="0">
                  <c:v>6.40625</c:v>
                </c:pt>
                <c:pt idx="1">
                  <c:v>6.4642857142857144</c:v>
                </c:pt>
                <c:pt idx="2">
                  <c:v>6.8055555555555554</c:v>
                </c:pt>
              </c:numCache>
            </c:numRef>
          </c:val>
          <c:smooth val="0"/>
        </c:ser>
        <c:dLbls>
          <c:dLblPos val="t"/>
          <c:showLegendKey val="0"/>
          <c:showVal val="1"/>
          <c:showCatName val="0"/>
          <c:showSerName val="0"/>
          <c:showPercent val="0"/>
          <c:showBubbleSize val="0"/>
        </c:dLbls>
        <c:marker val="1"/>
        <c:smooth val="0"/>
        <c:axId val="263902480"/>
        <c:axId val="263902872"/>
      </c:lineChart>
      <c:catAx>
        <c:axId val="263902480"/>
        <c:scaling>
          <c:orientation val="minMax"/>
        </c:scaling>
        <c:delete val="0"/>
        <c:axPos val="b"/>
        <c:numFmt formatCode="General" sourceLinked="0"/>
        <c:majorTickMark val="out"/>
        <c:minorTickMark val="none"/>
        <c:tickLblPos val="nextTo"/>
        <c:crossAx val="263902872"/>
        <c:crosses val="autoZero"/>
        <c:auto val="1"/>
        <c:lblAlgn val="ctr"/>
        <c:lblOffset val="100"/>
        <c:noMultiLvlLbl val="0"/>
      </c:catAx>
      <c:valAx>
        <c:axId val="263902872"/>
        <c:scaling>
          <c:orientation val="minMax"/>
          <c:max val="10"/>
          <c:min val="2"/>
        </c:scaling>
        <c:delete val="0"/>
        <c:axPos val="l"/>
        <c:majorGridlines/>
        <c:title>
          <c:tx>
            <c:rich>
              <a:bodyPr rot="-5400000" vert="horz"/>
              <a:lstStyle/>
              <a:p>
                <a:pPr>
                  <a:defRPr/>
                </a:pPr>
                <a:r>
                  <a:rPr lang="en-US" sz="1000"/>
                  <a:t>CPI Rating (0-10)</a:t>
                </a:r>
              </a:p>
            </c:rich>
          </c:tx>
          <c:layout/>
          <c:overlay val="0"/>
        </c:title>
        <c:numFmt formatCode="0.00" sourceLinked="1"/>
        <c:majorTickMark val="out"/>
        <c:minorTickMark val="none"/>
        <c:tickLblPos val="nextTo"/>
        <c:crossAx val="263902480"/>
        <c:crosses val="autoZero"/>
        <c:crossBetween val="between"/>
      </c:valAx>
    </c:plotArea>
    <c:legend>
      <c:legendPos val="b"/>
      <c:layout/>
      <c:overlay val="0"/>
    </c:legend>
    <c:plotVisOnly val="1"/>
    <c:dispBlanksAs val="gap"/>
    <c:showDLblsOverMax val="0"/>
  </c:chart>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title>
      <c:tx>
        <c:rich>
          <a:bodyPr/>
          <a:lstStyle/>
          <a:p>
            <a:pPr>
              <a:defRPr/>
            </a:pPr>
            <a:r>
              <a:rPr lang="en-US" sz="1100"/>
              <a:t>Second Clinical - Average Rating for Interventions:  Therapeutic Exercise</a:t>
            </a:r>
          </a:p>
        </c:rich>
      </c:tx>
      <c:layout/>
      <c:overlay val="0"/>
    </c:title>
    <c:autoTitleDeleted val="0"/>
    <c:plotArea>
      <c:layout/>
      <c:lineChart>
        <c:grouping val="standard"/>
        <c:varyColors val="0"/>
        <c:ser>
          <c:idx val="0"/>
          <c:order val="0"/>
          <c:tx>
            <c:strRef>
              <c:f>'2nd Interventions-TherEx'!$B$1</c:f>
              <c:strCache>
                <c:ptCount val="1"/>
                <c:pt idx="0">
                  <c:v>Avg Rating at Mid-Term</c:v>
                </c:pt>
              </c:strCache>
            </c:strRef>
          </c:tx>
          <c:dLbls>
            <c:spPr>
              <a:noFill/>
              <a:ln>
                <a:noFill/>
              </a:ln>
              <a:effectLst/>
            </c:sp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'2nd Interventions-TherEx'!$A$2:$A$4</c:f>
              <c:strCache>
                <c:ptCount val="3"/>
                <c:pt idx="0">
                  <c:v>Spring 2012</c:v>
                </c:pt>
                <c:pt idx="1">
                  <c:v>Spring 2013</c:v>
                </c:pt>
                <c:pt idx="2">
                  <c:v>Spring 2014</c:v>
                </c:pt>
              </c:strCache>
            </c:strRef>
          </c:cat>
          <c:val>
            <c:numRef>
              <c:f>'2nd Interventions-TherEx'!$B$2:$B$4</c:f>
              <c:numCache>
                <c:formatCode>0.00</c:formatCode>
                <c:ptCount val="3"/>
                <c:pt idx="0">
                  <c:v>6.3076923076923075</c:v>
                </c:pt>
                <c:pt idx="1">
                  <c:v>6.4285714285714288</c:v>
                </c:pt>
                <c:pt idx="2">
                  <c:v>6.333333333333333</c:v>
                </c:pt>
              </c:numCache>
            </c:numRef>
          </c:val>
          <c:smooth val="0"/>
        </c:ser>
        <c:ser>
          <c:idx val="1"/>
          <c:order val="1"/>
          <c:tx>
            <c:strRef>
              <c:f>'2nd Interventions-TherEx'!$C$1</c:f>
              <c:strCache>
                <c:ptCount val="1"/>
                <c:pt idx="0">
                  <c:v>Avg Rating at Final</c:v>
                </c:pt>
              </c:strCache>
            </c:strRef>
          </c:tx>
          <c:dLbls>
            <c:spPr>
              <a:noFill/>
              <a:ln>
                <a:noFill/>
              </a:ln>
              <a:effectLst/>
            </c:sp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'2nd Interventions-TherEx'!$A$2:$A$4</c:f>
              <c:strCache>
                <c:ptCount val="3"/>
                <c:pt idx="0">
                  <c:v>Spring 2012</c:v>
                </c:pt>
                <c:pt idx="1">
                  <c:v>Spring 2013</c:v>
                </c:pt>
                <c:pt idx="2">
                  <c:v>Spring 2014</c:v>
                </c:pt>
              </c:strCache>
            </c:strRef>
          </c:cat>
          <c:val>
            <c:numRef>
              <c:f>'2nd Interventions-TherEx'!$C$2:$C$4</c:f>
              <c:numCache>
                <c:formatCode>0.00</c:formatCode>
                <c:ptCount val="3"/>
                <c:pt idx="0">
                  <c:v>8</c:v>
                </c:pt>
                <c:pt idx="1">
                  <c:v>8.0740740740740744</c:v>
                </c:pt>
                <c:pt idx="2">
                  <c:v>7.72</c:v>
                </c:pt>
              </c:numCache>
            </c:numRef>
          </c:val>
          <c:smooth val="0"/>
        </c:ser>
        <c:dLbls>
          <c:dLblPos val="t"/>
          <c:showLegendKey val="0"/>
          <c:showVal val="1"/>
          <c:showCatName val="0"/>
          <c:showSerName val="0"/>
          <c:showPercent val="0"/>
          <c:showBubbleSize val="0"/>
        </c:dLbls>
        <c:marker val="1"/>
        <c:smooth val="0"/>
        <c:axId val="263903264"/>
        <c:axId val="263903656"/>
      </c:lineChart>
      <c:catAx>
        <c:axId val="263903264"/>
        <c:scaling>
          <c:orientation val="minMax"/>
        </c:scaling>
        <c:delete val="0"/>
        <c:axPos val="b"/>
        <c:numFmt formatCode="General" sourceLinked="0"/>
        <c:majorTickMark val="out"/>
        <c:minorTickMark val="none"/>
        <c:tickLblPos val="nextTo"/>
        <c:crossAx val="263903656"/>
        <c:crosses val="autoZero"/>
        <c:auto val="1"/>
        <c:lblAlgn val="ctr"/>
        <c:lblOffset val="100"/>
        <c:noMultiLvlLbl val="0"/>
      </c:catAx>
      <c:valAx>
        <c:axId val="263903656"/>
        <c:scaling>
          <c:orientation val="minMax"/>
          <c:max val="10"/>
          <c:min val="2"/>
        </c:scaling>
        <c:delete val="0"/>
        <c:axPos val="l"/>
        <c:majorGridlines/>
        <c:title>
          <c:tx>
            <c:rich>
              <a:bodyPr rot="-5400000" vert="horz"/>
              <a:lstStyle/>
              <a:p>
                <a:pPr>
                  <a:defRPr/>
                </a:pPr>
                <a:r>
                  <a:rPr lang="en-US" sz="1000"/>
                  <a:t>CPI Rating (0-10)</a:t>
                </a:r>
              </a:p>
            </c:rich>
          </c:tx>
          <c:layout/>
          <c:overlay val="0"/>
        </c:title>
        <c:numFmt formatCode="0.00" sourceLinked="1"/>
        <c:majorTickMark val="out"/>
        <c:minorTickMark val="none"/>
        <c:tickLblPos val="nextTo"/>
        <c:crossAx val="263903264"/>
        <c:crosses val="autoZero"/>
        <c:crossBetween val="between"/>
        <c:majorUnit val="2"/>
      </c:valAx>
    </c:plotArea>
    <c:legend>
      <c:legendPos val="b"/>
      <c:layout/>
      <c:overlay val="0"/>
    </c:legend>
    <c:plotVisOnly val="1"/>
    <c:dispBlanksAs val="gap"/>
    <c:showDLblsOverMax val="0"/>
  </c:chart>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title>
      <c:tx>
        <c:rich>
          <a:bodyPr/>
          <a:lstStyle/>
          <a:p>
            <a:pPr>
              <a:defRPr/>
            </a:pPr>
            <a:r>
              <a:rPr lang="en-US" sz="1100"/>
              <a:t>First Clinical - Average Rating for Interventions:  Therapeutic Techniques</a:t>
            </a:r>
          </a:p>
        </c:rich>
      </c:tx>
      <c:layout/>
      <c:overlay val="0"/>
    </c:title>
    <c:autoTitleDeleted val="0"/>
    <c:plotArea>
      <c:layout/>
      <c:lineChart>
        <c:grouping val="standard"/>
        <c:varyColors val="0"/>
        <c:ser>
          <c:idx val="0"/>
          <c:order val="0"/>
          <c:tx>
            <c:strRef>
              <c:f>'1st Interventions-TherTech'!$B$1</c:f>
              <c:strCache>
                <c:ptCount val="1"/>
                <c:pt idx="0">
                  <c:v>Avg Rating at Mid-Term</c:v>
                </c:pt>
              </c:strCache>
            </c:strRef>
          </c:tx>
          <c:dLbls>
            <c:spPr>
              <a:noFill/>
              <a:ln>
                <a:noFill/>
              </a:ln>
              <a:effectLst/>
            </c:sp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'1st Interventions-TherTech'!$A$2:$A$4</c:f>
              <c:strCache>
                <c:ptCount val="3"/>
                <c:pt idx="0">
                  <c:v>Fall 2012</c:v>
                </c:pt>
                <c:pt idx="1">
                  <c:v>Fall 2013</c:v>
                </c:pt>
                <c:pt idx="2">
                  <c:v>Fall 2014</c:v>
                </c:pt>
              </c:strCache>
            </c:strRef>
          </c:cat>
          <c:val>
            <c:numRef>
              <c:f>'1st Interventions-TherTech'!$B$2:$B$4</c:f>
              <c:numCache>
                <c:formatCode>0.00</c:formatCode>
                <c:ptCount val="3"/>
                <c:pt idx="0">
                  <c:v>4.15625</c:v>
                </c:pt>
                <c:pt idx="1">
                  <c:v>4.333333333333333</c:v>
                </c:pt>
                <c:pt idx="2">
                  <c:v>4.8918918918918921</c:v>
                </c:pt>
              </c:numCache>
            </c:numRef>
          </c:val>
          <c:smooth val="0"/>
        </c:ser>
        <c:ser>
          <c:idx val="1"/>
          <c:order val="1"/>
          <c:tx>
            <c:strRef>
              <c:f>'1st Interventions-TherTech'!$C$1</c:f>
              <c:strCache>
                <c:ptCount val="1"/>
                <c:pt idx="0">
                  <c:v>Avg Rating at Final</c:v>
                </c:pt>
              </c:strCache>
            </c:strRef>
          </c:tx>
          <c:dLbls>
            <c:spPr>
              <a:noFill/>
              <a:ln>
                <a:noFill/>
              </a:ln>
              <a:effectLst/>
            </c:sp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'1st Interventions-TherTech'!$A$2:$A$4</c:f>
              <c:strCache>
                <c:ptCount val="3"/>
                <c:pt idx="0">
                  <c:v>Fall 2012</c:v>
                </c:pt>
                <c:pt idx="1">
                  <c:v>Fall 2013</c:v>
                </c:pt>
                <c:pt idx="2">
                  <c:v>Fall 2014</c:v>
                </c:pt>
              </c:strCache>
            </c:strRef>
          </c:cat>
          <c:val>
            <c:numRef>
              <c:f>'1st Interventions-TherTech'!$C$2:$C$4</c:f>
              <c:numCache>
                <c:formatCode>0.00</c:formatCode>
                <c:ptCount val="3"/>
                <c:pt idx="0">
                  <c:v>6.3125</c:v>
                </c:pt>
                <c:pt idx="1">
                  <c:v>6.6071428571428568</c:v>
                </c:pt>
                <c:pt idx="2">
                  <c:v>6.6111111111111107</c:v>
                </c:pt>
              </c:numCache>
            </c:numRef>
          </c:val>
          <c:smooth val="0"/>
        </c:ser>
        <c:dLbls>
          <c:dLblPos val="t"/>
          <c:showLegendKey val="0"/>
          <c:showVal val="1"/>
          <c:showCatName val="0"/>
          <c:showSerName val="0"/>
          <c:showPercent val="0"/>
          <c:showBubbleSize val="0"/>
        </c:dLbls>
        <c:marker val="1"/>
        <c:smooth val="0"/>
        <c:axId val="265069672"/>
        <c:axId val="265070064"/>
      </c:lineChart>
      <c:catAx>
        <c:axId val="265069672"/>
        <c:scaling>
          <c:orientation val="minMax"/>
        </c:scaling>
        <c:delete val="0"/>
        <c:axPos val="b"/>
        <c:numFmt formatCode="General" sourceLinked="0"/>
        <c:majorTickMark val="out"/>
        <c:minorTickMark val="none"/>
        <c:tickLblPos val="nextTo"/>
        <c:crossAx val="265070064"/>
        <c:crosses val="autoZero"/>
        <c:auto val="1"/>
        <c:lblAlgn val="ctr"/>
        <c:lblOffset val="100"/>
        <c:noMultiLvlLbl val="0"/>
      </c:catAx>
      <c:valAx>
        <c:axId val="265070064"/>
        <c:scaling>
          <c:orientation val="minMax"/>
          <c:max val="10"/>
          <c:min val="2"/>
        </c:scaling>
        <c:delete val="0"/>
        <c:axPos val="l"/>
        <c:majorGridlines/>
        <c:title>
          <c:tx>
            <c:rich>
              <a:bodyPr rot="-5400000" vert="horz"/>
              <a:lstStyle/>
              <a:p>
                <a:pPr>
                  <a:defRPr/>
                </a:pPr>
                <a:r>
                  <a:rPr lang="en-US" sz="1000"/>
                  <a:t>CPI Rating (0-10)</a:t>
                </a:r>
              </a:p>
            </c:rich>
          </c:tx>
          <c:layout/>
          <c:overlay val="0"/>
        </c:title>
        <c:numFmt formatCode="0.00" sourceLinked="1"/>
        <c:majorTickMark val="out"/>
        <c:minorTickMark val="none"/>
        <c:tickLblPos val="nextTo"/>
        <c:crossAx val="265069672"/>
        <c:crosses val="autoZero"/>
        <c:crossBetween val="between"/>
      </c:valAx>
    </c:plotArea>
    <c:legend>
      <c:legendPos val="b"/>
      <c:layout/>
      <c:overlay val="0"/>
    </c:legend>
    <c:plotVisOnly val="1"/>
    <c:dispBlanksAs val="gap"/>
    <c:showDLblsOverMax val="0"/>
  </c:chart>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title>
      <c:tx>
        <c:rich>
          <a:bodyPr/>
          <a:lstStyle/>
          <a:p>
            <a:pPr>
              <a:defRPr/>
            </a:pPr>
            <a:r>
              <a:rPr lang="en-US" sz="1100"/>
              <a:t>Second Clinical - Average</a:t>
            </a:r>
            <a:r>
              <a:rPr lang="en-US" sz="1100" baseline="0"/>
              <a:t> Rating for Interventions:  </a:t>
            </a:r>
          </a:p>
          <a:p>
            <a:pPr>
              <a:defRPr/>
            </a:pPr>
            <a:r>
              <a:rPr lang="en-US" sz="1100" baseline="0"/>
              <a:t>Therapeutic Techniques</a:t>
            </a:r>
            <a:endParaRPr lang="en-US" sz="1100"/>
          </a:p>
        </c:rich>
      </c:tx>
      <c:layout/>
      <c:overlay val="0"/>
    </c:title>
    <c:autoTitleDeleted val="0"/>
    <c:plotArea>
      <c:layout/>
      <c:lineChart>
        <c:grouping val="standard"/>
        <c:varyColors val="0"/>
        <c:ser>
          <c:idx val="0"/>
          <c:order val="0"/>
          <c:tx>
            <c:strRef>
              <c:f>'2nd Intervent-TherTech'!$B$1</c:f>
              <c:strCache>
                <c:ptCount val="1"/>
                <c:pt idx="0">
                  <c:v>Avg Rating at Mid-Term</c:v>
                </c:pt>
              </c:strCache>
            </c:strRef>
          </c:tx>
          <c:dLbls>
            <c:spPr>
              <a:noFill/>
              <a:ln>
                <a:noFill/>
              </a:ln>
              <a:effectLst/>
            </c:sp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'2nd Intervent-TherTech'!$A$2:$A$4</c:f>
              <c:strCache>
                <c:ptCount val="3"/>
                <c:pt idx="0">
                  <c:v>Spring 2012</c:v>
                </c:pt>
                <c:pt idx="1">
                  <c:v>Spring 2013</c:v>
                </c:pt>
                <c:pt idx="2">
                  <c:v>Spring 2014</c:v>
                </c:pt>
              </c:strCache>
            </c:strRef>
          </c:cat>
          <c:val>
            <c:numRef>
              <c:f>'2nd Intervent-TherTech'!$B$2:$B$4</c:f>
              <c:numCache>
                <c:formatCode>0.00</c:formatCode>
                <c:ptCount val="3"/>
                <c:pt idx="0">
                  <c:v>6.384615384615385</c:v>
                </c:pt>
                <c:pt idx="1">
                  <c:v>5.9642857142857144</c:v>
                </c:pt>
                <c:pt idx="2">
                  <c:v>6.0370370370370372</c:v>
                </c:pt>
              </c:numCache>
            </c:numRef>
          </c:val>
          <c:smooth val="0"/>
        </c:ser>
        <c:ser>
          <c:idx val="1"/>
          <c:order val="1"/>
          <c:tx>
            <c:strRef>
              <c:f>'2nd Intervent-TherTech'!$C$1</c:f>
              <c:strCache>
                <c:ptCount val="1"/>
                <c:pt idx="0">
                  <c:v>Avg Rating at Final</c:v>
                </c:pt>
              </c:strCache>
            </c:strRef>
          </c:tx>
          <c:dLbls>
            <c:spPr>
              <a:noFill/>
              <a:ln>
                <a:noFill/>
              </a:ln>
              <a:effectLst/>
            </c:sp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'2nd Intervent-TherTech'!$A$2:$A$4</c:f>
              <c:strCache>
                <c:ptCount val="3"/>
                <c:pt idx="0">
                  <c:v>Spring 2012</c:v>
                </c:pt>
                <c:pt idx="1">
                  <c:v>Spring 2013</c:v>
                </c:pt>
                <c:pt idx="2">
                  <c:v>Spring 2014</c:v>
                </c:pt>
              </c:strCache>
            </c:strRef>
          </c:cat>
          <c:val>
            <c:numRef>
              <c:f>'2nd Intervent-TherTech'!$C$2:$C$4</c:f>
              <c:numCache>
                <c:formatCode>0.00</c:formatCode>
                <c:ptCount val="3"/>
                <c:pt idx="0">
                  <c:v>7.9230769230769234</c:v>
                </c:pt>
                <c:pt idx="1">
                  <c:v>7.9230769230769234</c:v>
                </c:pt>
                <c:pt idx="2">
                  <c:v>7.84</c:v>
                </c:pt>
              </c:numCache>
            </c:numRef>
          </c:val>
          <c:smooth val="0"/>
        </c:ser>
        <c:dLbls>
          <c:dLblPos val="t"/>
          <c:showLegendKey val="0"/>
          <c:showVal val="1"/>
          <c:showCatName val="0"/>
          <c:showSerName val="0"/>
          <c:showPercent val="0"/>
          <c:showBubbleSize val="0"/>
        </c:dLbls>
        <c:marker val="1"/>
        <c:smooth val="0"/>
        <c:axId val="265070848"/>
        <c:axId val="265071240"/>
      </c:lineChart>
      <c:catAx>
        <c:axId val="265070848"/>
        <c:scaling>
          <c:orientation val="minMax"/>
        </c:scaling>
        <c:delete val="0"/>
        <c:axPos val="b"/>
        <c:numFmt formatCode="General" sourceLinked="0"/>
        <c:majorTickMark val="out"/>
        <c:minorTickMark val="none"/>
        <c:tickLblPos val="nextTo"/>
        <c:crossAx val="265071240"/>
        <c:crosses val="autoZero"/>
        <c:auto val="1"/>
        <c:lblAlgn val="ctr"/>
        <c:lblOffset val="100"/>
        <c:noMultiLvlLbl val="0"/>
      </c:catAx>
      <c:valAx>
        <c:axId val="265071240"/>
        <c:scaling>
          <c:orientation val="minMax"/>
          <c:max val="10"/>
          <c:min val="2"/>
        </c:scaling>
        <c:delete val="0"/>
        <c:axPos val="l"/>
        <c:majorGridlines/>
        <c:title>
          <c:tx>
            <c:rich>
              <a:bodyPr rot="-5400000" vert="horz"/>
              <a:lstStyle/>
              <a:p>
                <a:pPr>
                  <a:defRPr/>
                </a:pPr>
                <a:r>
                  <a:rPr lang="en-US" sz="1000"/>
                  <a:t>CPI Rating (0-10)</a:t>
                </a:r>
              </a:p>
            </c:rich>
          </c:tx>
          <c:layout/>
          <c:overlay val="0"/>
        </c:title>
        <c:numFmt formatCode="0.00" sourceLinked="1"/>
        <c:majorTickMark val="out"/>
        <c:minorTickMark val="none"/>
        <c:tickLblPos val="nextTo"/>
        <c:crossAx val="265070848"/>
        <c:crosses val="autoZero"/>
        <c:crossBetween val="between"/>
        <c:majorUnit val="2"/>
      </c:valAx>
    </c:plotArea>
    <c:legend>
      <c:legendPos val="b"/>
      <c:layout/>
      <c:overlay val="0"/>
    </c:legend>
    <c:plotVisOnly val="1"/>
    <c:dispBlanksAs val="gap"/>
    <c:showDLblsOverMax val="0"/>
  </c:chart>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title>
      <c:tx>
        <c:rich>
          <a:bodyPr/>
          <a:lstStyle/>
          <a:p>
            <a:pPr>
              <a:defRPr/>
            </a:pPr>
            <a:r>
              <a:rPr lang="en-US" sz="1100"/>
              <a:t>First</a:t>
            </a:r>
            <a:r>
              <a:rPr lang="en-US" sz="1100" baseline="0"/>
              <a:t> Clinical - Average Rating for Interventions:  Physical Agents and Mechanical Modalities</a:t>
            </a:r>
            <a:endParaRPr lang="en-US" sz="1100"/>
          </a:p>
        </c:rich>
      </c:tx>
      <c:layout/>
      <c:overlay val="0"/>
    </c:title>
    <c:autoTitleDeleted val="0"/>
    <c:plotArea>
      <c:layout/>
      <c:lineChart>
        <c:grouping val="standard"/>
        <c:varyColors val="0"/>
        <c:ser>
          <c:idx val="0"/>
          <c:order val="0"/>
          <c:tx>
            <c:strRef>
              <c:f>'1st Intervent-PhysAg &amp; MechMod'!$B$1</c:f>
              <c:strCache>
                <c:ptCount val="1"/>
                <c:pt idx="0">
                  <c:v>Avg Rating at Mid-Term</c:v>
                </c:pt>
              </c:strCache>
            </c:strRef>
          </c:tx>
          <c:dLbls>
            <c:dLbl>
              <c:idx val="0"/>
              <c:layout>
                <c:manualLayout>
                  <c:x val="-5.0287420437948337E-2"/>
                  <c:y val="6.4166568731147414E-2"/>
                </c:manualLayout>
              </c:layout>
              <c:dLblPos val="r"/>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5.0287420437948434E-2"/>
                  <c:y val="6.4166568731147317E-2"/>
                </c:manualLayout>
              </c:layout>
              <c:dLblPos val="r"/>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5.3025271225080439E-2"/>
                  <c:y val="6.4166568731147414E-2"/>
                </c:manualLayout>
              </c:layout>
              <c:dLblPos val="r"/>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'1st Intervent-PhysAg &amp; MechMod'!$A$2:$A$4</c:f>
              <c:strCache>
                <c:ptCount val="3"/>
                <c:pt idx="0">
                  <c:v>Fall 2012</c:v>
                </c:pt>
                <c:pt idx="1">
                  <c:v>Fall 2013</c:v>
                </c:pt>
                <c:pt idx="2">
                  <c:v>Fall 2014</c:v>
                </c:pt>
              </c:strCache>
            </c:strRef>
          </c:cat>
          <c:val>
            <c:numRef>
              <c:f>'1st Intervent-PhysAg &amp; MechMod'!$B$2:$B$4</c:f>
              <c:numCache>
                <c:formatCode>0.00</c:formatCode>
                <c:ptCount val="3"/>
                <c:pt idx="0">
                  <c:v>3.9285714285714284</c:v>
                </c:pt>
                <c:pt idx="1">
                  <c:v>4.2222222222222223</c:v>
                </c:pt>
                <c:pt idx="2">
                  <c:v>5.0294117647058822</c:v>
                </c:pt>
              </c:numCache>
            </c:numRef>
          </c:val>
          <c:smooth val="0"/>
        </c:ser>
        <c:ser>
          <c:idx val="1"/>
          <c:order val="1"/>
          <c:tx>
            <c:strRef>
              <c:f>'1st Intervent-PhysAg &amp; MechMod'!$C$1</c:f>
              <c:strCache>
                <c:ptCount val="1"/>
                <c:pt idx="0">
                  <c:v>Avg Rating at Final</c:v>
                </c:pt>
              </c:strCache>
            </c:strRef>
          </c:tx>
          <c:dLbls>
            <c:spPr>
              <a:noFill/>
              <a:ln>
                <a:noFill/>
              </a:ln>
              <a:effectLst/>
            </c:sp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'1st Intervent-PhysAg &amp; MechMod'!$A$2:$A$4</c:f>
              <c:strCache>
                <c:ptCount val="3"/>
                <c:pt idx="0">
                  <c:v>Fall 2012</c:v>
                </c:pt>
                <c:pt idx="1">
                  <c:v>Fall 2013</c:v>
                </c:pt>
                <c:pt idx="2">
                  <c:v>Fall 2014</c:v>
                </c:pt>
              </c:strCache>
            </c:strRef>
          </c:cat>
          <c:val>
            <c:numRef>
              <c:f>'1st Intervent-PhysAg &amp; MechMod'!$C$2:$C$4</c:f>
              <c:numCache>
                <c:formatCode>0.00</c:formatCode>
                <c:ptCount val="3"/>
                <c:pt idx="0">
                  <c:v>6.3461538461538458</c:v>
                </c:pt>
                <c:pt idx="1">
                  <c:v>6.4814814814814818</c:v>
                </c:pt>
                <c:pt idx="2">
                  <c:v>6.5294117647058822</c:v>
                </c:pt>
              </c:numCache>
            </c:numRef>
          </c:val>
          <c:smooth val="0"/>
        </c:ser>
        <c:dLbls>
          <c:dLblPos val="t"/>
          <c:showLegendKey val="0"/>
          <c:showVal val="1"/>
          <c:showCatName val="0"/>
          <c:showSerName val="0"/>
          <c:showPercent val="0"/>
          <c:showBubbleSize val="0"/>
        </c:dLbls>
        <c:marker val="1"/>
        <c:smooth val="0"/>
        <c:axId val="265072024"/>
        <c:axId val="265072416"/>
      </c:lineChart>
      <c:catAx>
        <c:axId val="265072024"/>
        <c:scaling>
          <c:orientation val="minMax"/>
        </c:scaling>
        <c:delete val="0"/>
        <c:axPos val="b"/>
        <c:numFmt formatCode="General" sourceLinked="0"/>
        <c:majorTickMark val="out"/>
        <c:minorTickMark val="none"/>
        <c:tickLblPos val="nextTo"/>
        <c:crossAx val="265072416"/>
        <c:crosses val="autoZero"/>
        <c:auto val="1"/>
        <c:lblAlgn val="ctr"/>
        <c:lblOffset val="100"/>
        <c:noMultiLvlLbl val="0"/>
      </c:catAx>
      <c:valAx>
        <c:axId val="265072416"/>
        <c:scaling>
          <c:orientation val="minMax"/>
          <c:max val="10"/>
          <c:min val="2"/>
        </c:scaling>
        <c:delete val="0"/>
        <c:axPos val="l"/>
        <c:majorGridlines/>
        <c:title>
          <c:tx>
            <c:rich>
              <a:bodyPr rot="-5400000" vert="horz"/>
              <a:lstStyle/>
              <a:p>
                <a:pPr>
                  <a:defRPr/>
                </a:pPr>
                <a:r>
                  <a:rPr lang="en-US" sz="1000"/>
                  <a:t>CPI Rating (-0-10)</a:t>
                </a:r>
              </a:p>
            </c:rich>
          </c:tx>
          <c:layout/>
          <c:overlay val="0"/>
        </c:title>
        <c:numFmt formatCode="0.00" sourceLinked="1"/>
        <c:majorTickMark val="out"/>
        <c:minorTickMark val="none"/>
        <c:tickLblPos val="nextTo"/>
        <c:crossAx val="265072024"/>
        <c:crosses val="autoZero"/>
        <c:crossBetween val="between"/>
      </c:valAx>
    </c:plotArea>
    <c:legend>
      <c:legendPos val="b"/>
      <c:layout/>
      <c:overlay val="0"/>
    </c:legend>
    <c:plotVisOnly val="1"/>
    <c:dispBlanksAs val="gap"/>
    <c:showDLblsOverMax val="0"/>
  </c:chart>
  <c:externalData r:id="rId1">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title>
      <c:tx>
        <c:rich>
          <a:bodyPr/>
          <a:lstStyle/>
          <a:p>
            <a:pPr>
              <a:defRPr/>
            </a:pPr>
            <a:r>
              <a:rPr lang="en-US" sz="1100"/>
              <a:t>Second Clinical</a:t>
            </a:r>
            <a:r>
              <a:rPr lang="en-US" sz="1100" baseline="0"/>
              <a:t> - Average Rating for Physical Agents and </a:t>
            </a:r>
          </a:p>
          <a:p>
            <a:pPr>
              <a:defRPr/>
            </a:pPr>
            <a:r>
              <a:rPr lang="en-US" sz="1100" baseline="0"/>
              <a:t>Mechanical Modalities</a:t>
            </a:r>
            <a:endParaRPr lang="en-US" sz="1100"/>
          </a:p>
        </c:rich>
      </c:tx>
      <c:layout/>
      <c:overlay val="0"/>
    </c:title>
    <c:autoTitleDeleted val="0"/>
    <c:plotArea>
      <c:layout/>
      <c:lineChart>
        <c:grouping val="standard"/>
        <c:varyColors val="0"/>
        <c:ser>
          <c:idx val="0"/>
          <c:order val="0"/>
          <c:tx>
            <c:strRef>
              <c:f>'2nd Intervent-PhysAg &amp; MechMod'!$B$1</c:f>
              <c:strCache>
                <c:ptCount val="1"/>
                <c:pt idx="0">
                  <c:v>Avg Rating at Mid-Term</c:v>
                </c:pt>
              </c:strCache>
            </c:strRef>
          </c:tx>
          <c:dLbls>
            <c:dLbl>
              <c:idx val="0"/>
              <c:layout>
                <c:manualLayout>
                  <c:x val="-5.3025271225080439E-2"/>
                  <c:y val="7.8506075629435207E-2"/>
                </c:manualLayout>
              </c:layout>
              <c:dLblPos val="r"/>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5.0287420437948434E-2"/>
                  <c:y val="7.3567804024496933E-2"/>
                </c:manualLayout>
              </c:layout>
              <c:dLblPos val="r"/>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5.8500972799344637E-2"/>
                  <c:y val="7.8506075629435207E-2"/>
                </c:manualLayout>
              </c:layout>
              <c:dLblPos val="r"/>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'2nd Intervent-PhysAg &amp; MechMod'!$A$2:$A$4</c:f>
              <c:strCache>
                <c:ptCount val="3"/>
                <c:pt idx="0">
                  <c:v>Spring 2012</c:v>
                </c:pt>
                <c:pt idx="1">
                  <c:v>Spring 2013</c:v>
                </c:pt>
                <c:pt idx="2">
                  <c:v>Spring 2014</c:v>
                </c:pt>
              </c:strCache>
            </c:strRef>
          </c:cat>
          <c:val>
            <c:numRef>
              <c:f>'2nd Intervent-PhysAg &amp; MechMod'!$B$2:$B$4</c:f>
              <c:numCache>
                <c:formatCode>0.00</c:formatCode>
                <c:ptCount val="3"/>
                <c:pt idx="0">
                  <c:v>6.583333333333333</c:v>
                </c:pt>
                <c:pt idx="1">
                  <c:v>6.416666666666667</c:v>
                </c:pt>
                <c:pt idx="2">
                  <c:v>6.541666666666667</c:v>
                </c:pt>
              </c:numCache>
            </c:numRef>
          </c:val>
          <c:smooth val="0"/>
        </c:ser>
        <c:ser>
          <c:idx val="1"/>
          <c:order val="1"/>
          <c:tx>
            <c:strRef>
              <c:f>'2nd Intervent-PhysAg &amp; MechMod'!$C$1</c:f>
              <c:strCache>
                <c:ptCount val="1"/>
                <c:pt idx="0">
                  <c:v>Avg Rating at Final</c:v>
                </c:pt>
              </c:strCache>
            </c:strRef>
          </c:tx>
          <c:dLbls>
            <c:spPr>
              <a:noFill/>
              <a:ln>
                <a:noFill/>
              </a:ln>
              <a:effectLst/>
            </c:sp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'2nd Intervent-PhysAg &amp; MechMod'!$A$2:$A$4</c:f>
              <c:strCache>
                <c:ptCount val="3"/>
                <c:pt idx="0">
                  <c:v>Spring 2012</c:v>
                </c:pt>
                <c:pt idx="1">
                  <c:v>Spring 2013</c:v>
                </c:pt>
                <c:pt idx="2">
                  <c:v>Spring 2014</c:v>
                </c:pt>
              </c:strCache>
            </c:strRef>
          </c:cat>
          <c:val>
            <c:numRef>
              <c:f>'2nd Intervent-PhysAg &amp; MechMod'!$C$2:$C$4</c:f>
              <c:numCache>
                <c:formatCode>0.00</c:formatCode>
                <c:ptCount val="3"/>
                <c:pt idx="0">
                  <c:v>7.916666666666667</c:v>
                </c:pt>
                <c:pt idx="1">
                  <c:v>7.833333333333333</c:v>
                </c:pt>
                <c:pt idx="2">
                  <c:v>7.76</c:v>
                </c:pt>
              </c:numCache>
            </c:numRef>
          </c:val>
          <c:smooth val="0"/>
        </c:ser>
        <c:dLbls>
          <c:dLblPos val="t"/>
          <c:showLegendKey val="0"/>
          <c:showVal val="1"/>
          <c:showCatName val="0"/>
          <c:showSerName val="0"/>
          <c:showPercent val="0"/>
          <c:showBubbleSize val="0"/>
        </c:dLbls>
        <c:marker val="1"/>
        <c:smooth val="0"/>
        <c:axId val="265073200"/>
        <c:axId val="265073592"/>
      </c:lineChart>
      <c:catAx>
        <c:axId val="265073200"/>
        <c:scaling>
          <c:orientation val="minMax"/>
        </c:scaling>
        <c:delete val="0"/>
        <c:axPos val="b"/>
        <c:numFmt formatCode="General" sourceLinked="0"/>
        <c:majorTickMark val="out"/>
        <c:minorTickMark val="none"/>
        <c:tickLblPos val="nextTo"/>
        <c:crossAx val="265073592"/>
        <c:crosses val="autoZero"/>
        <c:auto val="1"/>
        <c:lblAlgn val="ctr"/>
        <c:lblOffset val="100"/>
        <c:noMultiLvlLbl val="0"/>
      </c:catAx>
      <c:valAx>
        <c:axId val="265073592"/>
        <c:scaling>
          <c:orientation val="minMax"/>
          <c:max val="10"/>
          <c:min val="2"/>
        </c:scaling>
        <c:delete val="0"/>
        <c:axPos val="l"/>
        <c:majorGridlines/>
        <c:title>
          <c:tx>
            <c:rich>
              <a:bodyPr rot="-5400000" vert="horz"/>
              <a:lstStyle/>
              <a:p>
                <a:pPr>
                  <a:defRPr/>
                </a:pPr>
                <a:r>
                  <a:rPr lang="en-US" sz="1000"/>
                  <a:t>CPI Rating (0-10)</a:t>
                </a:r>
              </a:p>
            </c:rich>
          </c:tx>
          <c:layout/>
          <c:overlay val="0"/>
        </c:title>
        <c:numFmt formatCode="0.00" sourceLinked="1"/>
        <c:majorTickMark val="out"/>
        <c:minorTickMark val="none"/>
        <c:tickLblPos val="nextTo"/>
        <c:crossAx val="265073200"/>
        <c:crosses val="autoZero"/>
        <c:crossBetween val="between"/>
      </c:valAx>
    </c:plotArea>
    <c:legend>
      <c:legendPos val="b"/>
      <c:layout/>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Overall Department Success</a:t>
            </a:r>
            <a:r>
              <a:rPr lang="en-US" baseline="0"/>
              <a:t> Rates</a:t>
            </a:r>
            <a:endParaRPr lang="en-US"/>
          </a:p>
        </c:rich>
      </c:tx>
      <c:layout/>
      <c:overlay val="0"/>
    </c:title>
    <c:autoTitleDeleted val="0"/>
    <c:plotArea>
      <c:layout/>
      <c:barChart>
        <c:barDir val="col"/>
        <c:grouping val="clustered"/>
        <c:varyColors val="0"/>
        <c:ser>
          <c:idx val="0"/>
          <c:order val="0"/>
          <c:tx>
            <c:strRef>
              <c:f>'CHART FOR SUCCESS RATES'!$K$6</c:f>
              <c:strCache>
                <c:ptCount val="1"/>
                <c:pt idx="0">
                  <c:v>0681 - Physical Therapist Assistant</c:v>
                </c:pt>
              </c:strCache>
            </c:strRef>
          </c:tx>
          <c:invertIfNegative val="0"/>
          <c:dLbls>
            <c:dLbl>
              <c:idx val="0"/>
              <c:layout>
                <c:manualLayout>
                  <c:x val="1.8993352326685661E-3"/>
                  <c:y val="9.2592592592592587E-3"/>
                </c:manualLayout>
              </c:layout>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3.7986704653371322E-3"/>
                  <c:y val="-9.2592592592592587E-3"/>
                </c:manualLayout>
              </c:layout>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0"/>
                  <c:y val="-4.6296296296296294E-3"/>
                </c:manualLayout>
              </c:layout>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5.6980056980056983E-3"/>
                  <c:y val="-4.6296296296296294E-3"/>
                </c:manualLayout>
              </c:layout>
              <c:showLegendKey val="0"/>
              <c:showVal val="1"/>
              <c:showCatName val="0"/>
              <c:showSerName val="0"/>
              <c:showPercent val="0"/>
              <c:showBubbleSize val="0"/>
              <c:extLst>
                <c:ext xmlns:c15="http://schemas.microsoft.com/office/drawing/2012/chart" uri="{CE6537A1-D6FC-4f65-9D91-7224C49458BB}">
                  <c15:layout/>
                </c:ext>
              </c:extLst>
            </c:dLbl>
            <c:dLbl>
              <c:idx val="4"/>
              <c:layout>
                <c:manualLayout>
                  <c:x val="-1.8993352326685661E-3"/>
                  <c:y val="4.6296296296296294E-3"/>
                </c:manualLayout>
              </c:layout>
              <c:showLegendKey val="0"/>
              <c:showVal val="1"/>
              <c:showCatName val="0"/>
              <c:showSerName val="0"/>
              <c:showPercent val="0"/>
              <c:showBubbleSize val="0"/>
              <c:extLst>
                <c:ext xmlns:c15="http://schemas.microsoft.com/office/drawing/2012/chart" uri="{CE6537A1-D6FC-4f65-9D91-7224C49458BB}">
                  <c15:layout/>
                </c:ext>
              </c:extLst>
            </c:dLbl>
            <c:dLbl>
              <c:idx val="5"/>
              <c:layout>
                <c:manualLayout>
                  <c:x val="-3.7986704653371322E-3"/>
                  <c:y val="-4.6296296296296294E-3"/>
                </c:manualLayout>
              </c:layout>
              <c:showLegendKey val="0"/>
              <c:showVal val="1"/>
              <c:showCatName val="0"/>
              <c:showSerName val="0"/>
              <c:showPercent val="0"/>
              <c:showBubbleSize val="0"/>
              <c:extLst>
                <c:ext xmlns:c15="http://schemas.microsoft.com/office/drawing/2012/chart" uri="{CE6537A1-D6FC-4f65-9D91-7224C49458BB}">
                  <c15:layout/>
                </c:ext>
              </c:extLst>
            </c:dLbl>
            <c:dLbl>
              <c:idx val="6"/>
              <c:layout>
                <c:manualLayout>
                  <c:x val="-3.7986704653371322E-3"/>
                  <c:y val="4.6292650918635173E-3"/>
                </c:manualLayout>
              </c:layou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'CHART FOR SUCCESS RATES'!$D$5:$J$5</c:f>
              <c:strCache>
                <c:ptCount val="7"/>
                <c:pt idx="0">
                  <c:v>FY 07-08</c:v>
                </c:pt>
                <c:pt idx="1">
                  <c:v>FY 08-09</c:v>
                </c:pt>
                <c:pt idx="2">
                  <c:v>FY 09-10</c:v>
                </c:pt>
                <c:pt idx="3">
                  <c:v>FY 10-11</c:v>
                </c:pt>
                <c:pt idx="4">
                  <c:v>FY 11-12 </c:v>
                </c:pt>
                <c:pt idx="5">
                  <c:v>FY 12-13 </c:v>
                </c:pt>
                <c:pt idx="6">
                  <c:v>FY 13-14</c:v>
                </c:pt>
              </c:strCache>
            </c:strRef>
          </c:cat>
          <c:val>
            <c:numRef>
              <c:f>'CHART FOR SUCCESS RATES'!$D$6:$J$6</c:f>
              <c:numCache>
                <c:formatCode>0.0%</c:formatCode>
                <c:ptCount val="7"/>
                <c:pt idx="0">
                  <c:v>0.82499999999999996</c:v>
                </c:pt>
                <c:pt idx="1">
                  <c:v>0.84199999999999997</c:v>
                </c:pt>
                <c:pt idx="2">
                  <c:v>0.79400000000000004</c:v>
                </c:pt>
                <c:pt idx="3">
                  <c:v>0.81699999999999995</c:v>
                </c:pt>
                <c:pt idx="4">
                  <c:v>0.82599999999999996</c:v>
                </c:pt>
                <c:pt idx="5">
                  <c:v>0.84</c:v>
                </c:pt>
                <c:pt idx="6">
                  <c:v>0.85499999999999998</c:v>
                </c:pt>
              </c:numCache>
            </c:numRef>
          </c:val>
        </c:ser>
        <c:ser>
          <c:idx val="1"/>
          <c:order val="1"/>
          <c:tx>
            <c:strRef>
              <c:f>'CHART FOR SUCCESS RATES'!$C$8</c:f>
              <c:strCache>
                <c:ptCount val="1"/>
                <c:pt idx="0">
                  <c:v>HS</c:v>
                </c:pt>
              </c:strCache>
            </c:strRef>
          </c:tx>
          <c:invertIfNegative val="0"/>
          <c:cat>
            <c:strRef>
              <c:f>'CHART FOR SUCCESS RATES'!$D$5:$J$5</c:f>
              <c:strCache>
                <c:ptCount val="7"/>
                <c:pt idx="0">
                  <c:v>FY 07-08</c:v>
                </c:pt>
                <c:pt idx="1">
                  <c:v>FY 08-09</c:v>
                </c:pt>
                <c:pt idx="2">
                  <c:v>FY 09-10</c:v>
                </c:pt>
                <c:pt idx="3">
                  <c:v>FY 10-11</c:v>
                </c:pt>
                <c:pt idx="4">
                  <c:v>FY 11-12 </c:v>
                </c:pt>
                <c:pt idx="5">
                  <c:v>FY 12-13 </c:v>
                </c:pt>
                <c:pt idx="6">
                  <c:v>FY 13-14</c:v>
                </c:pt>
              </c:strCache>
            </c:strRef>
          </c:cat>
          <c:val>
            <c:numRef>
              <c:f>'CHART FOR SUCCESS RATES'!$D$8:$J$8</c:f>
              <c:numCache>
                <c:formatCode>0.0%</c:formatCode>
                <c:ptCount val="7"/>
                <c:pt idx="0">
                  <c:v>0.78900000000000003</c:v>
                </c:pt>
                <c:pt idx="1">
                  <c:v>0.79300000000000004</c:v>
                </c:pt>
                <c:pt idx="2">
                  <c:v>0.78800000000000003</c:v>
                </c:pt>
                <c:pt idx="3">
                  <c:v>0.77500000000000002</c:v>
                </c:pt>
                <c:pt idx="4">
                  <c:v>0.79800000000000004</c:v>
                </c:pt>
                <c:pt idx="5" formatCode="0.00%">
                  <c:v>0.77700000000000002</c:v>
                </c:pt>
                <c:pt idx="6" formatCode="0.00%">
                  <c:v>0.77300000000000002</c:v>
                </c:pt>
              </c:numCache>
            </c:numRef>
          </c:val>
        </c:ser>
        <c:ser>
          <c:idx val="2"/>
          <c:order val="2"/>
          <c:tx>
            <c:strRef>
              <c:f>'CHART FOR SUCCESS RATES'!$C$9</c:f>
              <c:strCache>
                <c:ptCount val="1"/>
                <c:pt idx="0">
                  <c:v>COLLEGEWIDE</c:v>
                </c:pt>
              </c:strCache>
            </c:strRef>
          </c:tx>
          <c:invertIfNegative val="0"/>
          <c:cat>
            <c:strRef>
              <c:f>'CHART FOR SUCCESS RATES'!$D$5:$J$5</c:f>
              <c:strCache>
                <c:ptCount val="7"/>
                <c:pt idx="0">
                  <c:v>FY 07-08</c:v>
                </c:pt>
                <c:pt idx="1">
                  <c:v>FY 08-09</c:v>
                </c:pt>
                <c:pt idx="2">
                  <c:v>FY 09-10</c:v>
                </c:pt>
                <c:pt idx="3">
                  <c:v>FY 10-11</c:v>
                </c:pt>
                <c:pt idx="4">
                  <c:v>FY 11-12 </c:v>
                </c:pt>
                <c:pt idx="5">
                  <c:v>FY 12-13 </c:v>
                </c:pt>
                <c:pt idx="6">
                  <c:v>FY 13-14</c:v>
                </c:pt>
              </c:strCache>
            </c:strRef>
          </c:cat>
          <c:val>
            <c:numRef>
              <c:f>'CHART FOR SUCCESS RATES'!$D$9:$J$9</c:f>
              <c:numCache>
                <c:formatCode>0.0%</c:formatCode>
                <c:ptCount val="7"/>
                <c:pt idx="0">
                  <c:v>0.71699999999999997</c:v>
                </c:pt>
                <c:pt idx="1">
                  <c:v>0.71</c:v>
                </c:pt>
                <c:pt idx="2">
                  <c:v>0.70199999999999996</c:v>
                </c:pt>
                <c:pt idx="3">
                  <c:v>0.69</c:v>
                </c:pt>
                <c:pt idx="4">
                  <c:v>0.70599999999999996</c:v>
                </c:pt>
                <c:pt idx="5">
                  <c:v>0.67800000000000005</c:v>
                </c:pt>
                <c:pt idx="6">
                  <c:v>0.69199999999999995</c:v>
                </c:pt>
              </c:numCache>
            </c:numRef>
          </c:val>
        </c:ser>
        <c:dLbls>
          <c:showLegendKey val="0"/>
          <c:showVal val="0"/>
          <c:showCatName val="0"/>
          <c:showSerName val="0"/>
          <c:showPercent val="0"/>
          <c:showBubbleSize val="0"/>
        </c:dLbls>
        <c:gapWidth val="150"/>
        <c:axId val="262916464"/>
        <c:axId val="262916856"/>
      </c:barChart>
      <c:catAx>
        <c:axId val="262916464"/>
        <c:scaling>
          <c:orientation val="minMax"/>
        </c:scaling>
        <c:delete val="0"/>
        <c:axPos val="b"/>
        <c:numFmt formatCode="General" sourceLinked="1"/>
        <c:majorTickMark val="none"/>
        <c:minorTickMark val="none"/>
        <c:tickLblPos val="nextTo"/>
        <c:crossAx val="262916856"/>
        <c:crosses val="autoZero"/>
        <c:auto val="1"/>
        <c:lblAlgn val="ctr"/>
        <c:lblOffset val="100"/>
        <c:noMultiLvlLbl val="0"/>
      </c:catAx>
      <c:valAx>
        <c:axId val="262916856"/>
        <c:scaling>
          <c:orientation val="minMax"/>
          <c:max val="1"/>
          <c:min val="0"/>
        </c:scaling>
        <c:delete val="0"/>
        <c:axPos val="l"/>
        <c:majorGridlines>
          <c:spPr>
            <a:ln>
              <a:solidFill>
                <a:srgbClr val="4F81BD">
                  <a:alpha val="31000"/>
                </a:srgbClr>
              </a:solidFill>
            </a:ln>
          </c:spPr>
        </c:majorGridlines>
        <c:numFmt formatCode="0.0%" sourceLinked="1"/>
        <c:majorTickMark val="none"/>
        <c:minorTickMark val="none"/>
        <c:tickLblPos val="nextTo"/>
        <c:crossAx val="262916464"/>
        <c:crosses val="autoZero"/>
        <c:crossBetween val="between"/>
      </c:valAx>
    </c:plotArea>
    <c:legend>
      <c:legendPos val="r"/>
      <c:layout/>
      <c:overlay val="0"/>
    </c:legend>
    <c:plotVisOnly val="1"/>
    <c:dispBlanksAs val="gap"/>
    <c:showDLblsOverMax val="0"/>
  </c:chart>
  <c:spPr>
    <a:ln w="25400">
      <a:solidFill>
        <a:sysClr val="windowText" lastClr="000000"/>
      </a:solidFill>
    </a:ln>
  </c:spPr>
  <c:externalData r:id="rId1">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title>
      <c:tx>
        <c:rich>
          <a:bodyPr/>
          <a:lstStyle/>
          <a:p>
            <a:pPr>
              <a:defRPr/>
            </a:pPr>
            <a:r>
              <a:rPr lang="en-US" sz="1100"/>
              <a:t>First Clinical - Average Rating for Interventions:  Electrotherapeutic</a:t>
            </a:r>
            <a:r>
              <a:rPr lang="en-US" sz="1100" baseline="0"/>
              <a:t> Modalities</a:t>
            </a:r>
            <a:endParaRPr lang="en-US" sz="1100"/>
          </a:p>
        </c:rich>
      </c:tx>
      <c:layout/>
      <c:overlay val="0"/>
    </c:title>
    <c:autoTitleDeleted val="0"/>
    <c:plotArea>
      <c:layout/>
      <c:lineChart>
        <c:grouping val="standard"/>
        <c:varyColors val="0"/>
        <c:ser>
          <c:idx val="0"/>
          <c:order val="0"/>
          <c:tx>
            <c:strRef>
              <c:f>'1st Intervent-Electro Mod'!$B$1</c:f>
              <c:strCache>
                <c:ptCount val="1"/>
                <c:pt idx="0">
                  <c:v>Avg Rating at Mid-Term</c:v>
                </c:pt>
              </c:strCache>
            </c:strRef>
          </c:tx>
          <c:dLbls>
            <c:spPr>
              <a:noFill/>
              <a:ln>
                <a:noFill/>
              </a:ln>
              <a:effectLst/>
            </c:sp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'1st Intervent-Electro Mod'!$A$2:$A$4</c:f>
              <c:strCache>
                <c:ptCount val="3"/>
                <c:pt idx="0">
                  <c:v>Fall 2012</c:v>
                </c:pt>
                <c:pt idx="1">
                  <c:v>Fall 2013</c:v>
                </c:pt>
                <c:pt idx="2">
                  <c:v>Fall 2014</c:v>
                </c:pt>
              </c:strCache>
            </c:strRef>
          </c:cat>
          <c:val>
            <c:numRef>
              <c:f>'1st Intervent-Electro Mod'!$B$2:$B$4</c:f>
              <c:numCache>
                <c:formatCode>0.00</c:formatCode>
                <c:ptCount val="3"/>
                <c:pt idx="0">
                  <c:v>4</c:v>
                </c:pt>
                <c:pt idx="1">
                  <c:v>3.4090909090909092</c:v>
                </c:pt>
                <c:pt idx="2">
                  <c:v>4.6071428571428568</c:v>
                </c:pt>
              </c:numCache>
            </c:numRef>
          </c:val>
          <c:smooth val="0"/>
        </c:ser>
        <c:ser>
          <c:idx val="1"/>
          <c:order val="1"/>
          <c:tx>
            <c:strRef>
              <c:f>'1st Intervent-Electro Mod'!$C$1</c:f>
              <c:strCache>
                <c:ptCount val="1"/>
                <c:pt idx="0">
                  <c:v>Avg Rating at Final</c:v>
                </c:pt>
              </c:strCache>
            </c:strRef>
          </c:tx>
          <c:dLbls>
            <c:spPr>
              <a:noFill/>
              <a:ln>
                <a:noFill/>
              </a:ln>
              <a:effectLst/>
            </c:sp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'1st Intervent-Electro Mod'!$A$2:$A$4</c:f>
              <c:strCache>
                <c:ptCount val="3"/>
                <c:pt idx="0">
                  <c:v>Fall 2012</c:v>
                </c:pt>
                <c:pt idx="1">
                  <c:v>Fall 2013</c:v>
                </c:pt>
                <c:pt idx="2">
                  <c:v>Fall 2014</c:v>
                </c:pt>
              </c:strCache>
            </c:strRef>
          </c:cat>
          <c:val>
            <c:numRef>
              <c:f>'1st Intervent-Electro Mod'!$C$2:$C$4</c:f>
              <c:numCache>
                <c:formatCode>0.00</c:formatCode>
                <c:ptCount val="3"/>
                <c:pt idx="0">
                  <c:v>6.115384615384615</c:v>
                </c:pt>
                <c:pt idx="1">
                  <c:v>6.0909090909090908</c:v>
                </c:pt>
                <c:pt idx="2">
                  <c:v>6.3448275862068968</c:v>
                </c:pt>
              </c:numCache>
            </c:numRef>
          </c:val>
          <c:smooth val="0"/>
        </c:ser>
        <c:dLbls>
          <c:dLblPos val="t"/>
          <c:showLegendKey val="0"/>
          <c:showVal val="1"/>
          <c:showCatName val="0"/>
          <c:showSerName val="0"/>
          <c:showPercent val="0"/>
          <c:showBubbleSize val="0"/>
        </c:dLbls>
        <c:marker val="1"/>
        <c:smooth val="0"/>
        <c:axId val="265074376"/>
        <c:axId val="265074768"/>
      </c:lineChart>
      <c:catAx>
        <c:axId val="265074376"/>
        <c:scaling>
          <c:orientation val="minMax"/>
        </c:scaling>
        <c:delete val="0"/>
        <c:axPos val="b"/>
        <c:numFmt formatCode="General" sourceLinked="0"/>
        <c:majorTickMark val="out"/>
        <c:minorTickMark val="none"/>
        <c:tickLblPos val="nextTo"/>
        <c:crossAx val="265074768"/>
        <c:crosses val="autoZero"/>
        <c:auto val="1"/>
        <c:lblAlgn val="ctr"/>
        <c:lblOffset val="100"/>
        <c:noMultiLvlLbl val="0"/>
      </c:catAx>
      <c:valAx>
        <c:axId val="265074768"/>
        <c:scaling>
          <c:orientation val="minMax"/>
          <c:max val="10"/>
          <c:min val="2"/>
        </c:scaling>
        <c:delete val="0"/>
        <c:axPos val="l"/>
        <c:majorGridlines/>
        <c:title>
          <c:tx>
            <c:rich>
              <a:bodyPr rot="-5400000" vert="horz"/>
              <a:lstStyle/>
              <a:p>
                <a:pPr>
                  <a:defRPr/>
                </a:pPr>
                <a:r>
                  <a:rPr lang="en-US" sz="1000"/>
                  <a:t>CPI Rating (0-10)</a:t>
                </a:r>
              </a:p>
            </c:rich>
          </c:tx>
          <c:layout/>
          <c:overlay val="0"/>
        </c:title>
        <c:numFmt formatCode="0.00" sourceLinked="1"/>
        <c:majorTickMark val="out"/>
        <c:minorTickMark val="none"/>
        <c:tickLblPos val="nextTo"/>
        <c:crossAx val="265074376"/>
        <c:crosses val="autoZero"/>
        <c:crossBetween val="between"/>
      </c:valAx>
    </c:plotArea>
    <c:legend>
      <c:legendPos val="b"/>
      <c:layout/>
      <c:overlay val="0"/>
    </c:legend>
    <c:plotVisOnly val="1"/>
    <c:dispBlanksAs val="gap"/>
    <c:showDLblsOverMax val="0"/>
  </c:chart>
  <c:externalData r:id="rId1">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title>
      <c:tx>
        <c:rich>
          <a:bodyPr/>
          <a:lstStyle/>
          <a:p>
            <a:pPr>
              <a:defRPr/>
            </a:pPr>
            <a:r>
              <a:rPr lang="en-US" sz="1100"/>
              <a:t>Second Clinical - Average Rating</a:t>
            </a:r>
            <a:r>
              <a:rPr lang="en-US" sz="1100" baseline="0"/>
              <a:t> for Interventions:  </a:t>
            </a:r>
          </a:p>
          <a:p>
            <a:pPr>
              <a:defRPr/>
            </a:pPr>
            <a:r>
              <a:rPr lang="en-US" sz="1100" baseline="0"/>
              <a:t>Electrotherapeutic Modalities</a:t>
            </a:r>
            <a:endParaRPr lang="en-US" sz="1100"/>
          </a:p>
        </c:rich>
      </c:tx>
      <c:layout/>
      <c:overlay val="0"/>
    </c:title>
    <c:autoTitleDeleted val="0"/>
    <c:plotArea>
      <c:layout/>
      <c:lineChart>
        <c:grouping val="standard"/>
        <c:varyColors val="0"/>
        <c:ser>
          <c:idx val="0"/>
          <c:order val="0"/>
          <c:tx>
            <c:strRef>
              <c:f>'2nd Intervent-ElectroMod'!$B$1</c:f>
              <c:strCache>
                <c:ptCount val="1"/>
                <c:pt idx="0">
                  <c:v>Avg Rating at Mid-Term</c:v>
                </c:pt>
              </c:strCache>
            </c:strRef>
          </c:tx>
          <c:dLbls>
            <c:dLbl>
              <c:idx val="0"/>
              <c:layout>
                <c:manualLayout>
                  <c:x val="-5.3355062643313377E-2"/>
                  <c:y val="7.5239799570508234E-2"/>
                </c:manualLayout>
              </c:layout>
              <c:dLblPos val="r"/>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5.3355062643313481E-2"/>
                  <c:y val="7.0189294520003179E-2"/>
                </c:manualLayout>
              </c:layout>
              <c:dLblPos val="r"/>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5.3355062643313377E-2"/>
                  <c:y val="6.5138789469498137E-2"/>
                </c:manualLayout>
              </c:layout>
              <c:dLblPos val="r"/>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'2nd Intervent-ElectroMod'!$A$2:$A$4</c:f>
              <c:strCache>
                <c:ptCount val="3"/>
                <c:pt idx="0">
                  <c:v>Spring 2012</c:v>
                </c:pt>
                <c:pt idx="1">
                  <c:v>Spring 2013</c:v>
                </c:pt>
                <c:pt idx="2">
                  <c:v>Spring 2014</c:v>
                </c:pt>
              </c:strCache>
            </c:strRef>
          </c:cat>
          <c:val>
            <c:numRef>
              <c:f>'2nd Intervent-ElectroMod'!$B$2:$B$4</c:f>
              <c:numCache>
                <c:formatCode>0.00</c:formatCode>
                <c:ptCount val="3"/>
                <c:pt idx="0">
                  <c:v>6.333333333333333</c:v>
                </c:pt>
                <c:pt idx="1">
                  <c:v>6.1052631578947372</c:v>
                </c:pt>
                <c:pt idx="2">
                  <c:v>6.4761904761904763</c:v>
                </c:pt>
              </c:numCache>
            </c:numRef>
          </c:val>
          <c:smooth val="0"/>
        </c:ser>
        <c:ser>
          <c:idx val="1"/>
          <c:order val="1"/>
          <c:tx>
            <c:strRef>
              <c:f>'2nd Intervent-ElectroMod'!$C$1</c:f>
              <c:strCache>
                <c:ptCount val="1"/>
                <c:pt idx="0">
                  <c:v>Avg Rating at Final</c:v>
                </c:pt>
              </c:strCache>
            </c:strRef>
          </c:tx>
          <c:dLbls>
            <c:spPr>
              <a:noFill/>
              <a:ln>
                <a:noFill/>
              </a:ln>
              <a:effectLst/>
            </c:sp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'2nd Intervent-ElectroMod'!$A$2:$A$4</c:f>
              <c:strCache>
                <c:ptCount val="3"/>
                <c:pt idx="0">
                  <c:v>Spring 2012</c:v>
                </c:pt>
                <c:pt idx="1">
                  <c:v>Spring 2013</c:v>
                </c:pt>
                <c:pt idx="2">
                  <c:v>Spring 2014</c:v>
                </c:pt>
              </c:strCache>
            </c:strRef>
          </c:cat>
          <c:val>
            <c:numRef>
              <c:f>'2nd Intervent-ElectroMod'!$C$2:$C$4</c:f>
              <c:numCache>
                <c:formatCode>0.00</c:formatCode>
                <c:ptCount val="3"/>
                <c:pt idx="0">
                  <c:v>7.875</c:v>
                </c:pt>
                <c:pt idx="1">
                  <c:v>7.75</c:v>
                </c:pt>
                <c:pt idx="2">
                  <c:v>7.8181818181818183</c:v>
                </c:pt>
              </c:numCache>
            </c:numRef>
          </c:val>
          <c:smooth val="0"/>
        </c:ser>
        <c:dLbls>
          <c:dLblPos val="t"/>
          <c:showLegendKey val="0"/>
          <c:showVal val="1"/>
          <c:showCatName val="0"/>
          <c:showSerName val="0"/>
          <c:showPercent val="0"/>
          <c:showBubbleSize val="0"/>
        </c:dLbls>
        <c:marker val="1"/>
        <c:smooth val="0"/>
        <c:axId val="265075552"/>
        <c:axId val="265075944"/>
      </c:lineChart>
      <c:catAx>
        <c:axId val="265075552"/>
        <c:scaling>
          <c:orientation val="minMax"/>
        </c:scaling>
        <c:delete val="0"/>
        <c:axPos val="b"/>
        <c:numFmt formatCode="General" sourceLinked="0"/>
        <c:majorTickMark val="out"/>
        <c:minorTickMark val="none"/>
        <c:tickLblPos val="nextTo"/>
        <c:crossAx val="265075944"/>
        <c:crosses val="autoZero"/>
        <c:auto val="1"/>
        <c:lblAlgn val="ctr"/>
        <c:lblOffset val="100"/>
        <c:noMultiLvlLbl val="0"/>
      </c:catAx>
      <c:valAx>
        <c:axId val="265075944"/>
        <c:scaling>
          <c:orientation val="minMax"/>
          <c:max val="10"/>
          <c:min val="2"/>
        </c:scaling>
        <c:delete val="0"/>
        <c:axPos val="l"/>
        <c:majorGridlines/>
        <c:title>
          <c:tx>
            <c:rich>
              <a:bodyPr rot="-5400000" vert="horz"/>
              <a:lstStyle/>
              <a:p>
                <a:pPr>
                  <a:defRPr/>
                </a:pPr>
                <a:r>
                  <a:rPr lang="en-US" sz="1000"/>
                  <a:t>CPI Rating (0-10)</a:t>
                </a:r>
              </a:p>
            </c:rich>
          </c:tx>
          <c:layout/>
          <c:overlay val="0"/>
        </c:title>
        <c:numFmt formatCode="0.00" sourceLinked="1"/>
        <c:majorTickMark val="out"/>
        <c:minorTickMark val="none"/>
        <c:tickLblPos val="nextTo"/>
        <c:crossAx val="265075552"/>
        <c:crosses val="autoZero"/>
        <c:crossBetween val="between"/>
      </c:valAx>
    </c:plotArea>
    <c:legend>
      <c:legendPos val="b"/>
      <c:layout/>
      <c:overlay val="0"/>
    </c:legend>
    <c:plotVisOnly val="1"/>
    <c:dispBlanksAs val="gap"/>
    <c:showDLblsOverMax val="0"/>
  </c:chart>
  <c:externalData r:id="rId1">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title>
      <c:tx>
        <c:rich>
          <a:bodyPr/>
          <a:lstStyle/>
          <a:p>
            <a:pPr>
              <a:defRPr/>
            </a:pPr>
            <a:r>
              <a:rPr lang="en-US" sz="1100"/>
              <a:t>First Clinical - Average</a:t>
            </a:r>
            <a:r>
              <a:rPr lang="en-US" sz="1100" baseline="0"/>
              <a:t> Rating for Interventions:  Functional Training and Application of Devices and Equipment</a:t>
            </a:r>
            <a:endParaRPr lang="en-US" sz="1100"/>
          </a:p>
        </c:rich>
      </c:tx>
      <c:layout/>
      <c:overlay val="0"/>
    </c:title>
    <c:autoTitleDeleted val="0"/>
    <c:plotArea>
      <c:layout/>
      <c:lineChart>
        <c:grouping val="standard"/>
        <c:varyColors val="0"/>
        <c:ser>
          <c:idx val="0"/>
          <c:order val="0"/>
          <c:tx>
            <c:strRef>
              <c:f>'1st Interventions-FuncTrain'!$B$1</c:f>
              <c:strCache>
                <c:ptCount val="1"/>
                <c:pt idx="0">
                  <c:v>Avg Rating at Mid-Term</c:v>
                </c:pt>
              </c:strCache>
            </c:strRef>
          </c:tx>
          <c:dLbls>
            <c:spPr>
              <a:noFill/>
              <a:ln>
                <a:noFill/>
              </a:ln>
              <a:effectLst/>
            </c:sp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'1st Interventions-FuncTrain'!$A$2:$A$4</c:f>
              <c:strCache>
                <c:ptCount val="3"/>
                <c:pt idx="0">
                  <c:v>Fall 2012</c:v>
                </c:pt>
                <c:pt idx="1">
                  <c:v>Fall 2013</c:v>
                </c:pt>
                <c:pt idx="2">
                  <c:v>Fall 2014</c:v>
                </c:pt>
              </c:strCache>
            </c:strRef>
          </c:cat>
          <c:val>
            <c:numRef>
              <c:f>'1st Interventions-FuncTrain'!$B$2:$B$4</c:f>
              <c:numCache>
                <c:formatCode>0.00</c:formatCode>
                <c:ptCount val="3"/>
                <c:pt idx="0">
                  <c:v>4.09375</c:v>
                </c:pt>
                <c:pt idx="1">
                  <c:v>4.0357142857142856</c:v>
                </c:pt>
                <c:pt idx="2">
                  <c:v>4.9729729729729728</c:v>
                </c:pt>
              </c:numCache>
            </c:numRef>
          </c:val>
          <c:smooth val="0"/>
        </c:ser>
        <c:ser>
          <c:idx val="1"/>
          <c:order val="1"/>
          <c:tx>
            <c:strRef>
              <c:f>'1st Interventions-FuncTrain'!$C$1</c:f>
              <c:strCache>
                <c:ptCount val="1"/>
                <c:pt idx="0">
                  <c:v>Avg Rating at Final</c:v>
                </c:pt>
              </c:strCache>
            </c:strRef>
          </c:tx>
          <c:dLbls>
            <c:spPr>
              <a:noFill/>
              <a:ln>
                <a:noFill/>
              </a:ln>
              <a:effectLst/>
            </c:sp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'1st Interventions-FuncTrain'!$A$2:$A$4</c:f>
              <c:strCache>
                <c:ptCount val="3"/>
                <c:pt idx="0">
                  <c:v>Fall 2012</c:v>
                </c:pt>
                <c:pt idx="1">
                  <c:v>Fall 2013</c:v>
                </c:pt>
                <c:pt idx="2">
                  <c:v>Fall 2014</c:v>
                </c:pt>
              </c:strCache>
            </c:strRef>
          </c:cat>
          <c:val>
            <c:numRef>
              <c:f>'1st Interventions-FuncTrain'!$C$2:$C$4</c:f>
              <c:numCache>
                <c:formatCode>0.00</c:formatCode>
                <c:ptCount val="3"/>
                <c:pt idx="0">
                  <c:v>6.1875</c:v>
                </c:pt>
                <c:pt idx="1">
                  <c:v>6.4444444444444446</c:v>
                </c:pt>
                <c:pt idx="2">
                  <c:v>6.75</c:v>
                </c:pt>
              </c:numCache>
            </c:numRef>
          </c:val>
          <c:smooth val="0"/>
        </c:ser>
        <c:dLbls>
          <c:dLblPos val="t"/>
          <c:showLegendKey val="0"/>
          <c:showVal val="1"/>
          <c:showCatName val="0"/>
          <c:showSerName val="0"/>
          <c:showPercent val="0"/>
          <c:showBubbleSize val="0"/>
        </c:dLbls>
        <c:marker val="1"/>
        <c:smooth val="0"/>
        <c:axId val="265076728"/>
        <c:axId val="265077120"/>
      </c:lineChart>
      <c:catAx>
        <c:axId val="265076728"/>
        <c:scaling>
          <c:orientation val="minMax"/>
        </c:scaling>
        <c:delete val="0"/>
        <c:axPos val="b"/>
        <c:numFmt formatCode="General" sourceLinked="0"/>
        <c:majorTickMark val="out"/>
        <c:minorTickMark val="none"/>
        <c:tickLblPos val="nextTo"/>
        <c:crossAx val="265077120"/>
        <c:crosses val="autoZero"/>
        <c:auto val="1"/>
        <c:lblAlgn val="ctr"/>
        <c:lblOffset val="100"/>
        <c:noMultiLvlLbl val="0"/>
      </c:catAx>
      <c:valAx>
        <c:axId val="265077120"/>
        <c:scaling>
          <c:orientation val="minMax"/>
          <c:max val="10"/>
          <c:min val="2"/>
        </c:scaling>
        <c:delete val="0"/>
        <c:axPos val="l"/>
        <c:majorGridlines/>
        <c:title>
          <c:tx>
            <c:rich>
              <a:bodyPr rot="-5400000" vert="horz"/>
              <a:lstStyle/>
              <a:p>
                <a:pPr>
                  <a:defRPr/>
                </a:pPr>
                <a:r>
                  <a:rPr lang="en-US" sz="1000"/>
                  <a:t>CPI Rating (0-10)</a:t>
                </a:r>
              </a:p>
            </c:rich>
          </c:tx>
          <c:layout/>
          <c:overlay val="0"/>
        </c:title>
        <c:numFmt formatCode="0.00" sourceLinked="1"/>
        <c:majorTickMark val="out"/>
        <c:minorTickMark val="none"/>
        <c:tickLblPos val="nextTo"/>
        <c:crossAx val="265076728"/>
        <c:crosses val="autoZero"/>
        <c:crossBetween val="between"/>
      </c:valAx>
    </c:plotArea>
    <c:legend>
      <c:legendPos val="b"/>
      <c:layout/>
      <c:overlay val="0"/>
    </c:legend>
    <c:plotVisOnly val="1"/>
    <c:dispBlanksAs val="gap"/>
    <c:showDLblsOverMax val="0"/>
  </c:chart>
  <c:externalData r:id="rId1">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title>
      <c:tx>
        <c:rich>
          <a:bodyPr/>
          <a:lstStyle/>
          <a:p>
            <a:pPr>
              <a:defRPr/>
            </a:pPr>
            <a:r>
              <a:rPr lang="en-US" sz="1100"/>
              <a:t>Second</a:t>
            </a:r>
            <a:r>
              <a:rPr lang="en-US" sz="1100" baseline="0"/>
              <a:t> Clinical - Average Rating for Interventions:  Functional Training and Application of Devices and Equipment</a:t>
            </a:r>
            <a:endParaRPr lang="en-US" sz="1100"/>
          </a:p>
        </c:rich>
      </c:tx>
      <c:layout/>
      <c:overlay val="0"/>
    </c:title>
    <c:autoTitleDeleted val="0"/>
    <c:plotArea>
      <c:layout/>
      <c:lineChart>
        <c:grouping val="standard"/>
        <c:varyColors val="0"/>
        <c:ser>
          <c:idx val="0"/>
          <c:order val="0"/>
          <c:tx>
            <c:strRef>
              <c:f>'2nd Interven-FuncTrain'!$B$1</c:f>
              <c:strCache>
                <c:ptCount val="1"/>
                <c:pt idx="0">
                  <c:v>Avg Rating at Mid-Term</c:v>
                </c:pt>
              </c:strCache>
            </c:strRef>
          </c:tx>
          <c:dLbls>
            <c:dLbl>
              <c:idx val="0"/>
              <c:layout>
                <c:manualLayout>
                  <c:x val="-4.6931843197019728E-2"/>
                  <c:y val="5.8491974217508527E-2"/>
                </c:manualLayout>
              </c:layout>
              <c:dLblPos val="r"/>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5.2666610222109438E-2"/>
                  <c:y val="6.7562269002089032E-2"/>
                </c:manualLayout>
              </c:layout>
              <c:dLblPos val="r"/>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5.5533993734654029E-2"/>
                  <c:y val="5.8491974217508527E-2"/>
                </c:manualLayout>
              </c:layout>
              <c:dLblPos val="r"/>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'2nd Interven-FuncTrain'!$A$2:$A$4</c:f>
              <c:strCache>
                <c:ptCount val="3"/>
                <c:pt idx="0">
                  <c:v>Spring 2012</c:v>
                </c:pt>
                <c:pt idx="1">
                  <c:v>Spring 2013</c:v>
                </c:pt>
                <c:pt idx="2">
                  <c:v>Spring 2014</c:v>
                </c:pt>
              </c:strCache>
            </c:strRef>
          </c:cat>
          <c:val>
            <c:numRef>
              <c:f>'2nd Interven-FuncTrain'!$B$2:$B$4</c:f>
              <c:numCache>
                <c:formatCode>0.00</c:formatCode>
                <c:ptCount val="3"/>
                <c:pt idx="0">
                  <c:v>6.583333333333333</c:v>
                </c:pt>
                <c:pt idx="1">
                  <c:v>6.416666666666667</c:v>
                </c:pt>
                <c:pt idx="2">
                  <c:v>6.541666666666667</c:v>
                </c:pt>
              </c:numCache>
            </c:numRef>
          </c:val>
          <c:smooth val="0"/>
        </c:ser>
        <c:ser>
          <c:idx val="1"/>
          <c:order val="1"/>
          <c:tx>
            <c:strRef>
              <c:f>'2nd Interven-FuncTrain'!$C$1</c:f>
              <c:strCache>
                <c:ptCount val="1"/>
                <c:pt idx="0">
                  <c:v>Avg Rating at Final</c:v>
                </c:pt>
              </c:strCache>
            </c:strRef>
          </c:tx>
          <c:dLbls>
            <c:spPr>
              <a:noFill/>
              <a:ln>
                <a:noFill/>
              </a:ln>
              <a:effectLst/>
            </c:sp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'2nd Interven-FuncTrain'!$A$2:$A$4</c:f>
              <c:strCache>
                <c:ptCount val="3"/>
                <c:pt idx="0">
                  <c:v>Spring 2012</c:v>
                </c:pt>
                <c:pt idx="1">
                  <c:v>Spring 2013</c:v>
                </c:pt>
                <c:pt idx="2">
                  <c:v>Spring 2014</c:v>
                </c:pt>
              </c:strCache>
            </c:strRef>
          </c:cat>
          <c:val>
            <c:numRef>
              <c:f>'2nd Interven-FuncTrain'!$C$2:$C$4</c:f>
              <c:numCache>
                <c:formatCode>0.00</c:formatCode>
                <c:ptCount val="3"/>
                <c:pt idx="0">
                  <c:v>7.916666666666667</c:v>
                </c:pt>
                <c:pt idx="1">
                  <c:v>7.833333333333333</c:v>
                </c:pt>
                <c:pt idx="2">
                  <c:v>7.76</c:v>
                </c:pt>
              </c:numCache>
            </c:numRef>
          </c:val>
          <c:smooth val="0"/>
        </c:ser>
        <c:dLbls>
          <c:dLblPos val="t"/>
          <c:showLegendKey val="0"/>
          <c:showVal val="1"/>
          <c:showCatName val="0"/>
          <c:showSerName val="0"/>
          <c:showPercent val="0"/>
          <c:showBubbleSize val="0"/>
        </c:dLbls>
        <c:marker val="1"/>
        <c:smooth val="0"/>
        <c:axId val="272688632"/>
        <c:axId val="272689024"/>
      </c:lineChart>
      <c:catAx>
        <c:axId val="272688632"/>
        <c:scaling>
          <c:orientation val="minMax"/>
        </c:scaling>
        <c:delete val="0"/>
        <c:axPos val="b"/>
        <c:numFmt formatCode="General" sourceLinked="0"/>
        <c:majorTickMark val="out"/>
        <c:minorTickMark val="none"/>
        <c:tickLblPos val="nextTo"/>
        <c:crossAx val="272689024"/>
        <c:crosses val="autoZero"/>
        <c:auto val="1"/>
        <c:lblAlgn val="ctr"/>
        <c:lblOffset val="100"/>
        <c:noMultiLvlLbl val="0"/>
      </c:catAx>
      <c:valAx>
        <c:axId val="272689024"/>
        <c:scaling>
          <c:orientation val="minMax"/>
          <c:max val="10"/>
          <c:min val="2"/>
        </c:scaling>
        <c:delete val="0"/>
        <c:axPos val="l"/>
        <c:majorGridlines/>
        <c:title>
          <c:tx>
            <c:rich>
              <a:bodyPr rot="-5400000" vert="horz"/>
              <a:lstStyle/>
              <a:p>
                <a:pPr>
                  <a:defRPr/>
                </a:pPr>
                <a:r>
                  <a:rPr lang="en-US" sz="1000"/>
                  <a:t>CPI Rating (0-10)</a:t>
                </a:r>
              </a:p>
            </c:rich>
          </c:tx>
          <c:layout/>
          <c:overlay val="0"/>
        </c:title>
        <c:numFmt formatCode="0.00" sourceLinked="1"/>
        <c:majorTickMark val="out"/>
        <c:minorTickMark val="none"/>
        <c:tickLblPos val="nextTo"/>
        <c:crossAx val="272688632"/>
        <c:crosses val="autoZero"/>
        <c:crossBetween val="between"/>
        <c:majorUnit val="2"/>
      </c:valAx>
      <c:spPr>
        <a:ln w="3175">
          <a:solidFill>
            <a:schemeClr val="accent1"/>
          </a:solidFill>
        </a:ln>
      </c:spPr>
    </c:plotArea>
    <c:legend>
      <c:legendPos val="b"/>
      <c:layout/>
      <c:overlay val="0"/>
    </c:legend>
    <c:plotVisOnly val="1"/>
    <c:dispBlanksAs val="gap"/>
    <c:showDLblsOverMax val="0"/>
  </c:chart>
  <c:externalData r:id="rId1">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title>
      <c:tx>
        <c:rich>
          <a:bodyPr/>
          <a:lstStyle/>
          <a:p>
            <a:pPr>
              <a:defRPr/>
            </a:pPr>
            <a:r>
              <a:rPr lang="en-US" sz="1100"/>
              <a:t>First</a:t>
            </a:r>
            <a:r>
              <a:rPr lang="en-US" sz="1100" baseline="0"/>
              <a:t> Clinical - Average Rating for Clinical Problem Solving</a:t>
            </a:r>
            <a:endParaRPr lang="en-US" sz="1100"/>
          </a:p>
        </c:rich>
      </c:tx>
      <c:layout/>
      <c:overlay val="0"/>
    </c:title>
    <c:autoTitleDeleted val="0"/>
    <c:plotArea>
      <c:layout>
        <c:manualLayout>
          <c:layoutTarget val="inner"/>
          <c:xMode val="edge"/>
          <c:yMode val="edge"/>
          <c:x val="0.14357930728387552"/>
          <c:y val="0.17160389247372962"/>
          <c:w val="0.75289113912952943"/>
          <c:h val="0.60672749841287887"/>
        </c:manualLayout>
      </c:layout>
      <c:lineChart>
        <c:grouping val="standard"/>
        <c:varyColors val="0"/>
        <c:ser>
          <c:idx val="0"/>
          <c:order val="0"/>
          <c:tx>
            <c:strRef>
              <c:f>'1st Clinical Problem Solving'!$B$1</c:f>
              <c:strCache>
                <c:ptCount val="1"/>
                <c:pt idx="0">
                  <c:v>Avg Rating at Mid-Term</c:v>
                </c:pt>
              </c:strCache>
            </c:strRef>
          </c:tx>
          <c:dLbls>
            <c:spPr>
              <a:noFill/>
              <a:ln>
                <a:noFill/>
              </a:ln>
              <a:effectLst/>
            </c:sp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'1st Clinical Problem Solving'!$A$2:$A$4</c:f>
              <c:strCache>
                <c:ptCount val="3"/>
                <c:pt idx="0">
                  <c:v>Fall 2012</c:v>
                </c:pt>
                <c:pt idx="1">
                  <c:v>Fall 2013</c:v>
                </c:pt>
                <c:pt idx="2">
                  <c:v>Fall 2014</c:v>
                </c:pt>
              </c:strCache>
            </c:strRef>
          </c:cat>
          <c:val>
            <c:numRef>
              <c:f>'1st Clinical Problem Solving'!$B$2:$B$4</c:f>
              <c:numCache>
                <c:formatCode>0.00</c:formatCode>
                <c:ptCount val="3"/>
                <c:pt idx="0">
                  <c:v>3.7272727272727271</c:v>
                </c:pt>
                <c:pt idx="1">
                  <c:v>4.1428571428571432</c:v>
                </c:pt>
                <c:pt idx="2">
                  <c:v>4.7297297297297298</c:v>
                </c:pt>
              </c:numCache>
            </c:numRef>
          </c:val>
          <c:smooth val="0"/>
        </c:ser>
        <c:ser>
          <c:idx val="1"/>
          <c:order val="1"/>
          <c:tx>
            <c:strRef>
              <c:f>'1st Clinical Problem Solving'!$C$1</c:f>
              <c:strCache>
                <c:ptCount val="1"/>
                <c:pt idx="0">
                  <c:v>Avg Rating at Final</c:v>
                </c:pt>
              </c:strCache>
            </c:strRef>
          </c:tx>
          <c:dLbls>
            <c:spPr>
              <a:noFill/>
              <a:ln>
                <a:noFill/>
              </a:ln>
              <a:effectLst/>
            </c:sp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'1st Clinical Problem Solving'!$A$2:$A$4</c:f>
              <c:strCache>
                <c:ptCount val="3"/>
                <c:pt idx="0">
                  <c:v>Fall 2012</c:v>
                </c:pt>
                <c:pt idx="1">
                  <c:v>Fall 2013</c:v>
                </c:pt>
                <c:pt idx="2">
                  <c:v>Fall 2014</c:v>
                </c:pt>
              </c:strCache>
            </c:strRef>
          </c:cat>
          <c:val>
            <c:numRef>
              <c:f>'1st Clinical Problem Solving'!$C$2:$C$4</c:f>
              <c:numCache>
                <c:formatCode>0.00</c:formatCode>
                <c:ptCount val="3"/>
                <c:pt idx="0">
                  <c:v>6.375</c:v>
                </c:pt>
                <c:pt idx="1">
                  <c:v>6.2142857142857144</c:v>
                </c:pt>
                <c:pt idx="2">
                  <c:v>6.6388888888888893</c:v>
                </c:pt>
              </c:numCache>
            </c:numRef>
          </c:val>
          <c:smooth val="0"/>
        </c:ser>
        <c:dLbls>
          <c:dLblPos val="t"/>
          <c:showLegendKey val="0"/>
          <c:showVal val="1"/>
          <c:showCatName val="0"/>
          <c:showSerName val="0"/>
          <c:showPercent val="0"/>
          <c:showBubbleSize val="0"/>
        </c:dLbls>
        <c:marker val="1"/>
        <c:smooth val="0"/>
        <c:axId val="272689808"/>
        <c:axId val="272690200"/>
      </c:lineChart>
      <c:catAx>
        <c:axId val="272689808"/>
        <c:scaling>
          <c:orientation val="minMax"/>
        </c:scaling>
        <c:delete val="0"/>
        <c:axPos val="b"/>
        <c:numFmt formatCode="General" sourceLinked="0"/>
        <c:majorTickMark val="out"/>
        <c:minorTickMark val="none"/>
        <c:tickLblPos val="nextTo"/>
        <c:crossAx val="272690200"/>
        <c:crosses val="autoZero"/>
        <c:auto val="1"/>
        <c:lblAlgn val="ctr"/>
        <c:lblOffset val="100"/>
        <c:noMultiLvlLbl val="0"/>
      </c:catAx>
      <c:valAx>
        <c:axId val="272690200"/>
        <c:scaling>
          <c:orientation val="minMax"/>
          <c:max val="10"/>
          <c:min val="2"/>
        </c:scaling>
        <c:delete val="0"/>
        <c:axPos val="l"/>
        <c:majorGridlines/>
        <c:title>
          <c:tx>
            <c:rich>
              <a:bodyPr rot="-5400000" vert="horz"/>
              <a:lstStyle/>
              <a:p>
                <a:pPr>
                  <a:defRPr/>
                </a:pPr>
                <a:r>
                  <a:rPr lang="en-US" sz="1000"/>
                  <a:t>CPI Rating (0-10)</a:t>
                </a:r>
              </a:p>
            </c:rich>
          </c:tx>
          <c:layout/>
          <c:overlay val="0"/>
        </c:title>
        <c:numFmt formatCode="0.00" sourceLinked="1"/>
        <c:majorTickMark val="out"/>
        <c:minorTickMark val="none"/>
        <c:tickLblPos val="nextTo"/>
        <c:crossAx val="272689808"/>
        <c:crosses val="autoZero"/>
        <c:crossBetween val="between"/>
        <c:majorUnit val="2"/>
      </c:valAx>
    </c:plotArea>
    <c:legend>
      <c:legendPos val="b"/>
      <c:layout/>
      <c:overlay val="0"/>
    </c:legend>
    <c:plotVisOnly val="1"/>
    <c:dispBlanksAs val="gap"/>
    <c:showDLblsOverMax val="0"/>
  </c:chart>
  <c:externalData r:id="rId1">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title>
      <c:tx>
        <c:rich>
          <a:bodyPr/>
          <a:lstStyle/>
          <a:p>
            <a:pPr>
              <a:defRPr/>
            </a:pPr>
            <a:r>
              <a:rPr lang="en-US" sz="1100"/>
              <a:t>Second</a:t>
            </a:r>
            <a:r>
              <a:rPr lang="en-US" sz="1100" baseline="0"/>
              <a:t> Clinical - Average Rating for Clinical Problem Solving</a:t>
            </a:r>
            <a:endParaRPr lang="en-US" sz="1100"/>
          </a:p>
        </c:rich>
      </c:tx>
      <c:layout/>
      <c:overlay val="0"/>
    </c:title>
    <c:autoTitleDeleted val="0"/>
    <c:plotArea>
      <c:layout/>
      <c:lineChart>
        <c:grouping val="standard"/>
        <c:varyColors val="0"/>
        <c:ser>
          <c:idx val="0"/>
          <c:order val="0"/>
          <c:tx>
            <c:strRef>
              <c:f>'2nd Clinical Problem Solving'!$B$1</c:f>
              <c:strCache>
                <c:ptCount val="1"/>
                <c:pt idx="0">
                  <c:v>Avg Rating at Mid-Term</c:v>
                </c:pt>
              </c:strCache>
            </c:strRef>
          </c:tx>
          <c:dLbls>
            <c:spPr>
              <a:noFill/>
              <a:ln>
                <a:noFill/>
              </a:ln>
              <a:effectLst/>
            </c:sp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'2nd Clinical Problem Solving'!$A$2:$A$4</c:f>
              <c:strCache>
                <c:ptCount val="3"/>
                <c:pt idx="0">
                  <c:v>Spring 2012</c:v>
                </c:pt>
                <c:pt idx="1">
                  <c:v>Spring 2013</c:v>
                </c:pt>
                <c:pt idx="2">
                  <c:v>Spring 2014</c:v>
                </c:pt>
              </c:strCache>
            </c:strRef>
          </c:cat>
          <c:val>
            <c:numRef>
              <c:f>'2nd Clinical Problem Solving'!$B$2:$B$4</c:f>
              <c:numCache>
                <c:formatCode>0.00</c:formatCode>
                <c:ptCount val="3"/>
                <c:pt idx="0">
                  <c:v>6.3076923076923075</c:v>
                </c:pt>
                <c:pt idx="1">
                  <c:v>6.0714285714285712</c:v>
                </c:pt>
                <c:pt idx="2">
                  <c:v>6.0740740740740744</c:v>
                </c:pt>
              </c:numCache>
            </c:numRef>
          </c:val>
          <c:smooth val="0"/>
        </c:ser>
        <c:ser>
          <c:idx val="1"/>
          <c:order val="1"/>
          <c:tx>
            <c:strRef>
              <c:f>'2nd Clinical Problem Solving'!$C$1</c:f>
              <c:strCache>
                <c:ptCount val="1"/>
                <c:pt idx="0">
                  <c:v>Avg Rating at Final</c:v>
                </c:pt>
              </c:strCache>
            </c:strRef>
          </c:tx>
          <c:dLbls>
            <c:spPr>
              <a:noFill/>
              <a:ln>
                <a:noFill/>
              </a:ln>
              <a:effectLst/>
            </c:sp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'2nd Clinical Problem Solving'!$A$2:$A$4</c:f>
              <c:strCache>
                <c:ptCount val="3"/>
                <c:pt idx="0">
                  <c:v>Spring 2012</c:v>
                </c:pt>
                <c:pt idx="1">
                  <c:v>Spring 2013</c:v>
                </c:pt>
                <c:pt idx="2">
                  <c:v>Spring 2014</c:v>
                </c:pt>
              </c:strCache>
            </c:strRef>
          </c:cat>
          <c:val>
            <c:numRef>
              <c:f>'2nd Clinical Problem Solving'!$C$2:$C$4</c:f>
              <c:numCache>
                <c:formatCode>0.00</c:formatCode>
                <c:ptCount val="3"/>
                <c:pt idx="0">
                  <c:v>7.8461538461538458</c:v>
                </c:pt>
                <c:pt idx="1">
                  <c:v>7.8518518518518521</c:v>
                </c:pt>
                <c:pt idx="2">
                  <c:v>7.72</c:v>
                </c:pt>
              </c:numCache>
            </c:numRef>
          </c:val>
          <c:smooth val="0"/>
        </c:ser>
        <c:dLbls>
          <c:dLblPos val="t"/>
          <c:showLegendKey val="0"/>
          <c:showVal val="1"/>
          <c:showCatName val="0"/>
          <c:showSerName val="0"/>
          <c:showPercent val="0"/>
          <c:showBubbleSize val="0"/>
        </c:dLbls>
        <c:marker val="1"/>
        <c:smooth val="0"/>
        <c:axId val="272690984"/>
        <c:axId val="272691376"/>
      </c:lineChart>
      <c:catAx>
        <c:axId val="272690984"/>
        <c:scaling>
          <c:orientation val="minMax"/>
        </c:scaling>
        <c:delete val="0"/>
        <c:axPos val="b"/>
        <c:numFmt formatCode="General" sourceLinked="0"/>
        <c:majorTickMark val="out"/>
        <c:minorTickMark val="none"/>
        <c:tickLblPos val="nextTo"/>
        <c:crossAx val="272691376"/>
        <c:crosses val="autoZero"/>
        <c:auto val="1"/>
        <c:lblAlgn val="ctr"/>
        <c:lblOffset val="100"/>
        <c:noMultiLvlLbl val="0"/>
      </c:catAx>
      <c:valAx>
        <c:axId val="272691376"/>
        <c:scaling>
          <c:orientation val="minMax"/>
          <c:max val="10"/>
          <c:min val="2"/>
        </c:scaling>
        <c:delete val="0"/>
        <c:axPos val="l"/>
        <c:majorGridlines/>
        <c:title>
          <c:tx>
            <c:rich>
              <a:bodyPr rot="-5400000" vert="horz"/>
              <a:lstStyle/>
              <a:p>
                <a:pPr>
                  <a:defRPr/>
                </a:pPr>
                <a:r>
                  <a:rPr lang="en-US" sz="1000"/>
                  <a:t>CPI Rating (0-10)</a:t>
                </a:r>
              </a:p>
            </c:rich>
          </c:tx>
          <c:layout/>
          <c:overlay val="0"/>
        </c:title>
        <c:numFmt formatCode="0.00" sourceLinked="1"/>
        <c:majorTickMark val="out"/>
        <c:minorTickMark val="none"/>
        <c:tickLblPos val="nextTo"/>
        <c:crossAx val="272690984"/>
        <c:crosses val="autoZero"/>
        <c:crossBetween val="between"/>
        <c:majorUnit val="2"/>
      </c:valAx>
    </c:plotArea>
    <c:legend>
      <c:legendPos val="b"/>
      <c:layout/>
      <c:overlay val="0"/>
    </c:legend>
    <c:plotVisOnly val="1"/>
    <c:dispBlanksAs val="gap"/>
    <c:showDLblsOverMax val="0"/>
  </c:chart>
  <c:externalData r:id="rId1">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title>
      <c:tx>
        <c:rich>
          <a:bodyPr/>
          <a:lstStyle/>
          <a:p>
            <a:pPr>
              <a:defRPr/>
            </a:pPr>
            <a:r>
              <a:rPr lang="en-US" sz="1100"/>
              <a:t>First</a:t>
            </a:r>
            <a:r>
              <a:rPr lang="en-US" sz="1100" baseline="0"/>
              <a:t> Clinical - Average Rating for Clinical Behavior</a:t>
            </a:r>
            <a:endParaRPr lang="en-US" sz="1100"/>
          </a:p>
        </c:rich>
      </c:tx>
      <c:layout/>
      <c:overlay val="0"/>
    </c:title>
    <c:autoTitleDeleted val="0"/>
    <c:plotArea>
      <c:layout/>
      <c:lineChart>
        <c:grouping val="standard"/>
        <c:varyColors val="0"/>
        <c:ser>
          <c:idx val="0"/>
          <c:order val="0"/>
          <c:tx>
            <c:strRef>
              <c:f>'1st Clinical Behavior'!$B$1</c:f>
              <c:strCache>
                <c:ptCount val="1"/>
                <c:pt idx="0">
                  <c:v>Avg Rating at Mid-Term</c:v>
                </c:pt>
              </c:strCache>
            </c:strRef>
          </c:tx>
          <c:dLbls>
            <c:dLbl>
              <c:idx val="0"/>
              <c:layout>
                <c:manualLayout>
                  <c:x val="-6.0746212693562555E-2"/>
                  <c:y val="6.6140924692105793E-2"/>
                </c:manualLayout>
              </c:layout>
              <c:dLblPos val="r"/>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4.9374499829312482E-2"/>
                  <c:y val="7.6397334948516055E-2"/>
                </c:manualLayout>
              </c:layout>
              <c:dLblPos val="r"/>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5.7903284477500011E-2"/>
                  <c:y val="7.6397334948516055E-2"/>
                </c:manualLayout>
              </c:layout>
              <c:dLblPos val="r"/>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'1st Clinical Behavior'!$A$2:$A$4</c:f>
              <c:strCache>
                <c:ptCount val="3"/>
                <c:pt idx="0">
                  <c:v>Fall 2012</c:v>
                </c:pt>
                <c:pt idx="1">
                  <c:v>Fall 2013</c:v>
                </c:pt>
                <c:pt idx="2">
                  <c:v>Fall 2014</c:v>
                </c:pt>
              </c:strCache>
            </c:strRef>
          </c:cat>
          <c:val>
            <c:numRef>
              <c:f>'1st Clinical Behavior'!$B$2:$B$4</c:f>
              <c:numCache>
                <c:formatCode>0.00</c:formatCode>
                <c:ptCount val="3"/>
                <c:pt idx="0">
                  <c:v>5.1818181818181817</c:v>
                </c:pt>
                <c:pt idx="1">
                  <c:v>5.6428571428571432</c:v>
                </c:pt>
                <c:pt idx="2">
                  <c:v>6.3243243243243246</c:v>
                </c:pt>
              </c:numCache>
            </c:numRef>
          </c:val>
          <c:smooth val="0"/>
        </c:ser>
        <c:ser>
          <c:idx val="1"/>
          <c:order val="1"/>
          <c:tx>
            <c:strRef>
              <c:f>'1st Clinical Behavior'!$C$1</c:f>
              <c:strCache>
                <c:ptCount val="1"/>
                <c:pt idx="0">
                  <c:v>Avg Rating at Final</c:v>
                </c:pt>
              </c:strCache>
            </c:strRef>
          </c:tx>
          <c:dLbls>
            <c:spPr>
              <a:noFill/>
              <a:ln>
                <a:noFill/>
              </a:ln>
              <a:effectLst/>
            </c:sp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'1st Clinical Behavior'!$A$2:$A$4</c:f>
              <c:strCache>
                <c:ptCount val="3"/>
                <c:pt idx="0">
                  <c:v>Fall 2012</c:v>
                </c:pt>
                <c:pt idx="1">
                  <c:v>Fall 2013</c:v>
                </c:pt>
                <c:pt idx="2">
                  <c:v>Fall 2014</c:v>
                </c:pt>
              </c:strCache>
            </c:strRef>
          </c:cat>
          <c:val>
            <c:numRef>
              <c:f>'1st Clinical Behavior'!$C$2:$C$4</c:f>
              <c:numCache>
                <c:formatCode>0.00</c:formatCode>
                <c:ptCount val="3"/>
                <c:pt idx="0">
                  <c:v>7.15625</c:v>
                </c:pt>
                <c:pt idx="1">
                  <c:v>7.1785714285714288</c:v>
                </c:pt>
                <c:pt idx="2">
                  <c:v>7.666666666666667</c:v>
                </c:pt>
              </c:numCache>
            </c:numRef>
          </c:val>
          <c:smooth val="0"/>
        </c:ser>
        <c:dLbls>
          <c:dLblPos val="t"/>
          <c:showLegendKey val="0"/>
          <c:showVal val="1"/>
          <c:showCatName val="0"/>
          <c:showSerName val="0"/>
          <c:showPercent val="0"/>
          <c:showBubbleSize val="0"/>
        </c:dLbls>
        <c:marker val="1"/>
        <c:smooth val="0"/>
        <c:axId val="272692160"/>
        <c:axId val="272692552"/>
      </c:lineChart>
      <c:catAx>
        <c:axId val="272692160"/>
        <c:scaling>
          <c:orientation val="minMax"/>
        </c:scaling>
        <c:delete val="0"/>
        <c:axPos val="b"/>
        <c:numFmt formatCode="General" sourceLinked="0"/>
        <c:majorTickMark val="out"/>
        <c:minorTickMark val="none"/>
        <c:tickLblPos val="nextTo"/>
        <c:crossAx val="272692552"/>
        <c:crosses val="autoZero"/>
        <c:auto val="1"/>
        <c:lblAlgn val="ctr"/>
        <c:lblOffset val="100"/>
        <c:noMultiLvlLbl val="0"/>
      </c:catAx>
      <c:valAx>
        <c:axId val="272692552"/>
        <c:scaling>
          <c:orientation val="minMax"/>
          <c:max val="10"/>
          <c:min val="2"/>
        </c:scaling>
        <c:delete val="0"/>
        <c:axPos val="l"/>
        <c:majorGridlines/>
        <c:title>
          <c:tx>
            <c:rich>
              <a:bodyPr rot="-5400000" vert="horz"/>
              <a:lstStyle/>
              <a:p>
                <a:pPr>
                  <a:defRPr/>
                </a:pPr>
                <a:r>
                  <a:rPr lang="en-US" sz="1000"/>
                  <a:t>CPI Rating (0-10)</a:t>
                </a:r>
              </a:p>
            </c:rich>
          </c:tx>
          <c:layout/>
          <c:overlay val="0"/>
        </c:title>
        <c:numFmt formatCode="0.00" sourceLinked="1"/>
        <c:majorTickMark val="out"/>
        <c:minorTickMark val="none"/>
        <c:tickLblPos val="nextTo"/>
        <c:crossAx val="272692160"/>
        <c:crosses val="autoZero"/>
        <c:crossBetween val="between"/>
        <c:majorUnit val="2"/>
      </c:valAx>
    </c:plotArea>
    <c:legend>
      <c:legendPos val="b"/>
      <c:layout/>
      <c:overlay val="0"/>
    </c:legend>
    <c:plotVisOnly val="1"/>
    <c:dispBlanksAs val="gap"/>
    <c:showDLblsOverMax val="0"/>
  </c:chart>
  <c:externalData r:id="rId1">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title>
      <c:tx>
        <c:rich>
          <a:bodyPr/>
          <a:lstStyle/>
          <a:p>
            <a:pPr>
              <a:defRPr/>
            </a:pPr>
            <a:r>
              <a:rPr lang="en-US" sz="1100"/>
              <a:t>Second Clinical - Average Rating for Clinical Behavior</a:t>
            </a:r>
          </a:p>
        </c:rich>
      </c:tx>
      <c:layout/>
      <c:overlay val="0"/>
    </c:title>
    <c:autoTitleDeleted val="0"/>
    <c:plotArea>
      <c:layout/>
      <c:lineChart>
        <c:grouping val="standard"/>
        <c:varyColors val="0"/>
        <c:ser>
          <c:idx val="0"/>
          <c:order val="0"/>
          <c:tx>
            <c:strRef>
              <c:f>'2nd Clinical Behavior'!$B$1</c:f>
              <c:strCache>
                <c:ptCount val="1"/>
                <c:pt idx="0">
                  <c:v>Avg Rating at Mid-Term</c:v>
                </c:pt>
              </c:strCache>
            </c:strRef>
          </c:tx>
          <c:dLbls>
            <c:dLbl>
              <c:idx val="0"/>
              <c:layout>
                <c:manualLayout>
                  <c:x val="-5.1666832785142315E-2"/>
                  <c:y val="7.0940382452193473E-2"/>
                </c:manualLayout>
              </c:layout>
              <c:dLblPos val="r"/>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5.1666832785142364E-2"/>
                  <c:y val="6.6178477690288715E-2"/>
                </c:manualLayout>
              </c:layout>
              <c:dLblPos val="r"/>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5.1666832785142468E-2"/>
                  <c:y val="7.5702287214098232E-2"/>
                </c:manualLayout>
              </c:layout>
              <c:dLblPos val="r"/>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'2nd Clinical Behavior'!$A$2:$A$4</c:f>
              <c:strCache>
                <c:ptCount val="3"/>
                <c:pt idx="0">
                  <c:v>Spring 2012</c:v>
                </c:pt>
                <c:pt idx="1">
                  <c:v>Spring 2013</c:v>
                </c:pt>
                <c:pt idx="2">
                  <c:v>Spring 2014</c:v>
                </c:pt>
              </c:strCache>
            </c:strRef>
          </c:cat>
          <c:val>
            <c:numRef>
              <c:f>'2nd Clinical Behavior'!$B$2:$B$4</c:f>
              <c:numCache>
                <c:formatCode>0.00</c:formatCode>
                <c:ptCount val="3"/>
                <c:pt idx="0">
                  <c:v>6.8461538461538458</c:v>
                </c:pt>
                <c:pt idx="1">
                  <c:v>6.8928571428571432</c:v>
                </c:pt>
                <c:pt idx="2">
                  <c:v>6.7037037037037033</c:v>
                </c:pt>
              </c:numCache>
            </c:numRef>
          </c:val>
          <c:smooth val="0"/>
        </c:ser>
        <c:ser>
          <c:idx val="1"/>
          <c:order val="1"/>
          <c:tx>
            <c:strRef>
              <c:f>'2nd Clinical Behavior'!$C$1</c:f>
              <c:strCache>
                <c:ptCount val="1"/>
                <c:pt idx="0">
                  <c:v>Avg Rating at Final</c:v>
                </c:pt>
              </c:strCache>
            </c:strRef>
          </c:tx>
          <c:dLbls>
            <c:spPr>
              <a:noFill/>
              <a:ln>
                <a:noFill/>
              </a:ln>
              <a:effectLst/>
            </c:sp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'2nd Clinical Behavior'!$A$2:$A$4</c:f>
              <c:strCache>
                <c:ptCount val="3"/>
                <c:pt idx="0">
                  <c:v>Spring 2012</c:v>
                </c:pt>
                <c:pt idx="1">
                  <c:v>Spring 2013</c:v>
                </c:pt>
                <c:pt idx="2">
                  <c:v>Spring 2014</c:v>
                </c:pt>
              </c:strCache>
            </c:strRef>
          </c:cat>
          <c:val>
            <c:numRef>
              <c:f>'2nd Clinical Behavior'!$C$2:$C$4</c:f>
              <c:numCache>
                <c:formatCode>0.00</c:formatCode>
                <c:ptCount val="3"/>
                <c:pt idx="0">
                  <c:v>8.1538461538461533</c:v>
                </c:pt>
                <c:pt idx="1">
                  <c:v>8.1851851851851851</c:v>
                </c:pt>
                <c:pt idx="2">
                  <c:v>8.0399999999999991</c:v>
                </c:pt>
              </c:numCache>
            </c:numRef>
          </c:val>
          <c:smooth val="0"/>
        </c:ser>
        <c:dLbls>
          <c:dLblPos val="t"/>
          <c:showLegendKey val="0"/>
          <c:showVal val="1"/>
          <c:showCatName val="0"/>
          <c:showSerName val="0"/>
          <c:showPercent val="0"/>
          <c:showBubbleSize val="0"/>
        </c:dLbls>
        <c:marker val="1"/>
        <c:smooth val="0"/>
        <c:axId val="272693336"/>
        <c:axId val="272693728"/>
      </c:lineChart>
      <c:catAx>
        <c:axId val="272693336"/>
        <c:scaling>
          <c:orientation val="minMax"/>
        </c:scaling>
        <c:delete val="0"/>
        <c:axPos val="b"/>
        <c:numFmt formatCode="General" sourceLinked="0"/>
        <c:majorTickMark val="out"/>
        <c:minorTickMark val="none"/>
        <c:tickLblPos val="nextTo"/>
        <c:crossAx val="272693728"/>
        <c:crosses val="autoZero"/>
        <c:auto val="1"/>
        <c:lblAlgn val="ctr"/>
        <c:lblOffset val="100"/>
        <c:noMultiLvlLbl val="0"/>
      </c:catAx>
      <c:valAx>
        <c:axId val="272693728"/>
        <c:scaling>
          <c:orientation val="minMax"/>
          <c:max val="10"/>
          <c:min val="2"/>
        </c:scaling>
        <c:delete val="0"/>
        <c:axPos val="l"/>
        <c:majorGridlines/>
        <c:title>
          <c:tx>
            <c:rich>
              <a:bodyPr rot="-5400000" vert="horz"/>
              <a:lstStyle/>
              <a:p>
                <a:pPr>
                  <a:defRPr/>
                </a:pPr>
                <a:r>
                  <a:rPr lang="en-US" sz="1000"/>
                  <a:t>CPI Rating (0-10)</a:t>
                </a:r>
              </a:p>
            </c:rich>
          </c:tx>
          <c:layout/>
          <c:overlay val="0"/>
        </c:title>
        <c:numFmt formatCode="0.00" sourceLinked="1"/>
        <c:majorTickMark val="out"/>
        <c:minorTickMark val="none"/>
        <c:tickLblPos val="nextTo"/>
        <c:crossAx val="272693336"/>
        <c:crosses val="autoZero"/>
        <c:crossBetween val="between"/>
        <c:majorUnit val="2"/>
      </c:valAx>
    </c:plotArea>
    <c:legend>
      <c:legendPos val="b"/>
      <c:layout/>
      <c:overlay val="0"/>
    </c:legend>
    <c:plotVisOnly val="1"/>
    <c:dispBlanksAs val="gap"/>
    <c:showDLblsOverMax val="0"/>
  </c:chart>
  <c:externalData r:id="rId1">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title>
      <c:tx>
        <c:rich>
          <a:bodyPr/>
          <a:lstStyle/>
          <a:p>
            <a:pPr>
              <a:defRPr/>
            </a:pPr>
            <a:r>
              <a:rPr lang="en-US" sz="1100"/>
              <a:t>First Clinical - Average</a:t>
            </a:r>
            <a:r>
              <a:rPr lang="en-US" sz="1100" baseline="0"/>
              <a:t> Rating for Accountability</a:t>
            </a:r>
            <a:endParaRPr lang="en-US" sz="1100"/>
          </a:p>
        </c:rich>
      </c:tx>
      <c:layout/>
      <c:overlay val="0"/>
    </c:title>
    <c:autoTitleDeleted val="0"/>
    <c:plotArea>
      <c:layout/>
      <c:lineChart>
        <c:grouping val="standard"/>
        <c:varyColors val="0"/>
        <c:ser>
          <c:idx val="0"/>
          <c:order val="0"/>
          <c:tx>
            <c:strRef>
              <c:f>'1st Accountability'!$B$1</c:f>
              <c:strCache>
                <c:ptCount val="1"/>
                <c:pt idx="0">
                  <c:v>Avg Rating at Mid-Term</c:v>
                </c:pt>
              </c:strCache>
            </c:strRef>
          </c:tx>
          <c:dLbls>
            <c:spPr>
              <a:noFill/>
              <a:ln>
                <a:noFill/>
              </a:ln>
              <a:effectLst/>
            </c:sp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'1st Accountability'!$A$2:$A$4</c:f>
              <c:strCache>
                <c:ptCount val="3"/>
                <c:pt idx="0">
                  <c:v>Fall 2012</c:v>
                </c:pt>
                <c:pt idx="1">
                  <c:v>Fall 2013</c:v>
                </c:pt>
                <c:pt idx="2">
                  <c:v>Fall 2014</c:v>
                </c:pt>
              </c:strCache>
            </c:strRef>
          </c:cat>
          <c:val>
            <c:numRef>
              <c:f>'1st Accountability'!$B$2:$B$4</c:f>
              <c:numCache>
                <c:formatCode>0.00</c:formatCode>
                <c:ptCount val="3"/>
                <c:pt idx="0">
                  <c:v>4.7272727272727275</c:v>
                </c:pt>
                <c:pt idx="1">
                  <c:v>5.5357142857142856</c:v>
                </c:pt>
                <c:pt idx="2">
                  <c:v>5.9729729729729728</c:v>
                </c:pt>
              </c:numCache>
            </c:numRef>
          </c:val>
          <c:smooth val="0"/>
        </c:ser>
        <c:ser>
          <c:idx val="1"/>
          <c:order val="1"/>
          <c:tx>
            <c:strRef>
              <c:f>'1st Accountability'!$C$1</c:f>
              <c:strCache>
                <c:ptCount val="1"/>
                <c:pt idx="0">
                  <c:v>Avg Rating at Final</c:v>
                </c:pt>
              </c:strCache>
            </c:strRef>
          </c:tx>
          <c:dLbls>
            <c:spPr>
              <a:noFill/>
              <a:ln>
                <a:noFill/>
              </a:ln>
              <a:effectLst/>
            </c:sp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'1st Accountability'!$A$2:$A$4</c:f>
              <c:strCache>
                <c:ptCount val="3"/>
                <c:pt idx="0">
                  <c:v>Fall 2012</c:v>
                </c:pt>
                <c:pt idx="1">
                  <c:v>Fall 2013</c:v>
                </c:pt>
                <c:pt idx="2">
                  <c:v>Fall 2014</c:v>
                </c:pt>
              </c:strCache>
            </c:strRef>
          </c:cat>
          <c:val>
            <c:numRef>
              <c:f>'1st Accountability'!$C$2:$C$4</c:f>
              <c:numCache>
                <c:formatCode>0.00</c:formatCode>
                <c:ptCount val="3"/>
                <c:pt idx="0">
                  <c:v>7.09375</c:v>
                </c:pt>
                <c:pt idx="1">
                  <c:v>7.2142857142857144</c:v>
                </c:pt>
                <c:pt idx="2">
                  <c:v>7.6111111111111107</c:v>
                </c:pt>
              </c:numCache>
            </c:numRef>
          </c:val>
          <c:smooth val="0"/>
        </c:ser>
        <c:dLbls>
          <c:dLblPos val="t"/>
          <c:showLegendKey val="0"/>
          <c:showVal val="1"/>
          <c:showCatName val="0"/>
          <c:showSerName val="0"/>
          <c:showPercent val="0"/>
          <c:showBubbleSize val="0"/>
        </c:dLbls>
        <c:marker val="1"/>
        <c:smooth val="0"/>
        <c:axId val="272694904"/>
        <c:axId val="272695296"/>
      </c:lineChart>
      <c:catAx>
        <c:axId val="272694904"/>
        <c:scaling>
          <c:orientation val="minMax"/>
        </c:scaling>
        <c:delete val="0"/>
        <c:axPos val="b"/>
        <c:numFmt formatCode="General" sourceLinked="0"/>
        <c:majorTickMark val="out"/>
        <c:minorTickMark val="none"/>
        <c:tickLblPos val="nextTo"/>
        <c:crossAx val="272695296"/>
        <c:crosses val="autoZero"/>
        <c:auto val="1"/>
        <c:lblAlgn val="ctr"/>
        <c:lblOffset val="100"/>
        <c:noMultiLvlLbl val="0"/>
      </c:catAx>
      <c:valAx>
        <c:axId val="272695296"/>
        <c:scaling>
          <c:orientation val="minMax"/>
          <c:max val="10"/>
          <c:min val="2"/>
        </c:scaling>
        <c:delete val="0"/>
        <c:axPos val="l"/>
        <c:majorGridlines/>
        <c:title>
          <c:tx>
            <c:rich>
              <a:bodyPr rot="-5400000" vert="horz"/>
              <a:lstStyle/>
              <a:p>
                <a:pPr>
                  <a:defRPr/>
                </a:pPr>
                <a:r>
                  <a:rPr lang="en-US" sz="1000"/>
                  <a:t>CPI Rating (0-10)</a:t>
                </a:r>
              </a:p>
            </c:rich>
          </c:tx>
          <c:layout/>
          <c:overlay val="0"/>
        </c:title>
        <c:numFmt formatCode="0.00" sourceLinked="1"/>
        <c:majorTickMark val="out"/>
        <c:minorTickMark val="none"/>
        <c:tickLblPos val="nextTo"/>
        <c:crossAx val="272694904"/>
        <c:crosses val="autoZero"/>
        <c:crossBetween val="between"/>
        <c:majorUnit val="2"/>
      </c:valAx>
    </c:plotArea>
    <c:legend>
      <c:legendPos val="b"/>
      <c:layout/>
      <c:overlay val="0"/>
    </c:legend>
    <c:plotVisOnly val="1"/>
    <c:dispBlanksAs val="gap"/>
    <c:showDLblsOverMax val="0"/>
  </c:chart>
  <c:externalData r:id="rId1">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title>
      <c:tx>
        <c:rich>
          <a:bodyPr/>
          <a:lstStyle/>
          <a:p>
            <a:pPr>
              <a:defRPr/>
            </a:pPr>
            <a:r>
              <a:rPr lang="en-US" sz="1100"/>
              <a:t>Second Clinical - Average</a:t>
            </a:r>
            <a:r>
              <a:rPr lang="en-US" sz="1100" baseline="0"/>
              <a:t> Rating for Accountability</a:t>
            </a:r>
            <a:endParaRPr lang="en-US" sz="1100"/>
          </a:p>
        </c:rich>
      </c:tx>
      <c:layout/>
      <c:overlay val="0"/>
    </c:title>
    <c:autoTitleDeleted val="0"/>
    <c:plotArea>
      <c:layout/>
      <c:lineChart>
        <c:grouping val="standard"/>
        <c:varyColors val="0"/>
        <c:ser>
          <c:idx val="0"/>
          <c:order val="0"/>
          <c:tx>
            <c:strRef>
              <c:f>'2nd Accountability'!$B$1</c:f>
              <c:strCache>
                <c:ptCount val="1"/>
                <c:pt idx="0">
                  <c:v>Avg Rating at Mid-Term</c:v>
                </c:pt>
              </c:strCache>
            </c:strRef>
          </c:tx>
          <c:dLbls>
            <c:dLbl>
              <c:idx val="0"/>
              <c:layout>
                <c:manualLayout>
                  <c:x val="-5.3464403906033485E-2"/>
                  <c:y val="6.1858418776789506E-2"/>
                </c:manualLayout>
              </c:layout>
              <c:dLblPos val="r"/>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5.0703879406378653E-2"/>
                  <c:y val="7.6246907985422691E-2"/>
                </c:manualLayout>
              </c:layout>
              <c:dLblPos val="r"/>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5.0703879406378452E-2"/>
                  <c:y val="6.6654581846333952E-2"/>
                </c:manualLayout>
              </c:layout>
              <c:dLblPos val="r"/>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'2nd Accountability'!$A$2:$A$4</c:f>
              <c:strCache>
                <c:ptCount val="3"/>
                <c:pt idx="0">
                  <c:v>Spring 2012</c:v>
                </c:pt>
                <c:pt idx="1">
                  <c:v>Spring 2013</c:v>
                </c:pt>
                <c:pt idx="2">
                  <c:v>Spring 2014</c:v>
                </c:pt>
              </c:strCache>
            </c:strRef>
          </c:cat>
          <c:val>
            <c:numRef>
              <c:f>'2nd Accountability'!$B$2:$B$4</c:f>
              <c:numCache>
                <c:formatCode>0.00</c:formatCode>
                <c:ptCount val="3"/>
                <c:pt idx="0">
                  <c:v>7</c:v>
                </c:pt>
                <c:pt idx="1">
                  <c:v>6.7142857142857144</c:v>
                </c:pt>
                <c:pt idx="2">
                  <c:v>6.7407407407407405</c:v>
                </c:pt>
              </c:numCache>
            </c:numRef>
          </c:val>
          <c:smooth val="0"/>
        </c:ser>
        <c:ser>
          <c:idx val="1"/>
          <c:order val="1"/>
          <c:tx>
            <c:strRef>
              <c:f>'2nd Accountability'!$C$1</c:f>
              <c:strCache>
                <c:ptCount val="1"/>
                <c:pt idx="0">
                  <c:v>Avg Rating at Final</c:v>
                </c:pt>
              </c:strCache>
            </c:strRef>
          </c:tx>
          <c:dLbls>
            <c:spPr>
              <a:noFill/>
              <a:ln>
                <a:noFill/>
              </a:ln>
              <a:effectLst/>
            </c:sp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'2nd Accountability'!$A$2:$A$4</c:f>
              <c:strCache>
                <c:ptCount val="3"/>
                <c:pt idx="0">
                  <c:v>Spring 2012</c:v>
                </c:pt>
                <c:pt idx="1">
                  <c:v>Spring 2013</c:v>
                </c:pt>
                <c:pt idx="2">
                  <c:v>Spring 2014</c:v>
                </c:pt>
              </c:strCache>
            </c:strRef>
          </c:cat>
          <c:val>
            <c:numRef>
              <c:f>'2nd Accountability'!$C$2:$C$4</c:f>
              <c:numCache>
                <c:formatCode>0.00</c:formatCode>
                <c:ptCount val="3"/>
                <c:pt idx="0">
                  <c:v>8</c:v>
                </c:pt>
                <c:pt idx="1">
                  <c:v>8.2592592592592595</c:v>
                </c:pt>
                <c:pt idx="2">
                  <c:v>7.8</c:v>
                </c:pt>
              </c:numCache>
            </c:numRef>
          </c:val>
          <c:smooth val="0"/>
        </c:ser>
        <c:dLbls>
          <c:dLblPos val="t"/>
          <c:showLegendKey val="0"/>
          <c:showVal val="1"/>
          <c:showCatName val="0"/>
          <c:showSerName val="0"/>
          <c:showPercent val="0"/>
          <c:showBubbleSize val="0"/>
        </c:dLbls>
        <c:marker val="1"/>
        <c:smooth val="0"/>
        <c:axId val="274034904"/>
        <c:axId val="274035296"/>
      </c:lineChart>
      <c:catAx>
        <c:axId val="274034904"/>
        <c:scaling>
          <c:orientation val="minMax"/>
        </c:scaling>
        <c:delete val="0"/>
        <c:axPos val="b"/>
        <c:numFmt formatCode="General" sourceLinked="0"/>
        <c:majorTickMark val="out"/>
        <c:minorTickMark val="none"/>
        <c:tickLblPos val="nextTo"/>
        <c:crossAx val="274035296"/>
        <c:crosses val="autoZero"/>
        <c:auto val="1"/>
        <c:lblAlgn val="ctr"/>
        <c:lblOffset val="100"/>
        <c:noMultiLvlLbl val="0"/>
      </c:catAx>
      <c:valAx>
        <c:axId val="274035296"/>
        <c:scaling>
          <c:orientation val="minMax"/>
          <c:max val="10"/>
          <c:min val="2"/>
        </c:scaling>
        <c:delete val="0"/>
        <c:axPos val="l"/>
        <c:majorGridlines/>
        <c:title>
          <c:tx>
            <c:rich>
              <a:bodyPr rot="-5400000" vert="horz"/>
              <a:lstStyle/>
              <a:p>
                <a:pPr>
                  <a:defRPr/>
                </a:pPr>
                <a:r>
                  <a:rPr lang="en-US" sz="1000"/>
                  <a:t>CPI Rating (0-10)</a:t>
                </a:r>
              </a:p>
            </c:rich>
          </c:tx>
          <c:layout/>
          <c:overlay val="0"/>
        </c:title>
        <c:numFmt formatCode="0.00" sourceLinked="1"/>
        <c:majorTickMark val="out"/>
        <c:minorTickMark val="none"/>
        <c:tickLblPos val="nextTo"/>
        <c:crossAx val="274034904"/>
        <c:crosses val="autoZero"/>
        <c:crossBetween val="between"/>
        <c:majorUnit val="2"/>
      </c:valAx>
    </c:plotArea>
    <c:legend>
      <c:legendPos val="b"/>
      <c:layout/>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First Semester</a:t>
            </a:r>
            <a:r>
              <a:rPr lang="en-US" baseline="0"/>
              <a:t> Attrition</a:t>
            </a:r>
            <a:endParaRPr lang="en-US"/>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stacked"/>
        <c:varyColors val="0"/>
        <c:ser>
          <c:idx val="0"/>
          <c:order val="0"/>
          <c:tx>
            <c:strRef>
              <c:f>'1st Term Attrition'!$C$1</c:f>
              <c:strCache>
                <c:ptCount val="1"/>
                <c:pt idx="0">
                  <c:v>Successful</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multiLvlStrRef>
              <c:f>'1st Term Attrition'!$A$2:$B$7</c:f>
              <c:multiLvlStrCache>
                <c:ptCount val="6"/>
                <c:lvl>
                  <c:pt idx="0">
                    <c:v>Dayton</c:v>
                  </c:pt>
                  <c:pt idx="1">
                    <c:v>CVCC</c:v>
                  </c:pt>
                  <c:pt idx="2">
                    <c:v>Dayton</c:v>
                  </c:pt>
                  <c:pt idx="3">
                    <c:v>CVCC</c:v>
                  </c:pt>
                  <c:pt idx="4">
                    <c:v>Dayton</c:v>
                  </c:pt>
                  <c:pt idx="5">
                    <c:v>CVCC</c:v>
                  </c:pt>
                </c:lvl>
                <c:lvl>
                  <c:pt idx="0">
                    <c:v>Class of 2012-14</c:v>
                  </c:pt>
                  <c:pt idx="2">
                    <c:v>Class of 2013-15</c:v>
                  </c:pt>
                  <c:pt idx="4">
                    <c:v>Class of 2014-16</c:v>
                  </c:pt>
                </c:lvl>
              </c:multiLvlStrCache>
            </c:multiLvlStrRef>
          </c:cat>
          <c:val>
            <c:numRef>
              <c:f>'1st Term Attrition'!$C$2:$C$7</c:f>
              <c:numCache>
                <c:formatCode>General</c:formatCode>
                <c:ptCount val="6"/>
                <c:pt idx="0">
                  <c:v>21</c:v>
                </c:pt>
                <c:pt idx="1">
                  <c:v>17</c:v>
                </c:pt>
                <c:pt idx="2">
                  <c:v>26</c:v>
                </c:pt>
                <c:pt idx="3">
                  <c:v>22</c:v>
                </c:pt>
                <c:pt idx="4">
                  <c:v>25</c:v>
                </c:pt>
                <c:pt idx="5">
                  <c:v>21</c:v>
                </c:pt>
              </c:numCache>
            </c:numRef>
          </c:val>
        </c:ser>
        <c:ser>
          <c:idx val="1"/>
          <c:order val="1"/>
          <c:tx>
            <c:strRef>
              <c:f>'1st Term Attrition'!$D$1</c:f>
              <c:strCache>
                <c:ptCount val="1"/>
                <c:pt idx="0">
                  <c:v>Withdrew-Personal</c:v>
                </c:pt>
              </c:strCache>
            </c:strRef>
          </c:tx>
          <c:spPr>
            <a:solidFill>
              <a:schemeClr val="accent2"/>
            </a:solidFill>
            <a:ln>
              <a:noFill/>
            </a:ln>
            <a:effectLst/>
          </c:spPr>
          <c:invertIfNegative val="0"/>
          <c:dLbls>
            <c:dLbl>
              <c:idx val="3"/>
              <c:delete val="1"/>
              <c:extLst>
                <c:ext xmlns:c15="http://schemas.microsoft.com/office/drawing/2012/chart" uri="{CE6537A1-D6FC-4f65-9D91-7224C49458BB}"/>
              </c:extLst>
            </c:dLbl>
            <c:dLbl>
              <c:idx val="5"/>
              <c:delete val="1"/>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multiLvlStrRef>
              <c:f>'1st Term Attrition'!$A$2:$B$7</c:f>
              <c:multiLvlStrCache>
                <c:ptCount val="6"/>
                <c:lvl>
                  <c:pt idx="0">
                    <c:v>Dayton</c:v>
                  </c:pt>
                  <c:pt idx="1">
                    <c:v>CVCC</c:v>
                  </c:pt>
                  <c:pt idx="2">
                    <c:v>Dayton</c:v>
                  </c:pt>
                  <c:pt idx="3">
                    <c:v>CVCC</c:v>
                  </c:pt>
                  <c:pt idx="4">
                    <c:v>Dayton</c:v>
                  </c:pt>
                  <c:pt idx="5">
                    <c:v>CVCC</c:v>
                  </c:pt>
                </c:lvl>
                <c:lvl>
                  <c:pt idx="0">
                    <c:v>Class of 2012-14</c:v>
                  </c:pt>
                  <c:pt idx="2">
                    <c:v>Class of 2013-15</c:v>
                  </c:pt>
                  <c:pt idx="4">
                    <c:v>Class of 2014-16</c:v>
                  </c:pt>
                </c:lvl>
              </c:multiLvlStrCache>
            </c:multiLvlStrRef>
          </c:cat>
          <c:val>
            <c:numRef>
              <c:f>'1st Term Attrition'!$D$2:$D$7</c:f>
              <c:numCache>
                <c:formatCode>General</c:formatCode>
                <c:ptCount val="6"/>
                <c:pt idx="0">
                  <c:v>4</c:v>
                </c:pt>
                <c:pt idx="1">
                  <c:v>3</c:v>
                </c:pt>
                <c:pt idx="2">
                  <c:v>2</c:v>
                </c:pt>
                <c:pt idx="3">
                  <c:v>0</c:v>
                </c:pt>
                <c:pt idx="4">
                  <c:v>3</c:v>
                </c:pt>
                <c:pt idx="5">
                  <c:v>0</c:v>
                </c:pt>
              </c:numCache>
            </c:numRef>
          </c:val>
        </c:ser>
        <c:ser>
          <c:idx val="2"/>
          <c:order val="2"/>
          <c:tx>
            <c:strRef>
              <c:f>'1st Term Attrition'!$E$1</c:f>
              <c:strCache>
                <c:ptCount val="1"/>
                <c:pt idx="0">
                  <c:v>Academic Failure</c:v>
                </c:pt>
              </c:strCache>
            </c:strRef>
          </c:tx>
          <c:spPr>
            <a:solidFill>
              <a:schemeClr val="accent3"/>
            </a:solidFill>
            <a:ln>
              <a:noFill/>
            </a:ln>
            <a:effectLst/>
          </c:spPr>
          <c:invertIfNegative val="0"/>
          <c:dLbls>
            <c:dLbl>
              <c:idx val="2"/>
              <c:delete val="1"/>
              <c:extLst>
                <c:ext xmlns:c15="http://schemas.microsoft.com/office/drawing/2012/chart" uri="{CE6537A1-D6FC-4f65-9D91-7224C49458BB}"/>
              </c:extLst>
            </c:dLbl>
            <c:dLbl>
              <c:idx val="3"/>
              <c:delete val="1"/>
              <c:extLst>
                <c:ext xmlns:c15="http://schemas.microsoft.com/office/drawing/2012/chart" uri="{CE6537A1-D6FC-4f65-9D91-7224C49458BB}"/>
              </c:extLst>
            </c:dLbl>
            <c:dLbl>
              <c:idx val="4"/>
              <c:delete val="1"/>
              <c:extLst>
                <c:ext xmlns:c15="http://schemas.microsoft.com/office/drawing/2012/chart" uri="{CE6537A1-D6FC-4f65-9D91-7224C49458BB}"/>
              </c:extLst>
            </c:dLbl>
            <c:dLbl>
              <c:idx val="5"/>
              <c:delete val="1"/>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multiLvlStrRef>
              <c:f>'1st Term Attrition'!$A$2:$B$7</c:f>
              <c:multiLvlStrCache>
                <c:ptCount val="6"/>
                <c:lvl>
                  <c:pt idx="0">
                    <c:v>Dayton</c:v>
                  </c:pt>
                  <c:pt idx="1">
                    <c:v>CVCC</c:v>
                  </c:pt>
                  <c:pt idx="2">
                    <c:v>Dayton</c:v>
                  </c:pt>
                  <c:pt idx="3">
                    <c:v>CVCC</c:v>
                  </c:pt>
                  <c:pt idx="4">
                    <c:v>Dayton</c:v>
                  </c:pt>
                  <c:pt idx="5">
                    <c:v>CVCC</c:v>
                  </c:pt>
                </c:lvl>
                <c:lvl>
                  <c:pt idx="0">
                    <c:v>Class of 2012-14</c:v>
                  </c:pt>
                  <c:pt idx="2">
                    <c:v>Class of 2013-15</c:v>
                  </c:pt>
                  <c:pt idx="4">
                    <c:v>Class of 2014-16</c:v>
                  </c:pt>
                </c:lvl>
              </c:multiLvlStrCache>
            </c:multiLvlStrRef>
          </c:cat>
          <c:val>
            <c:numRef>
              <c:f>'1st Term Attrition'!$E$2:$E$7</c:f>
              <c:numCache>
                <c:formatCode>General</c:formatCode>
                <c:ptCount val="6"/>
                <c:pt idx="0">
                  <c:v>4</c:v>
                </c:pt>
                <c:pt idx="1">
                  <c:v>2</c:v>
                </c:pt>
                <c:pt idx="2">
                  <c:v>0</c:v>
                </c:pt>
                <c:pt idx="3">
                  <c:v>0</c:v>
                </c:pt>
                <c:pt idx="4">
                  <c:v>0</c:v>
                </c:pt>
                <c:pt idx="5">
                  <c:v>0</c:v>
                </c:pt>
              </c:numCache>
            </c:numRef>
          </c:val>
        </c:ser>
        <c:dLbls>
          <c:dLblPos val="ctr"/>
          <c:showLegendKey val="0"/>
          <c:showVal val="1"/>
          <c:showCatName val="0"/>
          <c:showSerName val="0"/>
          <c:showPercent val="0"/>
          <c:showBubbleSize val="0"/>
        </c:dLbls>
        <c:gapWidth val="150"/>
        <c:overlap val="100"/>
        <c:axId val="262917640"/>
        <c:axId val="262918032"/>
      </c:barChart>
      <c:catAx>
        <c:axId val="2629176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62918032"/>
        <c:crosses val="autoZero"/>
        <c:auto val="1"/>
        <c:lblAlgn val="ctr"/>
        <c:lblOffset val="100"/>
        <c:noMultiLvlLbl val="0"/>
      </c:catAx>
      <c:valAx>
        <c:axId val="262918032"/>
        <c:scaling>
          <c:orientation val="minMax"/>
          <c:max val="30"/>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 of Students</a:t>
                </a:r>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62917640"/>
        <c:crosses val="autoZero"/>
        <c:crossBetween val="between"/>
        <c:majorUnit val="5"/>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title>
      <c:tx>
        <c:rich>
          <a:bodyPr/>
          <a:lstStyle/>
          <a:p>
            <a:pPr>
              <a:defRPr/>
            </a:pPr>
            <a:r>
              <a:rPr lang="en-US" sz="1100"/>
              <a:t>First Clinical - Average Rating for Resource Management</a:t>
            </a:r>
          </a:p>
        </c:rich>
      </c:tx>
      <c:layout/>
      <c:overlay val="0"/>
    </c:title>
    <c:autoTitleDeleted val="0"/>
    <c:plotArea>
      <c:layout/>
      <c:lineChart>
        <c:grouping val="standard"/>
        <c:varyColors val="0"/>
        <c:ser>
          <c:idx val="0"/>
          <c:order val="0"/>
          <c:tx>
            <c:strRef>
              <c:f>'1st Resource Management'!$B$1</c:f>
              <c:strCache>
                <c:ptCount val="1"/>
                <c:pt idx="0">
                  <c:v>Avg Rating at Mid-Term</c:v>
                </c:pt>
              </c:strCache>
            </c:strRef>
          </c:tx>
          <c:dLbls>
            <c:spPr>
              <a:noFill/>
              <a:ln>
                <a:noFill/>
              </a:ln>
              <a:effectLst/>
            </c:sp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'1st Resource Management'!$A$2:$A$4</c:f>
              <c:strCache>
                <c:ptCount val="3"/>
                <c:pt idx="0">
                  <c:v>Fall 2012</c:v>
                </c:pt>
                <c:pt idx="1">
                  <c:v>Fall 2013</c:v>
                </c:pt>
                <c:pt idx="2">
                  <c:v>Fall 2014</c:v>
                </c:pt>
              </c:strCache>
            </c:strRef>
          </c:cat>
          <c:val>
            <c:numRef>
              <c:f>'1st Resource Management'!$B$2:$B$4</c:f>
              <c:numCache>
                <c:formatCode>0.00</c:formatCode>
                <c:ptCount val="3"/>
                <c:pt idx="0">
                  <c:v>4.0303030303030303</c:v>
                </c:pt>
                <c:pt idx="1">
                  <c:v>4.4642857142857144</c:v>
                </c:pt>
                <c:pt idx="2">
                  <c:v>5.2702702702702702</c:v>
                </c:pt>
              </c:numCache>
            </c:numRef>
          </c:val>
          <c:smooth val="0"/>
        </c:ser>
        <c:ser>
          <c:idx val="1"/>
          <c:order val="1"/>
          <c:tx>
            <c:strRef>
              <c:f>'1st Resource Management'!$C$1</c:f>
              <c:strCache>
                <c:ptCount val="1"/>
                <c:pt idx="0">
                  <c:v>Avg Rating at Final</c:v>
                </c:pt>
              </c:strCache>
            </c:strRef>
          </c:tx>
          <c:dLbls>
            <c:spPr>
              <a:noFill/>
              <a:ln>
                <a:noFill/>
              </a:ln>
              <a:effectLst/>
            </c:sp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'1st Resource Management'!$A$2:$A$4</c:f>
              <c:strCache>
                <c:ptCount val="3"/>
                <c:pt idx="0">
                  <c:v>Fall 2012</c:v>
                </c:pt>
                <c:pt idx="1">
                  <c:v>Fall 2013</c:v>
                </c:pt>
                <c:pt idx="2">
                  <c:v>Fall 2014</c:v>
                </c:pt>
              </c:strCache>
            </c:strRef>
          </c:cat>
          <c:val>
            <c:numRef>
              <c:f>'1st Resource Management'!$C$2:$C$4</c:f>
              <c:numCache>
                <c:formatCode>0.00</c:formatCode>
                <c:ptCount val="3"/>
                <c:pt idx="0">
                  <c:v>6.3125</c:v>
                </c:pt>
                <c:pt idx="1">
                  <c:v>6.5357142857142856</c:v>
                </c:pt>
                <c:pt idx="2">
                  <c:v>6.8611111111111107</c:v>
                </c:pt>
              </c:numCache>
            </c:numRef>
          </c:val>
          <c:smooth val="0"/>
        </c:ser>
        <c:dLbls>
          <c:dLblPos val="t"/>
          <c:showLegendKey val="0"/>
          <c:showVal val="1"/>
          <c:showCatName val="0"/>
          <c:showSerName val="0"/>
          <c:showPercent val="0"/>
          <c:showBubbleSize val="0"/>
        </c:dLbls>
        <c:marker val="1"/>
        <c:smooth val="0"/>
        <c:axId val="274036080"/>
        <c:axId val="274036472"/>
      </c:lineChart>
      <c:catAx>
        <c:axId val="274036080"/>
        <c:scaling>
          <c:orientation val="minMax"/>
        </c:scaling>
        <c:delete val="0"/>
        <c:axPos val="b"/>
        <c:numFmt formatCode="General" sourceLinked="0"/>
        <c:majorTickMark val="out"/>
        <c:minorTickMark val="none"/>
        <c:tickLblPos val="nextTo"/>
        <c:crossAx val="274036472"/>
        <c:crosses val="autoZero"/>
        <c:auto val="1"/>
        <c:lblAlgn val="ctr"/>
        <c:lblOffset val="100"/>
        <c:noMultiLvlLbl val="0"/>
      </c:catAx>
      <c:valAx>
        <c:axId val="274036472"/>
        <c:scaling>
          <c:orientation val="minMax"/>
          <c:max val="10"/>
          <c:min val="2"/>
        </c:scaling>
        <c:delete val="0"/>
        <c:axPos val="l"/>
        <c:majorGridlines/>
        <c:title>
          <c:tx>
            <c:rich>
              <a:bodyPr rot="-5400000" vert="horz"/>
              <a:lstStyle/>
              <a:p>
                <a:pPr>
                  <a:defRPr/>
                </a:pPr>
                <a:r>
                  <a:rPr lang="en-US" sz="1000"/>
                  <a:t>CPI Rating (0-10)</a:t>
                </a:r>
              </a:p>
            </c:rich>
          </c:tx>
          <c:layout/>
          <c:overlay val="0"/>
        </c:title>
        <c:numFmt formatCode="0.00" sourceLinked="1"/>
        <c:majorTickMark val="out"/>
        <c:minorTickMark val="none"/>
        <c:tickLblPos val="nextTo"/>
        <c:crossAx val="274036080"/>
        <c:crosses val="autoZero"/>
        <c:crossBetween val="between"/>
        <c:majorUnit val="2"/>
      </c:valAx>
    </c:plotArea>
    <c:legend>
      <c:legendPos val="b"/>
      <c:layout/>
      <c:overlay val="0"/>
    </c:legend>
    <c:plotVisOnly val="1"/>
    <c:dispBlanksAs val="gap"/>
    <c:showDLblsOverMax val="0"/>
  </c:chart>
  <c:externalData r:id="rId1">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title>
      <c:tx>
        <c:rich>
          <a:bodyPr/>
          <a:lstStyle/>
          <a:p>
            <a:pPr>
              <a:defRPr/>
            </a:pPr>
            <a:r>
              <a:rPr lang="en-US" sz="1100"/>
              <a:t>Second Clinical - Average Rating for Resource Management</a:t>
            </a:r>
          </a:p>
        </c:rich>
      </c:tx>
      <c:layout/>
      <c:overlay val="0"/>
    </c:title>
    <c:autoTitleDeleted val="0"/>
    <c:plotArea>
      <c:layout/>
      <c:lineChart>
        <c:grouping val="standard"/>
        <c:varyColors val="0"/>
        <c:ser>
          <c:idx val="0"/>
          <c:order val="0"/>
          <c:tx>
            <c:strRef>
              <c:f>'2nd Resource Management'!$B$1</c:f>
              <c:strCache>
                <c:ptCount val="1"/>
                <c:pt idx="0">
                  <c:v>Avg Rating at Mid-Term</c:v>
                </c:pt>
              </c:strCache>
            </c:strRef>
          </c:tx>
          <c:dLbls>
            <c:spPr>
              <a:noFill/>
              <a:ln>
                <a:noFill/>
              </a:ln>
              <a:effectLst/>
            </c:sp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'2nd Resource Management'!$A$2:$A$4</c:f>
              <c:strCache>
                <c:ptCount val="3"/>
                <c:pt idx="0">
                  <c:v>Spring 2012</c:v>
                </c:pt>
                <c:pt idx="1">
                  <c:v>Spring 2013</c:v>
                </c:pt>
                <c:pt idx="2">
                  <c:v>Spring 2014</c:v>
                </c:pt>
              </c:strCache>
            </c:strRef>
          </c:cat>
          <c:val>
            <c:numRef>
              <c:f>'2nd Resource Management'!$B$2:$B$4</c:f>
              <c:numCache>
                <c:formatCode>0.00</c:formatCode>
                <c:ptCount val="3"/>
                <c:pt idx="0">
                  <c:v>6.615384615384615</c:v>
                </c:pt>
                <c:pt idx="1">
                  <c:v>6.0370370370370372</c:v>
                </c:pt>
                <c:pt idx="2">
                  <c:v>6.2592592592592595</c:v>
                </c:pt>
              </c:numCache>
            </c:numRef>
          </c:val>
          <c:smooth val="0"/>
        </c:ser>
        <c:ser>
          <c:idx val="1"/>
          <c:order val="1"/>
          <c:tx>
            <c:strRef>
              <c:f>'2nd Resource Management'!$C$1</c:f>
              <c:strCache>
                <c:ptCount val="1"/>
                <c:pt idx="0">
                  <c:v>Avg Rating at Final</c:v>
                </c:pt>
              </c:strCache>
            </c:strRef>
          </c:tx>
          <c:dLbls>
            <c:spPr>
              <a:noFill/>
              <a:ln>
                <a:noFill/>
              </a:ln>
              <a:effectLst/>
            </c:sp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'2nd Resource Management'!$A$2:$A$4</c:f>
              <c:strCache>
                <c:ptCount val="3"/>
                <c:pt idx="0">
                  <c:v>Spring 2012</c:v>
                </c:pt>
                <c:pt idx="1">
                  <c:v>Spring 2013</c:v>
                </c:pt>
                <c:pt idx="2">
                  <c:v>Spring 2014</c:v>
                </c:pt>
              </c:strCache>
            </c:strRef>
          </c:cat>
          <c:val>
            <c:numRef>
              <c:f>'2nd Resource Management'!$C$2:$C$4</c:f>
              <c:numCache>
                <c:formatCode>0.00</c:formatCode>
                <c:ptCount val="3"/>
                <c:pt idx="0">
                  <c:v>8</c:v>
                </c:pt>
                <c:pt idx="1">
                  <c:v>7.884615384615385</c:v>
                </c:pt>
                <c:pt idx="2">
                  <c:v>7.92</c:v>
                </c:pt>
              </c:numCache>
            </c:numRef>
          </c:val>
          <c:smooth val="0"/>
        </c:ser>
        <c:dLbls>
          <c:dLblPos val="t"/>
          <c:showLegendKey val="0"/>
          <c:showVal val="1"/>
          <c:showCatName val="0"/>
          <c:showSerName val="0"/>
          <c:showPercent val="0"/>
          <c:showBubbleSize val="0"/>
        </c:dLbls>
        <c:marker val="1"/>
        <c:smooth val="0"/>
        <c:axId val="274037256"/>
        <c:axId val="274037648"/>
      </c:lineChart>
      <c:catAx>
        <c:axId val="274037256"/>
        <c:scaling>
          <c:orientation val="minMax"/>
        </c:scaling>
        <c:delete val="0"/>
        <c:axPos val="b"/>
        <c:numFmt formatCode="General" sourceLinked="0"/>
        <c:majorTickMark val="out"/>
        <c:minorTickMark val="none"/>
        <c:tickLblPos val="nextTo"/>
        <c:crossAx val="274037648"/>
        <c:crosses val="autoZero"/>
        <c:auto val="1"/>
        <c:lblAlgn val="ctr"/>
        <c:lblOffset val="100"/>
        <c:noMultiLvlLbl val="0"/>
      </c:catAx>
      <c:valAx>
        <c:axId val="274037648"/>
        <c:scaling>
          <c:orientation val="minMax"/>
          <c:max val="10"/>
          <c:min val="2"/>
        </c:scaling>
        <c:delete val="0"/>
        <c:axPos val="l"/>
        <c:majorGridlines/>
        <c:title>
          <c:tx>
            <c:rich>
              <a:bodyPr rot="-5400000" vert="horz"/>
              <a:lstStyle/>
              <a:p>
                <a:pPr>
                  <a:defRPr/>
                </a:pPr>
                <a:r>
                  <a:rPr lang="en-US" sz="1000"/>
                  <a:t>CPI Rating</a:t>
                </a:r>
                <a:r>
                  <a:rPr lang="en-US" sz="1000" baseline="0"/>
                  <a:t> (0-10)</a:t>
                </a:r>
                <a:endParaRPr lang="en-US" sz="1000"/>
              </a:p>
            </c:rich>
          </c:tx>
          <c:layout/>
          <c:overlay val="0"/>
        </c:title>
        <c:numFmt formatCode="0.00" sourceLinked="1"/>
        <c:majorTickMark val="out"/>
        <c:minorTickMark val="none"/>
        <c:tickLblPos val="nextTo"/>
        <c:crossAx val="274037256"/>
        <c:crosses val="autoZero"/>
        <c:crossBetween val="between"/>
        <c:majorUnit val="2"/>
      </c:valAx>
    </c:plotArea>
    <c:legend>
      <c:legendPos val="b"/>
      <c:layout/>
      <c:overlay val="0"/>
    </c:legend>
    <c:plotVisOnly val="1"/>
    <c:dispBlanksAs val="gap"/>
    <c:showDLblsOverMax val="0"/>
  </c:chart>
  <c:externalData r:id="rId1">
    <c:autoUpdate val="0"/>
  </c:externalData>
</c:chartSpace>
</file>

<file path=word/charts/chart3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title>
      <c:tx>
        <c:rich>
          <a:bodyPr/>
          <a:lstStyle/>
          <a:p>
            <a:pPr>
              <a:defRPr/>
            </a:pPr>
            <a:r>
              <a:rPr lang="en-US" sz="1100"/>
              <a:t>First Clinical - Average</a:t>
            </a:r>
            <a:r>
              <a:rPr lang="en-US" sz="1100" baseline="0"/>
              <a:t> Rating for Documentation</a:t>
            </a:r>
            <a:endParaRPr lang="en-US" sz="1100"/>
          </a:p>
        </c:rich>
      </c:tx>
      <c:layout/>
      <c:overlay val="0"/>
    </c:title>
    <c:autoTitleDeleted val="0"/>
    <c:plotArea>
      <c:layout/>
      <c:lineChart>
        <c:grouping val="standard"/>
        <c:varyColors val="0"/>
        <c:ser>
          <c:idx val="0"/>
          <c:order val="0"/>
          <c:tx>
            <c:strRef>
              <c:f>'1st Documentation'!$B$1</c:f>
              <c:strCache>
                <c:ptCount val="1"/>
                <c:pt idx="0">
                  <c:v>Avg Rating at Mid-Term</c:v>
                </c:pt>
              </c:strCache>
            </c:strRef>
          </c:tx>
          <c:dLbls>
            <c:spPr>
              <a:noFill/>
              <a:ln>
                <a:noFill/>
              </a:ln>
              <a:effectLst/>
            </c:sp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'1st Documentation'!$A$2:$A$4</c:f>
              <c:strCache>
                <c:ptCount val="3"/>
                <c:pt idx="0">
                  <c:v>Fall 2012</c:v>
                </c:pt>
                <c:pt idx="1">
                  <c:v>Fall 2013</c:v>
                </c:pt>
                <c:pt idx="2">
                  <c:v>Fall 2014</c:v>
                </c:pt>
              </c:strCache>
            </c:strRef>
          </c:cat>
          <c:val>
            <c:numRef>
              <c:f>'1st Documentation'!$B$2:$B$4</c:f>
              <c:numCache>
                <c:formatCode>0.00</c:formatCode>
                <c:ptCount val="3"/>
                <c:pt idx="0">
                  <c:v>4.0909090909090908</c:v>
                </c:pt>
                <c:pt idx="1">
                  <c:v>4.5714285714285712</c:v>
                </c:pt>
                <c:pt idx="2">
                  <c:v>5</c:v>
                </c:pt>
              </c:numCache>
            </c:numRef>
          </c:val>
          <c:smooth val="0"/>
        </c:ser>
        <c:ser>
          <c:idx val="1"/>
          <c:order val="1"/>
          <c:tx>
            <c:strRef>
              <c:f>'1st Documentation'!$C$1</c:f>
              <c:strCache>
                <c:ptCount val="1"/>
                <c:pt idx="0">
                  <c:v>Avg Rating at Final</c:v>
                </c:pt>
              </c:strCache>
            </c:strRef>
          </c:tx>
          <c:dLbls>
            <c:spPr>
              <a:noFill/>
              <a:ln>
                <a:noFill/>
              </a:ln>
              <a:effectLst/>
            </c:sp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'1st Documentation'!$A$2:$A$4</c:f>
              <c:strCache>
                <c:ptCount val="3"/>
                <c:pt idx="0">
                  <c:v>Fall 2012</c:v>
                </c:pt>
                <c:pt idx="1">
                  <c:v>Fall 2013</c:v>
                </c:pt>
                <c:pt idx="2">
                  <c:v>Fall 2014</c:v>
                </c:pt>
              </c:strCache>
            </c:strRef>
          </c:cat>
          <c:val>
            <c:numRef>
              <c:f>'1st Documentation'!$C$2:$C$4</c:f>
              <c:numCache>
                <c:formatCode>0.00</c:formatCode>
                <c:ptCount val="3"/>
                <c:pt idx="0">
                  <c:v>6.4375</c:v>
                </c:pt>
                <c:pt idx="1">
                  <c:v>6.5357142857142856</c:v>
                </c:pt>
                <c:pt idx="2">
                  <c:v>6.8055555555555554</c:v>
                </c:pt>
              </c:numCache>
            </c:numRef>
          </c:val>
          <c:smooth val="0"/>
        </c:ser>
        <c:dLbls>
          <c:dLblPos val="t"/>
          <c:showLegendKey val="0"/>
          <c:showVal val="1"/>
          <c:showCatName val="0"/>
          <c:showSerName val="0"/>
          <c:showPercent val="0"/>
          <c:showBubbleSize val="0"/>
        </c:dLbls>
        <c:marker val="1"/>
        <c:smooth val="0"/>
        <c:axId val="274038432"/>
        <c:axId val="274038824"/>
      </c:lineChart>
      <c:catAx>
        <c:axId val="274038432"/>
        <c:scaling>
          <c:orientation val="minMax"/>
        </c:scaling>
        <c:delete val="0"/>
        <c:axPos val="b"/>
        <c:numFmt formatCode="General" sourceLinked="0"/>
        <c:majorTickMark val="out"/>
        <c:minorTickMark val="none"/>
        <c:tickLblPos val="nextTo"/>
        <c:crossAx val="274038824"/>
        <c:crosses val="autoZero"/>
        <c:auto val="1"/>
        <c:lblAlgn val="ctr"/>
        <c:lblOffset val="100"/>
        <c:noMultiLvlLbl val="0"/>
      </c:catAx>
      <c:valAx>
        <c:axId val="274038824"/>
        <c:scaling>
          <c:orientation val="minMax"/>
          <c:max val="10"/>
          <c:min val="2"/>
        </c:scaling>
        <c:delete val="0"/>
        <c:axPos val="l"/>
        <c:majorGridlines/>
        <c:title>
          <c:tx>
            <c:rich>
              <a:bodyPr rot="-5400000" vert="horz"/>
              <a:lstStyle/>
              <a:p>
                <a:pPr>
                  <a:defRPr/>
                </a:pPr>
                <a:r>
                  <a:rPr lang="en-US" sz="1000"/>
                  <a:t>CPI</a:t>
                </a:r>
                <a:r>
                  <a:rPr lang="en-US" sz="1000" baseline="0"/>
                  <a:t> Rating (0-10)</a:t>
                </a:r>
                <a:endParaRPr lang="en-US" sz="1000"/>
              </a:p>
            </c:rich>
          </c:tx>
          <c:layout/>
          <c:overlay val="0"/>
        </c:title>
        <c:numFmt formatCode="0.00" sourceLinked="1"/>
        <c:majorTickMark val="out"/>
        <c:minorTickMark val="none"/>
        <c:tickLblPos val="nextTo"/>
        <c:crossAx val="274038432"/>
        <c:crosses val="autoZero"/>
        <c:crossBetween val="between"/>
      </c:valAx>
    </c:plotArea>
    <c:legend>
      <c:legendPos val="b"/>
      <c:layout/>
      <c:overlay val="0"/>
    </c:legend>
    <c:plotVisOnly val="1"/>
    <c:dispBlanksAs val="gap"/>
    <c:showDLblsOverMax val="0"/>
  </c:chart>
  <c:externalData r:id="rId1">
    <c:autoUpdate val="0"/>
  </c:externalData>
</c:chartSpace>
</file>

<file path=word/charts/chart3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title>
      <c:tx>
        <c:rich>
          <a:bodyPr/>
          <a:lstStyle/>
          <a:p>
            <a:pPr>
              <a:defRPr/>
            </a:pPr>
            <a:r>
              <a:rPr lang="en-US" sz="1100"/>
              <a:t>Second Clinical - Average</a:t>
            </a:r>
            <a:r>
              <a:rPr lang="en-US" sz="1100" baseline="0"/>
              <a:t> Rating for Documentation</a:t>
            </a:r>
            <a:endParaRPr lang="en-US" sz="1100"/>
          </a:p>
        </c:rich>
      </c:tx>
      <c:layout/>
      <c:overlay val="0"/>
    </c:title>
    <c:autoTitleDeleted val="0"/>
    <c:plotArea>
      <c:layout/>
      <c:lineChart>
        <c:grouping val="standard"/>
        <c:varyColors val="0"/>
        <c:ser>
          <c:idx val="0"/>
          <c:order val="0"/>
          <c:tx>
            <c:strRef>
              <c:f>'2nd Documentation'!$B$1</c:f>
              <c:strCache>
                <c:ptCount val="1"/>
                <c:pt idx="0">
                  <c:v>Avg Rating at Mid-Term</c:v>
                </c:pt>
              </c:strCache>
            </c:strRef>
          </c:tx>
          <c:dLbls>
            <c:spPr>
              <a:noFill/>
              <a:ln>
                <a:noFill/>
              </a:ln>
              <a:effectLst/>
            </c:sp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'2nd Documentation'!$A$2:$A$4</c:f>
              <c:strCache>
                <c:ptCount val="3"/>
                <c:pt idx="0">
                  <c:v>Spring 2012</c:v>
                </c:pt>
                <c:pt idx="1">
                  <c:v>Spring 2013</c:v>
                </c:pt>
                <c:pt idx="2">
                  <c:v>Spring 2014</c:v>
                </c:pt>
              </c:strCache>
            </c:strRef>
          </c:cat>
          <c:val>
            <c:numRef>
              <c:f>'2nd Documentation'!$B$2:$B$4</c:f>
              <c:numCache>
                <c:formatCode>0.00</c:formatCode>
                <c:ptCount val="3"/>
                <c:pt idx="0">
                  <c:v>6.333333333333333</c:v>
                </c:pt>
                <c:pt idx="1">
                  <c:v>6.1052631578947372</c:v>
                </c:pt>
                <c:pt idx="2">
                  <c:v>6.4761904761904763</c:v>
                </c:pt>
              </c:numCache>
            </c:numRef>
          </c:val>
          <c:smooth val="0"/>
        </c:ser>
        <c:ser>
          <c:idx val="1"/>
          <c:order val="1"/>
          <c:tx>
            <c:strRef>
              <c:f>'2nd Documentation'!$C$1</c:f>
              <c:strCache>
                <c:ptCount val="1"/>
                <c:pt idx="0">
                  <c:v>Avg Rating at Final</c:v>
                </c:pt>
              </c:strCache>
            </c:strRef>
          </c:tx>
          <c:dLbls>
            <c:spPr>
              <a:noFill/>
              <a:ln>
                <a:noFill/>
              </a:ln>
              <a:effectLst/>
            </c:sp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'2nd Documentation'!$A$2:$A$4</c:f>
              <c:strCache>
                <c:ptCount val="3"/>
                <c:pt idx="0">
                  <c:v>Spring 2012</c:v>
                </c:pt>
                <c:pt idx="1">
                  <c:v>Spring 2013</c:v>
                </c:pt>
                <c:pt idx="2">
                  <c:v>Spring 2014</c:v>
                </c:pt>
              </c:strCache>
            </c:strRef>
          </c:cat>
          <c:val>
            <c:numRef>
              <c:f>'2nd Documentation'!$C$2:$C$4</c:f>
              <c:numCache>
                <c:formatCode>0.00</c:formatCode>
                <c:ptCount val="3"/>
                <c:pt idx="0">
                  <c:v>7.875</c:v>
                </c:pt>
                <c:pt idx="1">
                  <c:v>7.75</c:v>
                </c:pt>
                <c:pt idx="2">
                  <c:v>7.8181818181818183</c:v>
                </c:pt>
              </c:numCache>
            </c:numRef>
          </c:val>
          <c:smooth val="0"/>
        </c:ser>
        <c:dLbls>
          <c:dLblPos val="t"/>
          <c:showLegendKey val="0"/>
          <c:showVal val="1"/>
          <c:showCatName val="0"/>
          <c:showSerName val="0"/>
          <c:showPercent val="0"/>
          <c:showBubbleSize val="0"/>
        </c:dLbls>
        <c:marker val="1"/>
        <c:smooth val="0"/>
        <c:axId val="274039608"/>
        <c:axId val="274040000"/>
      </c:lineChart>
      <c:catAx>
        <c:axId val="274039608"/>
        <c:scaling>
          <c:orientation val="minMax"/>
        </c:scaling>
        <c:delete val="0"/>
        <c:axPos val="b"/>
        <c:numFmt formatCode="General" sourceLinked="0"/>
        <c:majorTickMark val="out"/>
        <c:minorTickMark val="none"/>
        <c:tickLblPos val="nextTo"/>
        <c:crossAx val="274040000"/>
        <c:crosses val="autoZero"/>
        <c:auto val="1"/>
        <c:lblAlgn val="ctr"/>
        <c:lblOffset val="100"/>
        <c:noMultiLvlLbl val="0"/>
      </c:catAx>
      <c:valAx>
        <c:axId val="274040000"/>
        <c:scaling>
          <c:orientation val="minMax"/>
          <c:max val="10"/>
          <c:min val="2"/>
        </c:scaling>
        <c:delete val="0"/>
        <c:axPos val="l"/>
        <c:majorGridlines/>
        <c:title>
          <c:tx>
            <c:rich>
              <a:bodyPr rot="-5400000" vert="horz"/>
              <a:lstStyle/>
              <a:p>
                <a:pPr>
                  <a:defRPr/>
                </a:pPr>
                <a:r>
                  <a:rPr lang="en-US" sz="1000"/>
                  <a:t>CPI Rating (0-10)</a:t>
                </a:r>
              </a:p>
            </c:rich>
          </c:tx>
          <c:layout/>
          <c:overlay val="0"/>
        </c:title>
        <c:numFmt formatCode="0.00" sourceLinked="1"/>
        <c:majorTickMark val="out"/>
        <c:minorTickMark val="none"/>
        <c:tickLblPos val="nextTo"/>
        <c:crossAx val="274039608"/>
        <c:crosses val="autoZero"/>
        <c:crossBetween val="between"/>
        <c:majorUnit val="2"/>
      </c:valAx>
    </c:plotArea>
    <c:legend>
      <c:legendPos val="b"/>
      <c:layout/>
      <c:overlay val="0"/>
    </c:legend>
    <c:plotVisOnly val="1"/>
    <c:dispBlanksAs val="gap"/>
    <c:showDLblsOverMax val="0"/>
  </c:chart>
  <c:externalData r:id="rId1">
    <c:autoUpdate val="0"/>
  </c:externalData>
</c:chartSpace>
</file>

<file path=word/charts/chart3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title>
      <c:tx>
        <c:rich>
          <a:bodyPr/>
          <a:lstStyle/>
          <a:p>
            <a:pPr>
              <a:defRPr/>
            </a:pPr>
            <a:r>
              <a:rPr lang="en-US" sz="1100"/>
              <a:t>First</a:t>
            </a:r>
            <a:r>
              <a:rPr lang="en-US" sz="1100" baseline="0"/>
              <a:t> Clinical - Average Rating for Self-Assessment and Lifelong Learning</a:t>
            </a:r>
            <a:endParaRPr lang="en-US" sz="1100"/>
          </a:p>
        </c:rich>
      </c:tx>
      <c:layout/>
      <c:overlay val="0"/>
    </c:title>
    <c:autoTitleDeleted val="0"/>
    <c:plotArea>
      <c:layout/>
      <c:lineChart>
        <c:grouping val="standard"/>
        <c:varyColors val="0"/>
        <c:ser>
          <c:idx val="0"/>
          <c:order val="0"/>
          <c:tx>
            <c:strRef>
              <c:f>'1st Self Assess-Lifelong Learn'!$B$1</c:f>
              <c:strCache>
                <c:ptCount val="1"/>
                <c:pt idx="0">
                  <c:v>Avg Rating at Mid-Term</c:v>
                </c:pt>
              </c:strCache>
            </c:strRef>
          </c:tx>
          <c:dLbls>
            <c:dLbl>
              <c:idx val="0"/>
              <c:layout>
                <c:manualLayout>
                  <c:x val="-4.8546415974732721E-2"/>
                  <c:y val="7.5423861490997834E-2"/>
                </c:manualLayout>
              </c:layout>
              <c:dLblPos val="r"/>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5.1341664052999766E-2"/>
                  <c:y val="9.296772114012064E-2"/>
                </c:manualLayout>
              </c:layout>
              <c:dLblPos val="r"/>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4.8546415974732721E-2"/>
                  <c:y val="8.1271814707371992E-2"/>
                </c:manualLayout>
              </c:layout>
              <c:dLblPos val="r"/>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'1st Self Assess-Lifelong Learn'!$A$2:$A$4</c:f>
              <c:strCache>
                <c:ptCount val="3"/>
                <c:pt idx="0">
                  <c:v>Fall 2012</c:v>
                </c:pt>
                <c:pt idx="1">
                  <c:v>Fall 2013</c:v>
                </c:pt>
                <c:pt idx="2">
                  <c:v>Fall 2014</c:v>
                </c:pt>
              </c:strCache>
            </c:strRef>
          </c:cat>
          <c:val>
            <c:numRef>
              <c:f>'1st Self Assess-Lifelong Learn'!$B$2:$B$4</c:f>
              <c:numCache>
                <c:formatCode>0.00</c:formatCode>
                <c:ptCount val="3"/>
                <c:pt idx="0">
                  <c:v>4.3636363636363633</c:v>
                </c:pt>
                <c:pt idx="1">
                  <c:v>5.0357142857142856</c:v>
                </c:pt>
                <c:pt idx="2">
                  <c:v>5.5675675675675675</c:v>
                </c:pt>
              </c:numCache>
            </c:numRef>
          </c:val>
          <c:smooth val="0"/>
        </c:ser>
        <c:ser>
          <c:idx val="1"/>
          <c:order val="1"/>
          <c:tx>
            <c:strRef>
              <c:f>'1st Self Assess-Lifelong Learn'!$C$1</c:f>
              <c:strCache>
                <c:ptCount val="1"/>
                <c:pt idx="0">
                  <c:v>Avg Rating at Final</c:v>
                </c:pt>
              </c:strCache>
            </c:strRef>
          </c:tx>
          <c:dLbls>
            <c:spPr>
              <a:noFill/>
              <a:ln>
                <a:noFill/>
              </a:ln>
              <a:effectLst/>
            </c:sp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'1st Self Assess-Lifelong Learn'!$A$2:$A$4</c:f>
              <c:strCache>
                <c:ptCount val="3"/>
                <c:pt idx="0">
                  <c:v>Fall 2012</c:v>
                </c:pt>
                <c:pt idx="1">
                  <c:v>Fall 2013</c:v>
                </c:pt>
                <c:pt idx="2">
                  <c:v>Fall 2014</c:v>
                </c:pt>
              </c:strCache>
            </c:strRef>
          </c:cat>
          <c:val>
            <c:numRef>
              <c:f>'1st Self Assess-Lifelong Learn'!$C$2:$C$4</c:f>
              <c:numCache>
                <c:formatCode>0.00</c:formatCode>
                <c:ptCount val="3"/>
                <c:pt idx="0">
                  <c:v>6.59375</c:v>
                </c:pt>
                <c:pt idx="1">
                  <c:v>6.9642857142857144</c:v>
                </c:pt>
                <c:pt idx="2">
                  <c:v>7.083333333333333</c:v>
                </c:pt>
              </c:numCache>
            </c:numRef>
          </c:val>
          <c:smooth val="0"/>
        </c:ser>
        <c:dLbls>
          <c:dLblPos val="t"/>
          <c:showLegendKey val="0"/>
          <c:showVal val="1"/>
          <c:showCatName val="0"/>
          <c:showSerName val="0"/>
          <c:showPercent val="0"/>
          <c:showBubbleSize val="0"/>
        </c:dLbls>
        <c:marker val="1"/>
        <c:smooth val="0"/>
        <c:axId val="274040392"/>
        <c:axId val="274040784"/>
      </c:lineChart>
      <c:catAx>
        <c:axId val="274040392"/>
        <c:scaling>
          <c:orientation val="minMax"/>
        </c:scaling>
        <c:delete val="0"/>
        <c:axPos val="b"/>
        <c:numFmt formatCode="General" sourceLinked="0"/>
        <c:majorTickMark val="out"/>
        <c:minorTickMark val="none"/>
        <c:tickLblPos val="nextTo"/>
        <c:crossAx val="274040784"/>
        <c:crosses val="autoZero"/>
        <c:auto val="1"/>
        <c:lblAlgn val="ctr"/>
        <c:lblOffset val="100"/>
        <c:noMultiLvlLbl val="0"/>
      </c:catAx>
      <c:valAx>
        <c:axId val="274040784"/>
        <c:scaling>
          <c:orientation val="minMax"/>
          <c:max val="10"/>
          <c:min val="2"/>
        </c:scaling>
        <c:delete val="0"/>
        <c:axPos val="l"/>
        <c:majorGridlines/>
        <c:title>
          <c:tx>
            <c:rich>
              <a:bodyPr rot="-5400000" vert="horz"/>
              <a:lstStyle/>
              <a:p>
                <a:pPr>
                  <a:defRPr/>
                </a:pPr>
                <a:r>
                  <a:rPr lang="en-US" sz="1000"/>
                  <a:t>CPI Rating (0-10)</a:t>
                </a:r>
              </a:p>
            </c:rich>
          </c:tx>
          <c:layout/>
          <c:overlay val="0"/>
        </c:title>
        <c:numFmt formatCode="0.00" sourceLinked="1"/>
        <c:majorTickMark val="out"/>
        <c:minorTickMark val="none"/>
        <c:tickLblPos val="nextTo"/>
        <c:crossAx val="274040392"/>
        <c:crosses val="autoZero"/>
        <c:crossBetween val="between"/>
      </c:valAx>
    </c:plotArea>
    <c:legend>
      <c:legendPos val="b"/>
      <c:layout/>
      <c:overlay val="0"/>
    </c:legend>
    <c:plotVisOnly val="1"/>
    <c:dispBlanksAs val="gap"/>
    <c:showDLblsOverMax val="0"/>
  </c:chart>
  <c:externalData r:id="rId1">
    <c:autoUpdate val="0"/>
  </c:externalData>
</c:chartSpace>
</file>

<file path=word/charts/chart3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title>
      <c:tx>
        <c:rich>
          <a:bodyPr/>
          <a:lstStyle/>
          <a:p>
            <a:pPr>
              <a:defRPr/>
            </a:pPr>
            <a:r>
              <a:rPr lang="en-US" sz="1100"/>
              <a:t>Second Clinical - Average</a:t>
            </a:r>
            <a:r>
              <a:rPr lang="en-US" sz="1100" baseline="0"/>
              <a:t> Rating for Self Assessment and Lifelong Learning</a:t>
            </a:r>
            <a:endParaRPr lang="en-US" sz="1100"/>
          </a:p>
        </c:rich>
      </c:tx>
      <c:layout/>
      <c:overlay val="0"/>
    </c:title>
    <c:autoTitleDeleted val="0"/>
    <c:plotArea>
      <c:layout/>
      <c:lineChart>
        <c:grouping val="standard"/>
        <c:varyColors val="0"/>
        <c:ser>
          <c:idx val="0"/>
          <c:order val="0"/>
          <c:tx>
            <c:strRef>
              <c:f>'2nd Self Assess-Lifelong Learn'!$B$1</c:f>
              <c:strCache>
                <c:ptCount val="1"/>
                <c:pt idx="0">
                  <c:v>Avg Rating at Mid-Term</c:v>
                </c:pt>
              </c:strCache>
            </c:strRef>
          </c:tx>
          <c:dLbls>
            <c:dLbl>
              <c:idx val="0"/>
              <c:layout>
                <c:manualLayout>
                  <c:x val="-3.0999164877117669E-2"/>
                  <c:y val="8.3451340236013805E-2"/>
                </c:manualLayout>
              </c:layout>
              <c:dLblPos val="r"/>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3.4787043664996423E-2"/>
                  <c:y val="7.8201996403992807E-2"/>
                </c:manualLayout>
              </c:layout>
              <c:dLblPos val="r"/>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3.6680983058935815E-2"/>
                  <c:y val="8.8700684068034802E-2"/>
                </c:manualLayout>
              </c:layout>
              <c:dLblPos val="r"/>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'2nd Self Assess-Lifelong Learn'!$A$2:$A$4</c:f>
              <c:strCache>
                <c:ptCount val="3"/>
                <c:pt idx="0">
                  <c:v>Spring 2012</c:v>
                </c:pt>
                <c:pt idx="1">
                  <c:v>Spring 2013</c:v>
                </c:pt>
                <c:pt idx="2">
                  <c:v>Spring 2014</c:v>
                </c:pt>
              </c:strCache>
            </c:strRef>
          </c:cat>
          <c:val>
            <c:numRef>
              <c:f>'2nd Self Assess-Lifelong Learn'!$B$2:$B$4</c:f>
              <c:numCache>
                <c:formatCode>0.00</c:formatCode>
                <c:ptCount val="3"/>
                <c:pt idx="0">
                  <c:v>6.8461538461538458</c:v>
                </c:pt>
                <c:pt idx="1">
                  <c:v>6.4642857142857144</c:v>
                </c:pt>
                <c:pt idx="2">
                  <c:v>6.7407407407407405</c:v>
                </c:pt>
              </c:numCache>
            </c:numRef>
          </c:val>
          <c:smooth val="0"/>
        </c:ser>
        <c:ser>
          <c:idx val="1"/>
          <c:order val="1"/>
          <c:tx>
            <c:strRef>
              <c:f>'2nd Self Assess-Lifelong Learn'!$C$1</c:f>
              <c:strCache>
                <c:ptCount val="1"/>
                <c:pt idx="0">
                  <c:v>Avg Rating at Final</c:v>
                </c:pt>
              </c:strCache>
            </c:strRef>
          </c:tx>
          <c:dLbls>
            <c:spPr>
              <a:noFill/>
              <a:ln>
                <a:noFill/>
              </a:ln>
              <a:effectLst/>
            </c:sp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1"/>
              </c:ext>
            </c:extLst>
          </c:dLbls>
          <c:cat>
            <c:strRef>
              <c:f>'2nd Self Assess-Lifelong Learn'!$A$2:$A$4</c:f>
              <c:strCache>
                <c:ptCount val="3"/>
                <c:pt idx="0">
                  <c:v>Spring 2012</c:v>
                </c:pt>
                <c:pt idx="1">
                  <c:v>Spring 2013</c:v>
                </c:pt>
                <c:pt idx="2">
                  <c:v>Spring 2014</c:v>
                </c:pt>
              </c:strCache>
            </c:strRef>
          </c:cat>
          <c:val>
            <c:numRef>
              <c:f>'2nd Self Assess-Lifelong Learn'!$C$2:$C$4</c:f>
              <c:numCache>
                <c:formatCode>0.00</c:formatCode>
                <c:ptCount val="3"/>
                <c:pt idx="0">
                  <c:v>8.0769230769230766</c:v>
                </c:pt>
                <c:pt idx="1">
                  <c:v>7.9259259259259256</c:v>
                </c:pt>
                <c:pt idx="2">
                  <c:v>7.92</c:v>
                </c:pt>
              </c:numCache>
            </c:numRef>
          </c:val>
          <c:smooth val="0"/>
        </c:ser>
        <c:dLbls>
          <c:dLblPos val="t"/>
          <c:showLegendKey val="0"/>
          <c:showVal val="1"/>
          <c:showCatName val="0"/>
          <c:showSerName val="0"/>
          <c:showPercent val="0"/>
          <c:showBubbleSize val="0"/>
        </c:dLbls>
        <c:marker val="1"/>
        <c:smooth val="0"/>
        <c:axId val="274041568"/>
        <c:axId val="274041960"/>
      </c:lineChart>
      <c:catAx>
        <c:axId val="274041568"/>
        <c:scaling>
          <c:orientation val="minMax"/>
        </c:scaling>
        <c:delete val="0"/>
        <c:axPos val="b"/>
        <c:numFmt formatCode="General" sourceLinked="0"/>
        <c:majorTickMark val="out"/>
        <c:minorTickMark val="none"/>
        <c:tickLblPos val="nextTo"/>
        <c:crossAx val="274041960"/>
        <c:crosses val="autoZero"/>
        <c:auto val="1"/>
        <c:lblAlgn val="ctr"/>
        <c:lblOffset val="100"/>
        <c:noMultiLvlLbl val="0"/>
      </c:catAx>
      <c:valAx>
        <c:axId val="274041960"/>
        <c:scaling>
          <c:orientation val="minMax"/>
          <c:min val="2"/>
        </c:scaling>
        <c:delete val="0"/>
        <c:axPos val="l"/>
        <c:majorGridlines/>
        <c:title>
          <c:tx>
            <c:rich>
              <a:bodyPr rot="-5400000" vert="horz"/>
              <a:lstStyle/>
              <a:p>
                <a:pPr>
                  <a:defRPr/>
                </a:pPr>
                <a:r>
                  <a:rPr lang="en-US" sz="1000"/>
                  <a:t>CPI Rating</a:t>
                </a:r>
                <a:r>
                  <a:rPr lang="en-US" sz="1000" baseline="0"/>
                  <a:t> (0-10)</a:t>
                </a:r>
                <a:endParaRPr lang="en-US" sz="1000"/>
              </a:p>
            </c:rich>
          </c:tx>
          <c:layout/>
          <c:overlay val="0"/>
        </c:title>
        <c:numFmt formatCode="0.00" sourceLinked="1"/>
        <c:majorTickMark val="out"/>
        <c:minorTickMark val="none"/>
        <c:tickLblPos val="nextTo"/>
        <c:crossAx val="274041568"/>
        <c:crosses val="autoZero"/>
        <c:crossBetween val="between"/>
      </c:valAx>
    </c:plotArea>
    <c:legend>
      <c:legendPos val="b"/>
      <c:layout/>
      <c:overlay val="0"/>
    </c:legend>
    <c:plotVisOnly val="1"/>
    <c:dispBlanksAs val="gap"/>
    <c:showDLblsOverMax val="0"/>
  </c:chart>
  <c:externalData r:id="rId1">
    <c:autoUpdate val="0"/>
  </c:externalData>
</c:chartSpace>
</file>

<file path=word/charts/chart3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First</a:t>
            </a:r>
            <a:r>
              <a:rPr lang="en-US" baseline="0"/>
              <a:t> Clinical - Average Ratings for 2012-2014</a:t>
            </a:r>
            <a:endParaRPr lang="en-US"/>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'First Clinical All '!$B$1</c:f>
              <c:strCache>
                <c:ptCount val="1"/>
                <c:pt idx="0">
                  <c:v>Avg Rating at Midterm</c:v>
                </c:pt>
              </c:strCache>
            </c:strRef>
          </c:tx>
          <c:spPr>
            <a:solidFill>
              <a:schemeClr val="accent1"/>
            </a:solidFill>
            <a:ln>
              <a:noFill/>
            </a:ln>
            <a:effectLst/>
          </c:spPr>
          <c:invertIfNegative val="0"/>
          <c:dLbls>
            <c:dLbl>
              <c:idx val="0"/>
              <c:layout>
                <c:manualLayout>
                  <c:x val="-5.805515239477521E-3"/>
                  <c:y val="6.8027210884353739E-3"/>
                </c:manualLayout>
              </c:layout>
              <c:dLblPos val="outEnd"/>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5.805515239477521E-3"/>
                  <c:y val="3.4013605442176869E-3"/>
                </c:manualLayout>
              </c:layout>
              <c:dLblPos val="outEnd"/>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7.7406869859700401E-3"/>
                  <c:y val="3.4013605442176869E-3"/>
                </c:manualLayout>
              </c:layout>
              <c:dLblPos val="outEnd"/>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5.8055152394775036E-3"/>
                  <c:y val="3.4013605442176869E-3"/>
                </c:manualLayout>
              </c:layout>
              <c:dLblPos val="outEnd"/>
              <c:showLegendKey val="0"/>
              <c:showVal val="1"/>
              <c:showCatName val="0"/>
              <c:showSerName val="0"/>
              <c:showPercent val="0"/>
              <c:showBubbleSize val="0"/>
              <c:extLst>
                <c:ext xmlns:c15="http://schemas.microsoft.com/office/drawing/2012/chart" uri="{CE6537A1-D6FC-4f65-9D91-7224C49458BB}">
                  <c15:layout/>
                </c:ext>
              </c:extLst>
            </c:dLbl>
            <c:dLbl>
              <c:idx val="4"/>
              <c:layout>
                <c:manualLayout>
                  <c:x val="-9.6758587324625063E-3"/>
                  <c:y val="0"/>
                </c:manualLayout>
              </c:layout>
              <c:dLblPos val="outEnd"/>
              <c:showLegendKey val="0"/>
              <c:showVal val="1"/>
              <c:showCatName val="0"/>
              <c:showSerName val="0"/>
              <c:showPercent val="0"/>
              <c:showBubbleSize val="0"/>
              <c:extLst>
                <c:ext xmlns:c15="http://schemas.microsoft.com/office/drawing/2012/chart" uri="{CE6537A1-D6FC-4f65-9D91-7224C49458BB}">
                  <c15:layout/>
                </c:ext>
              </c:extLst>
            </c:dLbl>
            <c:dLbl>
              <c:idx val="5"/>
              <c:layout>
                <c:manualLayout>
                  <c:x val="-5.8055152394775036E-3"/>
                  <c:y val="3.4013605442176869E-3"/>
                </c:manualLayout>
              </c:layout>
              <c:dLblPos val="outEnd"/>
              <c:showLegendKey val="0"/>
              <c:showVal val="1"/>
              <c:showCatName val="0"/>
              <c:showSerName val="0"/>
              <c:showPercent val="0"/>
              <c:showBubbleSize val="0"/>
              <c:extLst>
                <c:ext xmlns:c15="http://schemas.microsoft.com/office/drawing/2012/chart" uri="{CE6537A1-D6FC-4f65-9D91-7224C49458BB}">
                  <c15:layout/>
                </c:ext>
              </c:extLst>
            </c:dLbl>
            <c:dLbl>
              <c:idx val="6"/>
              <c:layout>
                <c:manualLayout>
                  <c:x val="-9.6758587324625063E-3"/>
                  <c:y val="-6.2357556284179556E-17"/>
                </c:manualLayout>
              </c:layout>
              <c:dLblPos val="outEnd"/>
              <c:showLegendKey val="0"/>
              <c:showVal val="1"/>
              <c:showCatName val="0"/>
              <c:showSerName val="0"/>
              <c:showPercent val="0"/>
              <c:showBubbleSize val="0"/>
              <c:extLst>
                <c:ext xmlns:c15="http://schemas.microsoft.com/office/drawing/2012/chart" uri="{CE6537A1-D6FC-4f65-9D91-7224C49458BB}">
                  <c15:layout/>
                </c:ext>
              </c:extLst>
            </c:dLbl>
            <c:dLbl>
              <c:idx val="7"/>
              <c:layout>
                <c:manualLayout>
                  <c:x val="-3.8703434929850023E-3"/>
                  <c:y val="6.8027210884353427E-3"/>
                </c:manualLayout>
              </c:layout>
              <c:dLblPos val="outEnd"/>
              <c:showLegendKey val="0"/>
              <c:showVal val="1"/>
              <c:showCatName val="0"/>
              <c:showSerName val="0"/>
              <c:showPercent val="0"/>
              <c:showBubbleSize val="0"/>
              <c:extLst>
                <c:ext xmlns:c15="http://schemas.microsoft.com/office/drawing/2012/chart" uri="{CE6537A1-D6FC-4f65-9D91-7224C49458BB}">
                  <c15:layout/>
                </c:ext>
              </c:extLst>
            </c:dLbl>
            <c:dLbl>
              <c:idx val="8"/>
              <c:layout>
                <c:manualLayout>
                  <c:x val="-9.6758587324625063E-3"/>
                  <c:y val="3.4013605442176869E-3"/>
                </c:manualLayout>
              </c:layout>
              <c:dLblPos val="outEnd"/>
              <c:showLegendKey val="0"/>
              <c:showVal val="1"/>
              <c:showCatName val="0"/>
              <c:showSerName val="0"/>
              <c:showPercent val="0"/>
              <c:showBubbleSize val="0"/>
              <c:extLst>
                <c:ext xmlns:c15="http://schemas.microsoft.com/office/drawing/2012/chart" uri="{CE6537A1-D6FC-4f65-9D91-7224C49458BB}">
                  <c15:layout/>
                </c:ext>
              </c:extLst>
            </c:dLbl>
            <c:dLbl>
              <c:idx val="9"/>
              <c:layout>
                <c:manualLayout>
                  <c:x val="-5.8055152394775036E-3"/>
                  <c:y val="3.4013605442177182E-3"/>
                </c:manualLayout>
              </c:layout>
              <c:dLblPos val="outEnd"/>
              <c:showLegendKey val="0"/>
              <c:showVal val="1"/>
              <c:showCatName val="0"/>
              <c:showSerName val="0"/>
              <c:showPercent val="0"/>
              <c:showBubbleSize val="0"/>
              <c:extLst>
                <c:ext xmlns:c15="http://schemas.microsoft.com/office/drawing/2012/chart" uri="{CE6537A1-D6FC-4f65-9D91-7224C49458BB}">
                  <c15:layout/>
                </c:ext>
              </c:extLst>
            </c:dLbl>
            <c:dLbl>
              <c:idx val="10"/>
              <c:layout>
                <c:manualLayout>
                  <c:x val="-5.8055152394776459E-3"/>
                  <c:y val="-3.1178778142089778E-17"/>
                </c:manualLayout>
              </c:layout>
              <c:dLblPos val="outEnd"/>
              <c:showLegendKey val="0"/>
              <c:showVal val="1"/>
              <c:showCatName val="0"/>
              <c:showSerName val="0"/>
              <c:showPercent val="0"/>
              <c:showBubbleSize val="0"/>
              <c:extLst>
                <c:ext xmlns:c15="http://schemas.microsoft.com/office/drawing/2012/chart" uri="{CE6537A1-D6FC-4f65-9D91-7224C49458BB}">
                  <c15:layout/>
                </c:ext>
              </c:extLst>
            </c:dLbl>
            <c:dLbl>
              <c:idx val="11"/>
              <c:layout>
                <c:manualLayout>
                  <c:x val="-5.8055152394775036E-3"/>
                  <c:y val="6.8027210884354051E-3"/>
                </c:manualLayout>
              </c:layout>
              <c:dLblPos val="outEnd"/>
              <c:showLegendKey val="0"/>
              <c:showVal val="1"/>
              <c:showCatName val="0"/>
              <c:showSerName val="0"/>
              <c:showPercent val="0"/>
              <c:showBubbleSize val="0"/>
              <c:extLst>
                <c:ext xmlns:c15="http://schemas.microsoft.com/office/drawing/2012/chart" uri="{CE6537A1-D6FC-4f65-9D91-7224C49458BB}">
                  <c15:layout/>
                </c:ext>
              </c:extLst>
            </c:dLbl>
            <c:dLbl>
              <c:idx val="12"/>
              <c:layout>
                <c:manualLayout>
                  <c:x val="-5.8055152394775036E-3"/>
                  <c:y val="3.4013605442176869E-3"/>
                </c:manualLayout>
              </c:layout>
              <c:dLblPos val="outEnd"/>
              <c:showLegendKey val="0"/>
              <c:showVal val="1"/>
              <c:showCatName val="0"/>
              <c:showSerName val="0"/>
              <c:showPercent val="0"/>
              <c:showBubbleSize val="0"/>
              <c:extLst>
                <c:ext xmlns:c15="http://schemas.microsoft.com/office/drawing/2012/chart" uri="{CE6537A1-D6FC-4f65-9D91-7224C49458BB}">
                  <c15:layout/>
                </c:ext>
              </c:extLst>
            </c:dLbl>
            <c:dLbl>
              <c:idx val="13"/>
              <c:layout>
                <c:manualLayout>
                  <c:x val="-7.7406869859700045E-3"/>
                  <c:y val="6.8027210884353427E-3"/>
                </c:manualLayout>
              </c:layout>
              <c:dLblPos val="outEnd"/>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'First Clinical All '!$A$2:$A$15</c:f>
              <c:strCache>
                <c:ptCount val="14"/>
                <c:pt idx="0">
                  <c:v>Safety</c:v>
                </c:pt>
                <c:pt idx="1">
                  <c:v>Clinical Behavior</c:v>
                </c:pt>
                <c:pt idx="2">
                  <c:v>Accountability</c:v>
                </c:pt>
                <c:pt idx="3">
                  <c:v>Cultural Competence</c:v>
                </c:pt>
                <c:pt idx="4">
                  <c:v>Communication</c:v>
                </c:pt>
                <c:pt idx="5">
                  <c:v>Self Assess-Lifelong Learning</c:v>
                </c:pt>
                <c:pt idx="6">
                  <c:v>Clinical Problem Solving</c:v>
                </c:pt>
                <c:pt idx="7">
                  <c:v>Interventions-TherEx</c:v>
                </c:pt>
                <c:pt idx="8">
                  <c:v>Interventions-TherTech</c:v>
                </c:pt>
                <c:pt idx="9">
                  <c:v>Interventions-PhysAg &amp; MechMod</c:v>
                </c:pt>
                <c:pt idx="10">
                  <c:v>Interventions-ElectroMod</c:v>
                </c:pt>
                <c:pt idx="11">
                  <c:v>Interventions-FunctTrain</c:v>
                </c:pt>
                <c:pt idx="12">
                  <c:v>Documentation</c:v>
                </c:pt>
                <c:pt idx="13">
                  <c:v>Resource Management</c:v>
                </c:pt>
              </c:strCache>
            </c:strRef>
          </c:cat>
          <c:val>
            <c:numRef>
              <c:f>'First Clinical All '!$B$2:$B$15</c:f>
              <c:numCache>
                <c:formatCode>General</c:formatCode>
                <c:ptCount val="14"/>
                <c:pt idx="0">
                  <c:v>5.01</c:v>
                </c:pt>
                <c:pt idx="1">
                  <c:v>5.74</c:v>
                </c:pt>
                <c:pt idx="2">
                  <c:v>5.43</c:v>
                </c:pt>
                <c:pt idx="3">
                  <c:v>5.69</c:v>
                </c:pt>
                <c:pt idx="4">
                  <c:v>4.7300000000000004</c:v>
                </c:pt>
                <c:pt idx="5">
                  <c:v>5.01</c:v>
                </c:pt>
                <c:pt idx="6">
                  <c:v>4.22</c:v>
                </c:pt>
                <c:pt idx="7">
                  <c:v>4.62</c:v>
                </c:pt>
                <c:pt idx="8">
                  <c:v>4.49</c:v>
                </c:pt>
                <c:pt idx="9">
                  <c:v>4.4400000000000004</c:v>
                </c:pt>
                <c:pt idx="10">
                  <c:v>4.05</c:v>
                </c:pt>
                <c:pt idx="11">
                  <c:v>4.41</c:v>
                </c:pt>
                <c:pt idx="12">
                  <c:v>4.57</c:v>
                </c:pt>
                <c:pt idx="13">
                  <c:v>4.62</c:v>
                </c:pt>
              </c:numCache>
            </c:numRef>
          </c:val>
        </c:ser>
        <c:ser>
          <c:idx val="1"/>
          <c:order val="1"/>
          <c:tx>
            <c:strRef>
              <c:f>'First Clinical All '!$C$1</c:f>
              <c:strCache>
                <c:ptCount val="1"/>
                <c:pt idx="0">
                  <c:v>Avg Rating at Final</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'First Clinical All '!$A$2:$A$15</c:f>
              <c:strCache>
                <c:ptCount val="14"/>
                <c:pt idx="0">
                  <c:v>Safety</c:v>
                </c:pt>
                <c:pt idx="1">
                  <c:v>Clinical Behavior</c:v>
                </c:pt>
                <c:pt idx="2">
                  <c:v>Accountability</c:v>
                </c:pt>
                <c:pt idx="3">
                  <c:v>Cultural Competence</c:v>
                </c:pt>
                <c:pt idx="4">
                  <c:v>Communication</c:v>
                </c:pt>
                <c:pt idx="5">
                  <c:v>Self Assess-Lifelong Learning</c:v>
                </c:pt>
                <c:pt idx="6">
                  <c:v>Clinical Problem Solving</c:v>
                </c:pt>
                <c:pt idx="7">
                  <c:v>Interventions-TherEx</c:v>
                </c:pt>
                <c:pt idx="8">
                  <c:v>Interventions-TherTech</c:v>
                </c:pt>
                <c:pt idx="9">
                  <c:v>Interventions-PhysAg &amp; MechMod</c:v>
                </c:pt>
                <c:pt idx="10">
                  <c:v>Interventions-ElectroMod</c:v>
                </c:pt>
                <c:pt idx="11">
                  <c:v>Interventions-FunctTrain</c:v>
                </c:pt>
                <c:pt idx="12">
                  <c:v>Documentation</c:v>
                </c:pt>
                <c:pt idx="13">
                  <c:v>Resource Management</c:v>
                </c:pt>
              </c:strCache>
            </c:strRef>
          </c:cat>
          <c:val>
            <c:numRef>
              <c:f>'First Clinical All '!$C$2:$C$15</c:f>
              <c:numCache>
                <c:formatCode>General</c:formatCode>
                <c:ptCount val="14"/>
                <c:pt idx="0">
                  <c:v>7.15</c:v>
                </c:pt>
                <c:pt idx="1">
                  <c:v>7.35</c:v>
                </c:pt>
                <c:pt idx="2">
                  <c:v>7.32</c:v>
                </c:pt>
                <c:pt idx="3">
                  <c:v>7.24</c:v>
                </c:pt>
                <c:pt idx="4">
                  <c:v>6.89</c:v>
                </c:pt>
                <c:pt idx="5">
                  <c:v>6.89</c:v>
                </c:pt>
                <c:pt idx="6">
                  <c:v>6.43</c:v>
                </c:pt>
                <c:pt idx="7">
                  <c:v>6.57</c:v>
                </c:pt>
                <c:pt idx="8">
                  <c:v>6.51</c:v>
                </c:pt>
                <c:pt idx="9">
                  <c:v>6.46</c:v>
                </c:pt>
                <c:pt idx="10">
                  <c:v>6.19</c:v>
                </c:pt>
                <c:pt idx="11">
                  <c:v>6.47</c:v>
                </c:pt>
                <c:pt idx="12">
                  <c:v>6.6</c:v>
                </c:pt>
                <c:pt idx="13">
                  <c:v>6.58</c:v>
                </c:pt>
              </c:numCache>
            </c:numRef>
          </c:val>
        </c:ser>
        <c:dLbls>
          <c:dLblPos val="outEnd"/>
          <c:showLegendKey val="0"/>
          <c:showVal val="1"/>
          <c:showCatName val="0"/>
          <c:showSerName val="0"/>
          <c:showPercent val="0"/>
          <c:showBubbleSize val="0"/>
        </c:dLbls>
        <c:gapWidth val="219"/>
        <c:overlap val="-27"/>
        <c:axId val="275702040"/>
        <c:axId val="275702432"/>
      </c:barChart>
      <c:catAx>
        <c:axId val="27570204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Clinical Performance Instrument</a:t>
                </a:r>
                <a:r>
                  <a:rPr lang="en-US" baseline="0"/>
                  <a:t> Category</a:t>
                </a:r>
                <a:endParaRPr lang="en-US"/>
              </a:p>
            </c:rich>
          </c:tx>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75702432"/>
        <c:crosses val="autoZero"/>
        <c:auto val="1"/>
        <c:lblAlgn val="ctr"/>
        <c:lblOffset val="100"/>
        <c:noMultiLvlLbl val="0"/>
      </c:catAx>
      <c:valAx>
        <c:axId val="275702432"/>
        <c:scaling>
          <c:orientation val="minMax"/>
          <c:max val="1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CPI Rating (0-10)</a:t>
                </a:r>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75702040"/>
        <c:crosses val="autoZero"/>
        <c:crossBetween val="between"/>
        <c:majorUnit val="2"/>
      </c:valAx>
      <c:spPr>
        <a:noFill/>
        <a:ln>
          <a:noFill/>
        </a:ln>
        <a:effectLst/>
      </c:spPr>
    </c:plotArea>
    <c:legend>
      <c:legendPos val="b"/>
      <c:layout>
        <c:manualLayout>
          <c:xMode val="edge"/>
          <c:yMode val="edge"/>
          <c:x val="0.33558344912768256"/>
          <c:y val="0.91620835857056326"/>
          <c:w val="0.39942133703875249"/>
          <c:h val="6.1813619451414725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Second</a:t>
            </a:r>
            <a:r>
              <a:rPr lang="en-US" baseline="0"/>
              <a:t> Clinical - Average Ratings for 2012-2014</a:t>
            </a:r>
            <a:endParaRPr lang="en-US"/>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'Second Clinical All'!$B$1</c:f>
              <c:strCache>
                <c:ptCount val="1"/>
                <c:pt idx="0">
                  <c:v>Avg Rating at Midterm</c:v>
                </c:pt>
              </c:strCache>
            </c:strRef>
          </c:tx>
          <c:spPr>
            <a:solidFill>
              <a:schemeClr val="accent1"/>
            </a:solidFill>
            <a:ln>
              <a:noFill/>
            </a:ln>
            <a:effectLst/>
          </c:spPr>
          <c:invertIfNegative val="0"/>
          <c:dLbls>
            <c:dLbl>
              <c:idx val="0"/>
              <c:layout>
                <c:manualLayout>
                  <c:x val="-7.6518412242945963E-3"/>
                  <c:y val="1.0610079575596816E-2"/>
                </c:manualLayout>
              </c:layout>
              <c:dLblPos val="outEnd"/>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5.7388809182209472E-3"/>
                  <c:y val="1.4146772767462422E-2"/>
                </c:manualLayout>
              </c:layout>
              <c:dLblPos val="outEnd"/>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7.6518412242945963E-3"/>
                  <c:y val="7.073386383731211E-3"/>
                </c:manualLayout>
              </c:layout>
              <c:dLblPos val="outEnd"/>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7.6518412242945963E-3"/>
                  <c:y val="1.0610079575596785E-2"/>
                </c:manualLayout>
              </c:layout>
              <c:dLblPos val="outEnd"/>
              <c:showLegendKey val="0"/>
              <c:showVal val="1"/>
              <c:showCatName val="0"/>
              <c:showSerName val="0"/>
              <c:showPercent val="0"/>
              <c:showBubbleSize val="0"/>
              <c:extLst>
                <c:ext xmlns:c15="http://schemas.microsoft.com/office/drawing/2012/chart" uri="{CE6537A1-D6FC-4f65-9D91-7224C49458BB}">
                  <c15:layout/>
                </c:ext>
              </c:extLst>
            </c:dLbl>
            <c:dLbl>
              <c:idx val="4"/>
              <c:layout>
                <c:manualLayout>
                  <c:x val="-7.6518412242945963E-3"/>
                  <c:y val="1.0610079575596785E-2"/>
                </c:manualLayout>
              </c:layout>
              <c:dLblPos val="outEnd"/>
              <c:showLegendKey val="0"/>
              <c:showVal val="1"/>
              <c:showCatName val="0"/>
              <c:showSerName val="0"/>
              <c:showPercent val="0"/>
              <c:showBubbleSize val="0"/>
              <c:extLst>
                <c:ext xmlns:c15="http://schemas.microsoft.com/office/drawing/2012/chart" uri="{CE6537A1-D6FC-4f65-9D91-7224C49458BB}">
                  <c15:layout/>
                </c:ext>
              </c:extLst>
            </c:dLbl>
            <c:dLbl>
              <c:idx val="5"/>
              <c:layout>
                <c:manualLayout>
                  <c:x val="-5.7388809182210175E-3"/>
                  <c:y val="1.0610079575596816E-2"/>
                </c:manualLayout>
              </c:layout>
              <c:dLblPos val="outEnd"/>
              <c:showLegendKey val="0"/>
              <c:showVal val="1"/>
              <c:showCatName val="0"/>
              <c:showSerName val="0"/>
              <c:showPercent val="0"/>
              <c:showBubbleSize val="0"/>
              <c:extLst>
                <c:ext xmlns:c15="http://schemas.microsoft.com/office/drawing/2012/chart" uri="{CE6537A1-D6FC-4f65-9D91-7224C49458BB}">
                  <c15:layout/>
                </c:ext>
              </c:extLst>
            </c:dLbl>
            <c:dLbl>
              <c:idx val="6"/>
              <c:layout>
                <c:manualLayout>
                  <c:x val="-5.7388809182209472E-3"/>
                  <c:y val="7.073386383731211E-3"/>
                </c:manualLayout>
              </c:layout>
              <c:dLblPos val="outEnd"/>
              <c:showLegendKey val="0"/>
              <c:showVal val="1"/>
              <c:showCatName val="0"/>
              <c:showSerName val="0"/>
              <c:showPercent val="0"/>
              <c:showBubbleSize val="0"/>
              <c:extLst>
                <c:ext xmlns:c15="http://schemas.microsoft.com/office/drawing/2012/chart" uri="{CE6537A1-D6FC-4f65-9D91-7224C49458BB}">
                  <c15:layout/>
                </c:ext>
              </c:extLst>
            </c:dLbl>
            <c:dLbl>
              <c:idx val="7"/>
              <c:layout>
                <c:manualLayout>
                  <c:x val="-7.6518412242946657E-3"/>
                  <c:y val="1.4146772767462422E-2"/>
                </c:manualLayout>
              </c:layout>
              <c:dLblPos val="outEnd"/>
              <c:showLegendKey val="0"/>
              <c:showVal val="1"/>
              <c:showCatName val="0"/>
              <c:showSerName val="0"/>
              <c:showPercent val="0"/>
              <c:showBubbleSize val="0"/>
              <c:extLst>
                <c:ext xmlns:c15="http://schemas.microsoft.com/office/drawing/2012/chart" uri="{CE6537A1-D6FC-4f65-9D91-7224C49458BB}">
                  <c15:layout/>
                </c:ext>
              </c:extLst>
            </c:dLbl>
            <c:dLbl>
              <c:idx val="8"/>
              <c:layout>
                <c:manualLayout>
                  <c:x val="-7.6518412242946657E-3"/>
                  <c:y val="1.0610079575596785E-2"/>
                </c:manualLayout>
              </c:layout>
              <c:dLblPos val="outEnd"/>
              <c:showLegendKey val="0"/>
              <c:showVal val="1"/>
              <c:showCatName val="0"/>
              <c:showSerName val="0"/>
              <c:showPercent val="0"/>
              <c:showBubbleSize val="0"/>
              <c:extLst>
                <c:ext xmlns:c15="http://schemas.microsoft.com/office/drawing/2012/chart" uri="{CE6537A1-D6FC-4f65-9D91-7224C49458BB}">
                  <c15:layout/>
                </c:ext>
              </c:extLst>
            </c:dLbl>
            <c:dLbl>
              <c:idx val="9"/>
              <c:layout>
                <c:manualLayout>
                  <c:x val="-5.7388809182209472E-3"/>
                  <c:y val="7.073386383731211E-3"/>
                </c:manualLayout>
              </c:layout>
              <c:dLblPos val="outEnd"/>
              <c:showLegendKey val="0"/>
              <c:showVal val="1"/>
              <c:showCatName val="0"/>
              <c:showSerName val="0"/>
              <c:showPercent val="0"/>
              <c:showBubbleSize val="0"/>
              <c:extLst>
                <c:ext xmlns:c15="http://schemas.microsoft.com/office/drawing/2012/chart" uri="{CE6537A1-D6FC-4f65-9D91-7224C49458BB}">
                  <c15:layout/>
                </c:ext>
              </c:extLst>
            </c:dLbl>
            <c:dLbl>
              <c:idx val="10"/>
              <c:layout>
                <c:manualLayout>
                  <c:x val="-5.7388809182210869E-3"/>
                  <c:y val="1.0610079575596785E-2"/>
                </c:manualLayout>
              </c:layout>
              <c:dLblPos val="outEnd"/>
              <c:showLegendKey val="0"/>
              <c:showVal val="1"/>
              <c:showCatName val="0"/>
              <c:showSerName val="0"/>
              <c:showPercent val="0"/>
              <c:showBubbleSize val="0"/>
              <c:extLst>
                <c:ext xmlns:c15="http://schemas.microsoft.com/office/drawing/2012/chart" uri="{CE6537A1-D6FC-4f65-9D91-7224C49458BB}">
                  <c15:layout/>
                </c:ext>
              </c:extLst>
            </c:dLbl>
            <c:dLbl>
              <c:idx val="11"/>
              <c:layout>
                <c:manualLayout>
                  <c:x val="-5.7388809182209472E-3"/>
                  <c:y val="1.0610079575596816E-2"/>
                </c:manualLayout>
              </c:layout>
              <c:dLblPos val="outEnd"/>
              <c:showLegendKey val="0"/>
              <c:showVal val="1"/>
              <c:showCatName val="0"/>
              <c:showSerName val="0"/>
              <c:showPercent val="0"/>
              <c:showBubbleSize val="0"/>
              <c:extLst>
                <c:ext xmlns:c15="http://schemas.microsoft.com/office/drawing/2012/chart" uri="{CE6537A1-D6FC-4f65-9D91-7224C49458BB}">
                  <c15:layout/>
                </c:ext>
              </c:extLst>
            </c:dLbl>
            <c:dLbl>
              <c:idx val="12"/>
              <c:layout>
                <c:manualLayout>
                  <c:x val="-7.6518412242945963E-3"/>
                  <c:y val="1.0610079575596785E-2"/>
                </c:manualLayout>
              </c:layout>
              <c:dLblPos val="outEnd"/>
              <c:showLegendKey val="0"/>
              <c:showVal val="1"/>
              <c:showCatName val="0"/>
              <c:showSerName val="0"/>
              <c:showPercent val="0"/>
              <c:showBubbleSize val="0"/>
              <c:extLst>
                <c:ext xmlns:c15="http://schemas.microsoft.com/office/drawing/2012/chart" uri="{CE6537A1-D6FC-4f65-9D91-7224C49458BB}">
                  <c15:layout/>
                </c:ext>
              </c:extLst>
            </c:dLbl>
            <c:dLbl>
              <c:idx val="13"/>
              <c:layout>
                <c:manualLayout>
                  <c:x val="-7.6518412242945963E-3"/>
                  <c:y val="7.073386383731211E-3"/>
                </c:manualLayout>
              </c:layout>
              <c:dLblPos val="outEnd"/>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'Second Clinical All'!$A$2:$A$15</c:f>
              <c:strCache>
                <c:ptCount val="14"/>
                <c:pt idx="0">
                  <c:v>Safety</c:v>
                </c:pt>
                <c:pt idx="1">
                  <c:v>Clinical Behavior</c:v>
                </c:pt>
                <c:pt idx="2">
                  <c:v>Accountability</c:v>
                </c:pt>
                <c:pt idx="3">
                  <c:v>Cultural Competence</c:v>
                </c:pt>
                <c:pt idx="4">
                  <c:v>Communication</c:v>
                </c:pt>
                <c:pt idx="5">
                  <c:v>Self Assess-Lifelong Learning</c:v>
                </c:pt>
                <c:pt idx="6">
                  <c:v>Clinical Problem Solving</c:v>
                </c:pt>
                <c:pt idx="7">
                  <c:v>Interventions-TherEx</c:v>
                </c:pt>
                <c:pt idx="8">
                  <c:v>Interventions-TherTech</c:v>
                </c:pt>
                <c:pt idx="9">
                  <c:v>Interventions-PhysAg &amp; MechMod</c:v>
                </c:pt>
                <c:pt idx="10">
                  <c:v>Interventions-ElectroMod</c:v>
                </c:pt>
                <c:pt idx="11">
                  <c:v>Interventions-FunctTrain</c:v>
                </c:pt>
                <c:pt idx="12">
                  <c:v>Documentation</c:v>
                </c:pt>
                <c:pt idx="13">
                  <c:v>Resource Management</c:v>
                </c:pt>
              </c:strCache>
            </c:strRef>
          </c:cat>
          <c:val>
            <c:numRef>
              <c:f>'Second Clinical All'!$B$2:$B$15</c:f>
              <c:numCache>
                <c:formatCode>General</c:formatCode>
                <c:ptCount val="14"/>
                <c:pt idx="0">
                  <c:v>6.56</c:v>
                </c:pt>
                <c:pt idx="1">
                  <c:v>6.81</c:v>
                </c:pt>
                <c:pt idx="2">
                  <c:v>6.78</c:v>
                </c:pt>
                <c:pt idx="3">
                  <c:v>6.99</c:v>
                </c:pt>
                <c:pt idx="4">
                  <c:v>6.26</c:v>
                </c:pt>
                <c:pt idx="5">
                  <c:v>6.65</c:v>
                </c:pt>
                <c:pt idx="6">
                  <c:v>6.12</c:v>
                </c:pt>
                <c:pt idx="7">
                  <c:v>6.37</c:v>
                </c:pt>
                <c:pt idx="8">
                  <c:v>6.07</c:v>
                </c:pt>
                <c:pt idx="9">
                  <c:v>6.5</c:v>
                </c:pt>
                <c:pt idx="10">
                  <c:v>6.3</c:v>
                </c:pt>
                <c:pt idx="11">
                  <c:v>6.24</c:v>
                </c:pt>
                <c:pt idx="12">
                  <c:v>6.12</c:v>
                </c:pt>
                <c:pt idx="13">
                  <c:v>6.26</c:v>
                </c:pt>
              </c:numCache>
            </c:numRef>
          </c:val>
        </c:ser>
        <c:ser>
          <c:idx val="1"/>
          <c:order val="1"/>
          <c:tx>
            <c:strRef>
              <c:f>'Second Clinical All'!$C$1</c:f>
              <c:strCache>
                <c:ptCount val="1"/>
                <c:pt idx="0">
                  <c:v>Avg Rating at Final</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'Second Clinical All'!$A$2:$A$15</c:f>
              <c:strCache>
                <c:ptCount val="14"/>
                <c:pt idx="0">
                  <c:v>Safety</c:v>
                </c:pt>
                <c:pt idx="1">
                  <c:v>Clinical Behavior</c:v>
                </c:pt>
                <c:pt idx="2">
                  <c:v>Accountability</c:v>
                </c:pt>
                <c:pt idx="3">
                  <c:v>Cultural Competence</c:v>
                </c:pt>
                <c:pt idx="4">
                  <c:v>Communication</c:v>
                </c:pt>
                <c:pt idx="5">
                  <c:v>Self Assess-Lifelong Learning</c:v>
                </c:pt>
                <c:pt idx="6">
                  <c:v>Clinical Problem Solving</c:v>
                </c:pt>
                <c:pt idx="7">
                  <c:v>Interventions-TherEx</c:v>
                </c:pt>
                <c:pt idx="8">
                  <c:v>Interventions-TherTech</c:v>
                </c:pt>
                <c:pt idx="9">
                  <c:v>Interventions-PhysAg &amp; MechMod</c:v>
                </c:pt>
                <c:pt idx="10">
                  <c:v>Interventions-ElectroMod</c:v>
                </c:pt>
                <c:pt idx="11">
                  <c:v>Interventions-FunctTrain</c:v>
                </c:pt>
                <c:pt idx="12">
                  <c:v>Documentation</c:v>
                </c:pt>
                <c:pt idx="13">
                  <c:v>Resource Management</c:v>
                </c:pt>
              </c:strCache>
            </c:strRef>
          </c:cat>
          <c:val>
            <c:numRef>
              <c:f>'Second Clinical All'!$C$2:$C$15</c:f>
              <c:numCache>
                <c:formatCode>General</c:formatCode>
                <c:ptCount val="14"/>
                <c:pt idx="0">
                  <c:v>8.02</c:v>
                </c:pt>
                <c:pt idx="1">
                  <c:v>8.1199999999999992</c:v>
                </c:pt>
                <c:pt idx="2">
                  <c:v>8.0299999999999994</c:v>
                </c:pt>
                <c:pt idx="3">
                  <c:v>8.1199999999999992</c:v>
                </c:pt>
                <c:pt idx="4">
                  <c:v>7.83</c:v>
                </c:pt>
                <c:pt idx="5">
                  <c:v>7.95</c:v>
                </c:pt>
                <c:pt idx="6">
                  <c:v>7.8</c:v>
                </c:pt>
                <c:pt idx="7">
                  <c:v>7.92</c:v>
                </c:pt>
                <c:pt idx="8">
                  <c:v>7.89</c:v>
                </c:pt>
                <c:pt idx="9">
                  <c:v>7.82</c:v>
                </c:pt>
                <c:pt idx="10">
                  <c:v>7.8</c:v>
                </c:pt>
                <c:pt idx="11">
                  <c:v>7.92</c:v>
                </c:pt>
                <c:pt idx="12">
                  <c:v>7.89</c:v>
                </c:pt>
                <c:pt idx="13">
                  <c:v>7.94</c:v>
                </c:pt>
              </c:numCache>
            </c:numRef>
          </c:val>
        </c:ser>
        <c:dLbls>
          <c:showLegendKey val="0"/>
          <c:showVal val="0"/>
          <c:showCatName val="0"/>
          <c:showSerName val="0"/>
          <c:showPercent val="0"/>
          <c:showBubbleSize val="0"/>
        </c:dLbls>
        <c:gapWidth val="219"/>
        <c:overlap val="-27"/>
        <c:axId val="275703216"/>
        <c:axId val="275703608"/>
      </c:barChart>
      <c:catAx>
        <c:axId val="275703216"/>
        <c:scaling>
          <c:orientation val="minMax"/>
        </c:scaling>
        <c:delete val="0"/>
        <c:axPos val="b"/>
        <c:title>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75703608"/>
        <c:crosses val="autoZero"/>
        <c:auto val="1"/>
        <c:lblAlgn val="ctr"/>
        <c:lblOffset val="100"/>
        <c:noMultiLvlLbl val="0"/>
      </c:catAx>
      <c:valAx>
        <c:axId val="275703608"/>
        <c:scaling>
          <c:orientation val="minMax"/>
          <c:max val="10"/>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CPI Rating (0-10)</a:t>
                </a:r>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75703216"/>
        <c:crosses val="autoZero"/>
        <c:crossBetween val="between"/>
        <c:majorUnit val="2"/>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First Semester</a:t>
            </a:r>
            <a:r>
              <a:rPr lang="en-US" baseline="0"/>
              <a:t> Attrition</a:t>
            </a:r>
            <a:endParaRPr lang="en-US"/>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stacked"/>
        <c:varyColors val="0"/>
        <c:ser>
          <c:idx val="0"/>
          <c:order val="0"/>
          <c:tx>
            <c:strRef>
              <c:f>'1st Term Attrition'!$C$1</c:f>
              <c:strCache>
                <c:ptCount val="1"/>
                <c:pt idx="0">
                  <c:v>Successful</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multiLvlStrRef>
              <c:f>'1st Term Attrition'!$A$2:$B$7</c:f>
              <c:multiLvlStrCache>
                <c:ptCount val="6"/>
                <c:lvl>
                  <c:pt idx="0">
                    <c:v>Dayton</c:v>
                  </c:pt>
                  <c:pt idx="1">
                    <c:v>CVCC</c:v>
                  </c:pt>
                  <c:pt idx="2">
                    <c:v>Dayton</c:v>
                  </c:pt>
                  <c:pt idx="3">
                    <c:v>CVCC</c:v>
                  </c:pt>
                  <c:pt idx="4">
                    <c:v>Dayton</c:v>
                  </c:pt>
                  <c:pt idx="5">
                    <c:v>CVCC</c:v>
                  </c:pt>
                </c:lvl>
                <c:lvl>
                  <c:pt idx="0">
                    <c:v>Class of 2012-14</c:v>
                  </c:pt>
                  <c:pt idx="2">
                    <c:v>Class of 2013-15</c:v>
                  </c:pt>
                  <c:pt idx="4">
                    <c:v>Class of 2014-16</c:v>
                  </c:pt>
                </c:lvl>
              </c:multiLvlStrCache>
            </c:multiLvlStrRef>
          </c:cat>
          <c:val>
            <c:numRef>
              <c:f>'1st Term Attrition'!$C$2:$C$7</c:f>
              <c:numCache>
                <c:formatCode>General</c:formatCode>
                <c:ptCount val="6"/>
                <c:pt idx="0">
                  <c:v>21</c:v>
                </c:pt>
                <c:pt idx="1">
                  <c:v>17</c:v>
                </c:pt>
                <c:pt idx="2">
                  <c:v>26</c:v>
                </c:pt>
                <c:pt idx="3">
                  <c:v>22</c:v>
                </c:pt>
                <c:pt idx="4">
                  <c:v>25</c:v>
                </c:pt>
                <c:pt idx="5">
                  <c:v>21</c:v>
                </c:pt>
              </c:numCache>
            </c:numRef>
          </c:val>
        </c:ser>
        <c:ser>
          <c:idx val="1"/>
          <c:order val="1"/>
          <c:tx>
            <c:strRef>
              <c:f>'1st Term Attrition'!$D$1</c:f>
              <c:strCache>
                <c:ptCount val="1"/>
                <c:pt idx="0">
                  <c:v>Withdrew-Personal</c:v>
                </c:pt>
              </c:strCache>
            </c:strRef>
          </c:tx>
          <c:spPr>
            <a:solidFill>
              <a:schemeClr val="accent2"/>
            </a:solidFill>
            <a:ln>
              <a:noFill/>
            </a:ln>
            <a:effectLst/>
          </c:spPr>
          <c:invertIfNegative val="0"/>
          <c:dLbls>
            <c:dLbl>
              <c:idx val="3"/>
              <c:delete val="1"/>
              <c:extLst>
                <c:ext xmlns:c15="http://schemas.microsoft.com/office/drawing/2012/chart" uri="{CE6537A1-D6FC-4f65-9D91-7224C49458BB}"/>
              </c:extLst>
            </c:dLbl>
            <c:dLbl>
              <c:idx val="5"/>
              <c:delete val="1"/>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multiLvlStrRef>
              <c:f>'1st Term Attrition'!$A$2:$B$7</c:f>
              <c:multiLvlStrCache>
                <c:ptCount val="6"/>
                <c:lvl>
                  <c:pt idx="0">
                    <c:v>Dayton</c:v>
                  </c:pt>
                  <c:pt idx="1">
                    <c:v>CVCC</c:v>
                  </c:pt>
                  <c:pt idx="2">
                    <c:v>Dayton</c:v>
                  </c:pt>
                  <c:pt idx="3">
                    <c:v>CVCC</c:v>
                  </c:pt>
                  <c:pt idx="4">
                    <c:v>Dayton</c:v>
                  </c:pt>
                  <c:pt idx="5">
                    <c:v>CVCC</c:v>
                  </c:pt>
                </c:lvl>
                <c:lvl>
                  <c:pt idx="0">
                    <c:v>Class of 2012-14</c:v>
                  </c:pt>
                  <c:pt idx="2">
                    <c:v>Class of 2013-15</c:v>
                  </c:pt>
                  <c:pt idx="4">
                    <c:v>Class of 2014-16</c:v>
                  </c:pt>
                </c:lvl>
              </c:multiLvlStrCache>
            </c:multiLvlStrRef>
          </c:cat>
          <c:val>
            <c:numRef>
              <c:f>'1st Term Attrition'!$D$2:$D$7</c:f>
              <c:numCache>
                <c:formatCode>General</c:formatCode>
                <c:ptCount val="6"/>
                <c:pt idx="0">
                  <c:v>4</c:v>
                </c:pt>
                <c:pt idx="1">
                  <c:v>3</c:v>
                </c:pt>
                <c:pt idx="2">
                  <c:v>2</c:v>
                </c:pt>
                <c:pt idx="3">
                  <c:v>0</c:v>
                </c:pt>
                <c:pt idx="4">
                  <c:v>3</c:v>
                </c:pt>
                <c:pt idx="5">
                  <c:v>0</c:v>
                </c:pt>
              </c:numCache>
            </c:numRef>
          </c:val>
        </c:ser>
        <c:ser>
          <c:idx val="2"/>
          <c:order val="2"/>
          <c:tx>
            <c:strRef>
              <c:f>'1st Term Attrition'!$E$1</c:f>
              <c:strCache>
                <c:ptCount val="1"/>
                <c:pt idx="0">
                  <c:v>Academic Failure</c:v>
                </c:pt>
              </c:strCache>
            </c:strRef>
          </c:tx>
          <c:spPr>
            <a:solidFill>
              <a:schemeClr val="accent3"/>
            </a:solidFill>
            <a:ln>
              <a:noFill/>
            </a:ln>
            <a:effectLst/>
          </c:spPr>
          <c:invertIfNegative val="0"/>
          <c:dLbls>
            <c:dLbl>
              <c:idx val="2"/>
              <c:delete val="1"/>
              <c:extLst>
                <c:ext xmlns:c15="http://schemas.microsoft.com/office/drawing/2012/chart" uri="{CE6537A1-D6FC-4f65-9D91-7224C49458BB}"/>
              </c:extLst>
            </c:dLbl>
            <c:dLbl>
              <c:idx val="3"/>
              <c:delete val="1"/>
              <c:extLst>
                <c:ext xmlns:c15="http://schemas.microsoft.com/office/drawing/2012/chart" uri="{CE6537A1-D6FC-4f65-9D91-7224C49458BB}"/>
              </c:extLst>
            </c:dLbl>
            <c:dLbl>
              <c:idx val="4"/>
              <c:delete val="1"/>
              <c:extLst>
                <c:ext xmlns:c15="http://schemas.microsoft.com/office/drawing/2012/chart" uri="{CE6537A1-D6FC-4f65-9D91-7224C49458BB}"/>
              </c:extLst>
            </c:dLbl>
            <c:dLbl>
              <c:idx val="5"/>
              <c:delete val="1"/>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multiLvlStrRef>
              <c:f>'1st Term Attrition'!$A$2:$B$7</c:f>
              <c:multiLvlStrCache>
                <c:ptCount val="6"/>
                <c:lvl>
                  <c:pt idx="0">
                    <c:v>Dayton</c:v>
                  </c:pt>
                  <c:pt idx="1">
                    <c:v>CVCC</c:v>
                  </c:pt>
                  <c:pt idx="2">
                    <c:v>Dayton</c:v>
                  </c:pt>
                  <c:pt idx="3">
                    <c:v>CVCC</c:v>
                  </c:pt>
                  <c:pt idx="4">
                    <c:v>Dayton</c:v>
                  </c:pt>
                  <c:pt idx="5">
                    <c:v>CVCC</c:v>
                  </c:pt>
                </c:lvl>
                <c:lvl>
                  <c:pt idx="0">
                    <c:v>Class of 2012-14</c:v>
                  </c:pt>
                  <c:pt idx="2">
                    <c:v>Class of 2013-15</c:v>
                  </c:pt>
                  <c:pt idx="4">
                    <c:v>Class of 2014-16</c:v>
                  </c:pt>
                </c:lvl>
              </c:multiLvlStrCache>
            </c:multiLvlStrRef>
          </c:cat>
          <c:val>
            <c:numRef>
              <c:f>'1st Term Attrition'!$E$2:$E$7</c:f>
              <c:numCache>
                <c:formatCode>General</c:formatCode>
                <c:ptCount val="6"/>
                <c:pt idx="0">
                  <c:v>4</c:v>
                </c:pt>
                <c:pt idx="1">
                  <c:v>2</c:v>
                </c:pt>
                <c:pt idx="2">
                  <c:v>0</c:v>
                </c:pt>
                <c:pt idx="3">
                  <c:v>0</c:v>
                </c:pt>
                <c:pt idx="4">
                  <c:v>0</c:v>
                </c:pt>
                <c:pt idx="5">
                  <c:v>0</c:v>
                </c:pt>
              </c:numCache>
            </c:numRef>
          </c:val>
        </c:ser>
        <c:dLbls>
          <c:dLblPos val="ctr"/>
          <c:showLegendKey val="0"/>
          <c:showVal val="1"/>
          <c:showCatName val="0"/>
          <c:showSerName val="0"/>
          <c:showPercent val="0"/>
          <c:showBubbleSize val="0"/>
        </c:dLbls>
        <c:gapWidth val="150"/>
        <c:overlap val="100"/>
        <c:axId val="275704392"/>
        <c:axId val="275704784"/>
      </c:barChart>
      <c:catAx>
        <c:axId val="2757043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75704784"/>
        <c:crosses val="autoZero"/>
        <c:auto val="1"/>
        <c:lblAlgn val="ctr"/>
        <c:lblOffset val="100"/>
        <c:noMultiLvlLbl val="0"/>
      </c:catAx>
      <c:valAx>
        <c:axId val="275704784"/>
        <c:scaling>
          <c:orientation val="minMax"/>
          <c:max val="30"/>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 of Students</a:t>
                </a:r>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75704392"/>
        <c:crosses val="autoZero"/>
        <c:crossBetween val="between"/>
        <c:majorUnit val="5"/>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Second Semester</a:t>
            </a:r>
            <a:r>
              <a:rPr lang="en-US" baseline="0"/>
              <a:t> Attrition</a:t>
            </a:r>
            <a:endParaRPr lang="en-US"/>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stacked"/>
        <c:varyColors val="0"/>
        <c:ser>
          <c:idx val="0"/>
          <c:order val="0"/>
          <c:tx>
            <c:strRef>
              <c:f>'2nd Term Attrition'!$E$1</c:f>
              <c:strCache>
                <c:ptCount val="1"/>
                <c:pt idx="0">
                  <c:v>Successful</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multiLvlStrRef>
              <c:f>'2nd Term Attrition'!$A$2:$B$5</c:f>
              <c:multiLvlStrCache>
                <c:ptCount val="4"/>
                <c:lvl>
                  <c:pt idx="0">
                    <c:v>Dayton</c:v>
                  </c:pt>
                  <c:pt idx="1">
                    <c:v>CVCC</c:v>
                  </c:pt>
                  <c:pt idx="2">
                    <c:v>Dayton</c:v>
                  </c:pt>
                  <c:pt idx="3">
                    <c:v>CVCC</c:v>
                  </c:pt>
                </c:lvl>
                <c:lvl>
                  <c:pt idx="0">
                    <c:v>Class of 2012-14</c:v>
                  </c:pt>
                  <c:pt idx="2">
                    <c:v>Class of 2013-15</c:v>
                  </c:pt>
                </c:lvl>
              </c:multiLvlStrCache>
            </c:multiLvlStrRef>
          </c:cat>
          <c:val>
            <c:numRef>
              <c:f>'2nd Term Attrition'!$E$2:$E$5</c:f>
              <c:numCache>
                <c:formatCode>General</c:formatCode>
                <c:ptCount val="4"/>
                <c:pt idx="0">
                  <c:v>16</c:v>
                </c:pt>
                <c:pt idx="1">
                  <c:v>14</c:v>
                </c:pt>
                <c:pt idx="2">
                  <c:v>25</c:v>
                </c:pt>
                <c:pt idx="3">
                  <c:v>18</c:v>
                </c:pt>
              </c:numCache>
            </c:numRef>
          </c:val>
        </c:ser>
        <c:ser>
          <c:idx val="1"/>
          <c:order val="1"/>
          <c:tx>
            <c:strRef>
              <c:f>'2nd Term Attrition'!$F$1</c:f>
              <c:strCache>
                <c:ptCount val="1"/>
                <c:pt idx="0">
                  <c:v>Withdrew-Personal</c:v>
                </c:pt>
              </c:strCache>
            </c:strRef>
          </c:tx>
          <c:spPr>
            <a:solidFill>
              <a:schemeClr val="accent2"/>
            </a:solidFill>
            <a:ln>
              <a:noFill/>
            </a:ln>
            <a:effectLst/>
          </c:spPr>
          <c:invertIfNegative val="0"/>
          <c:dLbls>
            <c:dLbl>
              <c:idx val="0"/>
              <c:layout>
                <c:manualLayout>
                  <c:x val="2.7777777777777779E-3"/>
                  <c:y val="2.7777777777777776E-2"/>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1"/>
              <c:delete val="1"/>
              <c:extLst>
                <c:ext xmlns:c15="http://schemas.microsoft.com/office/drawing/2012/chart" uri="{CE6537A1-D6FC-4f65-9D91-7224C49458BB}"/>
              </c:extLst>
            </c:dLbl>
            <c:dLbl>
              <c:idx val="2"/>
              <c:delete val="1"/>
              <c:extLst>
                <c:ext xmlns:c15="http://schemas.microsoft.com/office/drawing/2012/chart" uri="{CE6537A1-D6FC-4f65-9D91-7224C49458BB}"/>
              </c:extLst>
            </c:dLbl>
            <c:dLbl>
              <c:idx val="3"/>
              <c:delete val="1"/>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'2nd Term Attrition'!$A$2:$B$5</c:f>
              <c:multiLvlStrCache>
                <c:ptCount val="4"/>
                <c:lvl>
                  <c:pt idx="0">
                    <c:v>Dayton</c:v>
                  </c:pt>
                  <c:pt idx="1">
                    <c:v>CVCC</c:v>
                  </c:pt>
                  <c:pt idx="2">
                    <c:v>Dayton</c:v>
                  </c:pt>
                  <c:pt idx="3">
                    <c:v>CVCC</c:v>
                  </c:pt>
                </c:lvl>
                <c:lvl>
                  <c:pt idx="0">
                    <c:v>Class of 2012-14</c:v>
                  </c:pt>
                  <c:pt idx="2">
                    <c:v>Class of 2013-15</c:v>
                  </c:pt>
                </c:lvl>
              </c:multiLvlStrCache>
            </c:multiLvlStrRef>
          </c:cat>
          <c:val>
            <c:numRef>
              <c:f>'2nd Term Attrition'!$F$2:$F$5</c:f>
              <c:numCache>
                <c:formatCode>General</c:formatCode>
                <c:ptCount val="4"/>
                <c:pt idx="0">
                  <c:v>1</c:v>
                </c:pt>
                <c:pt idx="1">
                  <c:v>0</c:v>
                </c:pt>
                <c:pt idx="2">
                  <c:v>0</c:v>
                </c:pt>
                <c:pt idx="3">
                  <c:v>0</c:v>
                </c:pt>
              </c:numCache>
            </c:numRef>
          </c:val>
        </c:ser>
        <c:ser>
          <c:idx val="2"/>
          <c:order val="2"/>
          <c:tx>
            <c:strRef>
              <c:f>'2nd Term Attrition'!$G$1</c:f>
              <c:strCache>
                <c:ptCount val="1"/>
                <c:pt idx="0">
                  <c:v>Academic Failure</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multiLvlStrRef>
              <c:f>'2nd Term Attrition'!$A$2:$B$5</c:f>
              <c:multiLvlStrCache>
                <c:ptCount val="4"/>
                <c:lvl>
                  <c:pt idx="0">
                    <c:v>Dayton</c:v>
                  </c:pt>
                  <c:pt idx="1">
                    <c:v>CVCC</c:v>
                  </c:pt>
                  <c:pt idx="2">
                    <c:v>Dayton</c:v>
                  </c:pt>
                  <c:pt idx="3">
                    <c:v>CVCC</c:v>
                  </c:pt>
                </c:lvl>
                <c:lvl>
                  <c:pt idx="0">
                    <c:v>Class of 2012-14</c:v>
                  </c:pt>
                  <c:pt idx="2">
                    <c:v>Class of 2013-15</c:v>
                  </c:pt>
                </c:lvl>
              </c:multiLvlStrCache>
            </c:multiLvlStrRef>
          </c:cat>
          <c:val>
            <c:numRef>
              <c:f>'2nd Term Attrition'!$G$2:$G$5</c:f>
              <c:numCache>
                <c:formatCode>General</c:formatCode>
                <c:ptCount val="4"/>
                <c:pt idx="0">
                  <c:v>4</c:v>
                </c:pt>
                <c:pt idx="1">
                  <c:v>3</c:v>
                </c:pt>
                <c:pt idx="2">
                  <c:v>5</c:v>
                </c:pt>
                <c:pt idx="3">
                  <c:v>4</c:v>
                </c:pt>
              </c:numCache>
            </c:numRef>
          </c:val>
        </c:ser>
        <c:dLbls>
          <c:dLblPos val="ctr"/>
          <c:showLegendKey val="0"/>
          <c:showVal val="1"/>
          <c:showCatName val="0"/>
          <c:showSerName val="0"/>
          <c:showPercent val="0"/>
          <c:showBubbleSize val="0"/>
        </c:dLbls>
        <c:gapWidth val="150"/>
        <c:overlap val="100"/>
        <c:axId val="275705568"/>
        <c:axId val="275705960"/>
      </c:barChart>
      <c:catAx>
        <c:axId val="2757055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75705960"/>
        <c:crosses val="autoZero"/>
        <c:auto val="1"/>
        <c:lblAlgn val="ctr"/>
        <c:lblOffset val="100"/>
        <c:noMultiLvlLbl val="0"/>
      </c:catAx>
      <c:valAx>
        <c:axId val="275705960"/>
        <c:scaling>
          <c:orientation val="minMax"/>
          <c:max val="3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 of Students</a:t>
                </a:r>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75705568"/>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Grad/Licensure/Employment</a:t>
            </a:r>
            <a:r>
              <a:rPr lang="en-US" baseline="0"/>
              <a:t> Rates - Dayton</a:t>
            </a:r>
            <a:endParaRPr lang="en-US"/>
          </a:p>
        </c:rich>
      </c:tx>
      <c:layout>
        <c:manualLayout>
          <c:xMode val="edge"/>
          <c:yMode val="edge"/>
          <c:x val="0.13290184642121389"/>
          <c:y val="2.4945464812849812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Dayton!$A$2</c:f>
              <c:strCache>
                <c:ptCount val="1"/>
                <c:pt idx="0">
                  <c:v>2012</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Dayton!$B$1:$D$1</c:f>
              <c:strCache>
                <c:ptCount val="3"/>
                <c:pt idx="0">
                  <c:v>Grad Rate</c:v>
                </c:pt>
                <c:pt idx="1">
                  <c:v>Licensure Exam Pass Rate</c:v>
                </c:pt>
                <c:pt idx="2">
                  <c:v>Employment Rate (of Licensed Grads)</c:v>
                </c:pt>
              </c:strCache>
            </c:strRef>
          </c:cat>
          <c:val>
            <c:numRef>
              <c:f>Dayton!$B$2:$D$2</c:f>
              <c:numCache>
                <c:formatCode>General</c:formatCode>
                <c:ptCount val="3"/>
                <c:pt idx="0">
                  <c:v>52.9</c:v>
                </c:pt>
                <c:pt idx="1">
                  <c:v>100</c:v>
                </c:pt>
                <c:pt idx="2">
                  <c:v>100</c:v>
                </c:pt>
              </c:numCache>
            </c:numRef>
          </c:val>
        </c:ser>
        <c:ser>
          <c:idx val="1"/>
          <c:order val="1"/>
          <c:tx>
            <c:strRef>
              <c:f>Dayton!$A$3</c:f>
              <c:strCache>
                <c:ptCount val="1"/>
                <c:pt idx="0">
                  <c:v>2013</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Dayton!$B$1:$D$1</c:f>
              <c:strCache>
                <c:ptCount val="3"/>
                <c:pt idx="0">
                  <c:v>Grad Rate</c:v>
                </c:pt>
                <c:pt idx="1">
                  <c:v>Licensure Exam Pass Rate</c:v>
                </c:pt>
                <c:pt idx="2">
                  <c:v>Employment Rate (of Licensed Grads)</c:v>
                </c:pt>
              </c:strCache>
            </c:strRef>
          </c:cat>
          <c:val>
            <c:numRef>
              <c:f>Dayton!$B$3:$D$3</c:f>
              <c:numCache>
                <c:formatCode>General</c:formatCode>
                <c:ptCount val="3"/>
                <c:pt idx="0">
                  <c:v>67.8</c:v>
                </c:pt>
                <c:pt idx="1">
                  <c:v>94.7</c:v>
                </c:pt>
                <c:pt idx="2">
                  <c:v>89.5</c:v>
                </c:pt>
              </c:numCache>
            </c:numRef>
          </c:val>
        </c:ser>
        <c:ser>
          <c:idx val="2"/>
          <c:order val="2"/>
          <c:tx>
            <c:strRef>
              <c:f>Dayton!$A$4</c:f>
              <c:strCache>
                <c:ptCount val="1"/>
                <c:pt idx="0">
                  <c:v>2014</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Dayton!$B$1:$D$1</c:f>
              <c:strCache>
                <c:ptCount val="3"/>
                <c:pt idx="0">
                  <c:v>Grad Rate</c:v>
                </c:pt>
                <c:pt idx="1">
                  <c:v>Licensure Exam Pass Rate</c:v>
                </c:pt>
                <c:pt idx="2">
                  <c:v>Employment Rate (of Licensed Grads)</c:v>
                </c:pt>
              </c:strCache>
            </c:strRef>
          </c:cat>
          <c:val>
            <c:numRef>
              <c:f>Dayton!$B$4:$D$4</c:f>
              <c:numCache>
                <c:formatCode>General</c:formatCode>
                <c:ptCount val="3"/>
                <c:pt idx="0">
                  <c:v>57.1</c:v>
                </c:pt>
                <c:pt idx="1">
                  <c:v>81</c:v>
                </c:pt>
                <c:pt idx="2">
                  <c:v>77</c:v>
                </c:pt>
              </c:numCache>
            </c:numRef>
          </c:val>
        </c:ser>
        <c:dLbls>
          <c:dLblPos val="outEnd"/>
          <c:showLegendKey val="0"/>
          <c:showVal val="1"/>
          <c:showCatName val="0"/>
          <c:showSerName val="0"/>
          <c:showPercent val="0"/>
          <c:showBubbleSize val="0"/>
        </c:dLbls>
        <c:gapWidth val="219"/>
        <c:overlap val="-27"/>
        <c:axId val="262918816"/>
        <c:axId val="262919208"/>
      </c:barChart>
      <c:catAx>
        <c:axId val="262918816"/>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62919208"/>
        <c:crosses val="autoZero"/>
        <c:auto val="1"/>
        <c:lblAlgn val="ctr"/>
        <c:lblOffset val="100"/>
        <c:noMultiLvlLbl val="0"/>
      </c:catAx>
      <c:valAx>
        <c:axId val="262919208"/>
        <c:scaling>
          <c:orientation val="minMax"/>
          <c:max val="1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Percentage</a:t>
                </a:r>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62918816"/>
        <c:crosses val="autoZero"/>
        <c:crossBetween val="between"/>
        <c:majorUnit val="20"/>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Third Semester Attrition</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stacked"/>
        <c:varyColors val="0"/>
        <c:ser>
          <c:idx val="0"/>
          <c:order val="0"/>
          <c:tx>
            <c:strRef>
              <c:f>'Third Term Attrition'!$E$1</c:f>
              <c:strCache>
                <c:ptCount val="1"/>
                <c:pt idx="0">
                  <c:v>Successful</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multiLvlStrRef>
              <c:f>'Third Term Attrition'!$A$2:$B$5</c:f>
              <c:multiLvlStrCache>
                <c:ptCount val="4"/>
                <c:lvl>
                  <c:pt idx="0">
                    <c:v>Dayton</c:v>
                  </c:pt>
                  <c:pt idx="1">
                    <c:v>CVCC</c:v>
                  </c:pt>
                  <c:pt idx="2">
                    <c:v>Dayton</c:v>
                  </c:pt>
                  <c:pt idx="3">
                    <c:v>CVCC</c:v>
                  </c:pt>
                </c:lvl>
                <c:lvl>
                  <c:pt idx="0">
                    <c:v>Class of 2012-14</c:v>
                  </c:pt>
                  <c:pt idx="2">
                    <c:v>Class of 2013-15</c:v>
                  </c:pt>
                </c:lvl>
              </c:multiLvlStrCache>
            </c:multiLvlStrRef>
          </c:cat>
          <c:val>
            <c:numRef>
              <c:f>'Third Term Attrition'!$E$2:$E$5</c:f>
              <c:numCache>
                <c:formatCode>General</c:formatCode>
                <c:ptCount val="4"/>
                <c:pt idx="0">
                  <c:v>16</c:v>
                </c:pt>
                <c:pt idx="1">
                  <c:v>14</c:v>
                </c:pt>
                <c:pt idx="2">
                  <c:v>22</c:v>
                </c:pt>
                <c:pt idx="3">
                  <c:v>16</c:v>
                </c:pt>
              </c:numCache>
            </c:numRef>
          </c:val>
        </c:ser>
        <c:ser>
          <c:idx val="1"/>
          <c:order val="1"/>
          <c:tx>
            <c:strRef>
              <c:f>'Third Term Attrition'!$F$1</c:f>
              <c:strCache>
                <c:ptCount val="1"/>
                <c:pt idx="0">
                  <c:v>Withdrew-Personal</c:v>
                </c:pt>
              </c:strCache>
            </c:strRef>
          </c:tx>
          <c:spPr>
            <a:solidFill>
              <a:schemeClr val="accent2"/>
            </a:solidFill>
            <a:ln>
              <a:noFill/>
            </a:ln>
            <a:effectLst/>
          </c:spPr>
          <c:invertIfNegative val="0"/>
          <c:dLbls>
            <c:dLbl>
              <c:idx val="0"/>
              <c:delete val="1"/>
              <c:extLst>
                <c:ext xmlns:c15="http://schemas.microsoft.com/office/drawing/2012/chart" uri="{CE6537A1-D6FC-4f65-9D91-7224C49458BB}"/>
              </c:extLst>
            </c:dLbl>
            <c:dLbl>
              <c:idx val="1"/>
              <c:delete val="1"/>
              <c:extLst>
                <c:ext xmlns:c15="http://schemas.microsoft.com/office/drawing/2012/chart" uri="{CE6537A1-D6FC-4f65-9D91-7224C49458BB}"/>
              </c:extLst>
            </c:dLbl>
            <c:dLbl>
              <c:idx val="2"/>
              <c:layout>
                <c:manualLayout>
                  <c:x val="1.4652014652014652E-2"/>
                  <c:y val="3.5279748447285673E-2"/>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3"/>
              <c:delete val="1"/>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'Third Term Attrition'!$A$2:$B$5</c:f>
              <c:multiLvlStrCache>
                <c:ptCount val="4"/>
                <c:lvl>
                  <c:pt idx="0">
                    <c:v>Dayton</c:v>
                  </c:pt>
                  <c:pt idx="1">
                    <c:v>CVCC</c:v>
                  </c:pt>
                  <c:pt idx="2">
                    <c:v>Dayton</c:v>
                  </c:pt>
                  <c:pt idx="3">
                    <c:v>CVCC</c:v>
                  </c:pt>
                </c:lvl>
                <c:lvl>
                  <c:pt idx="0">
                    <c:v>Class of 2012-14</c:v>
                  </c:pt>
                  <c:pt idx="2">
                    <c:v>Class of 2013-15</c:v>
                  </c:pt>
                </c:lvl>
              </c:multiLvlStrCache>
            </c:multiLvlStrRef>
          </c:cat>
          <c:val>
            <c:numRef>
              <c:f>'Third Term Attrition'!$F$2:$F$5</c:f>
              <c:numCache>
                <c:formatCode>General</c:formatCode>
                <c:ptCount val="4"/>
                <c:pt idx="0">
                  <c:v>0</c:v>
                </c:pt>
                <c:pt idx="1">
                  <c:v>0</c:v>
                </c:pt>
                <c:pt idx="2">
                  <c:v>1</c:v>
                </c:pt>
                <c:pt idx="3">
                  <c:v>0</c:v>
                </c:pt>
              </c:numCache>
            </c:numRef>
          </c:val>
        </c:ser>
        <c:ser>
          <c:idx val="2"/>
          <c:order val="2"/>
          <c:tx>
            <c:strRef>
              <c:f>'Third Term Attrition'!$G$1</c:f>
              <c:strCache>
                <c:ptCount val="1"/>
                <c:pt idx="0">
                  <c:v>Academic Failure</c:v>
                </c:pt>
              </c:strCache>
            </c:strRef>
          </c:tx>
          <c:spPr>
            <a:solidFill>
              <a:schemeClr val="accent3"/>
            </a:solidFill>
            <a:ln>
              <a:noFill/>
            </a:ln>
            <a:effectLst/>
          </c:spPr>
          <c:invertIfNegative val="0"/>
          <c:dLbls>
            <c:dLbl>
              <c:idx val="0"/>
              <c:delete val="1"/>
              <c:extLst>
                <c:ext xmlns:c15="http://schemas.microsoft.com/office/drawing/2012/chart" uri="{CE6537A1-D6FC-4f65-9D91-7224C49458BB}"/>
              </c:extLst>
            </c:dLbl>
            <c:dLbl>
              <c:idx val="1"/>
              <c:delete val="1"/>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multiLvlStrRef>
              <c:f>'Third Term Attrition'!$A$2:$B$5</c:f>
              <c:multiLvlStrCache>
                <c:ptCount val="4"/>
                <c:lvl>
                  <c:pt idx="0">
                    <c:v>Dayton</c:v>
                  </c:pt>
                  <c:pt idx="1">
                    <c:v>CVCC</c:v>
                  </c:pt>
                  <c:pt idx="2">
                    <c:v>Dayton</c:v>
                  </c:pt>
                  <c:pt idx="3">
                    <c:v>CVCC</c:v>
                  </c:pt>
                </c:lvl>
                <c:lvl>
                  <c:pt idx="0">
                    <c:v>Class of 2012-14</c:v>
                  </c:pt>
                  <c:pt idx="2">
                    <c:v>Class of 2013-15</c:v>
                  </c:pt>
                </c:lvl>
              </c:multiLvlStrCache>
            </c:multiLvlStrRef>
          </c:cat>
          <c:val>
            <c:numRef>
              <c:f>'Third Term Attrition'!$G$2:$G$5</c:f>
              <c:numCache>
                <c:formatCode>General</c:formatCode>
                <c:ptCount val="4"/>
                <c:pt idx="0">
                  <c:v>0</c:v>
                </c:pt>
                <c:pt idx="1">
                  <c:v>0</c:v>
                </c:pt>
                <c:pt idx="2">
                  <c:v>2</c:v>
                </c:pt>
                <c:pt idx="3">
                  <c:v>2</c:v>
                </c:pt>
              </c:numCache>
            </c:numRef>
          </c:val>
        </c:ser>
        <c:dLbls>
          <c:dLblPos val="ctr"/>
          <c:showLegendKey val="0"/>
          <c:showVal val="1"/>
          <c:showCatName val="0"/>
          <c:showSerName val="0"/>
          <c:showPercent val="0"/>
          <c:showBubbleSize val="0"/>
        </c:dLbls>
        <c:gapWidth val="150"/>
        <c:overlap val="100"/>
        <c:axId val="275706744"/>
        <c:axId val="275707136"/>
      </c:barChart>
      <c:catAx>
        <c:axId val="2757067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75707136"/>
        <c:crosses val="autoZero"/>
        <c:auto val="1"/>
        <c:lblAlgn val="ctr"/>
        <c:lblOffset val="100"/>
        <c:noMultiLvlLbl val="0"/>
      </c:catAx>
      <c:valAx>
        <c:axId val="27570713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 of Students</a:t>
                </a:r>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75706744"/>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Fourth Semester Attrition</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stacked"/>
        <c:varyColors val="0"/>
        <c:ser>
          <c:idx val="0"/>
          <c:order val="0"/>
          <c:tx>
            <c:strRef>
              <c:f>'4th Term Attrition'!$E$1</c:f>
              <c:strCache>
                <c:ptCount val="1"/>
                <c:pt idx="0">
                  <c:v>Successful</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multiLvlStrRef>
              <c:f>'4th Term Attrition'!$A$2:$B$5</c:f>
              <c:multiLvlStrCache>
                <c:ptCount val="4"/>
                <c:lvl>
                  <c:pt idx="0">
                    <c:v>Dayton</c:v>
                  </c:pt>
                  <c:pt idx="1">
                    <c:v>CVCC</c:v>
                  </c:pt>
                  <c:pt idx="2">
                    <c:v>Dayton</c:v>
                  </c:pt>
                  <c:pt idx="3">
                    <c:v>CVCC</c:v>
                  </c:pt>
                </c:lvl>
                <c:lvl>
                  <c:pt idx="0">
                    <c:v>Class of 2012-14</c:v>
                  </c:pt>
                  <c:pt idx="2">
                    <c:v>Class of 2013-15 (Current Term)</c:v>
                  </c:pt>
                </c:lvl>
              </c:multiLvlStrCache>
            </c:multiLvlStrRef>
          </c:cat>
          <c:val>
            <c:numRef>
              <c:f>'4th Term Attrition'!$E$2:$E$5</c:f>
              <c:numCache>
                <c:formatCode>General</c:formatCode>
                <c:ptCount val="4"/>
                <c:pt idx="0">
                  <c:v>16</c:v>
                </c:pt>
                <c:pt idx="1">
                  <c:v>14</c:v>
                </c:pt>
                <c:pt idx="2">
                  <c:v>22</c:v>
                </c:pt>
                <c:pt idx="3">
                  <c:v>16</c:v>
                </c:pt>
              </c:numCache>
            </c:numRef>
          </c:val>
        </c:ser>
        <c:ser>
          <c:idx val="1"/>
          <c:order val="1"/>
          <c:tx>
            <c:strRef>
              <c:f>'4th Term Attrition'!$F$1</c:f>
              <c:strCache>
                <c:ptCount val="1"/>
                <c:pt idx="0">
                  <c:v>Withdrew-Personal</c:v>
                </c:pt>
              </c:strCache>
            </c:strRef>
          </c:tx>
          <c:spPr>
            <a:solidFill>
              <a:schemeClr val="accent2"/>
            </a:solidFill>
            <a:ln>
              <a:noFill/>
            </a:ln>
            <a:effectLst/>
          </c:spPr>
          <c:invertIfNegative val="0"/>
          <c:dLbls>
            <c:delete val="1"/>
          </c:dLbls>
          <c:cat>
            <c:multiLvlStrRef>
              <c:f>'4th Term Attrition'!$A$2:$B$5</c:f>
              <c:multiLvlStrCache>
                <c:ptCount val="4"/>
                <c:lvl>
                  <c:pt idx="0">
                    <c:v>Dayton</c:v>
                  </c:pt>
                  <c:pt idx="1">
                    <c:v>CVCC</c:v>
                  </c:pt>
                  <c:pt idx="2">
                    <c:v>Dayton</c:v>
                  </c:pt>
                  <c:pt idx="3">
                    <c:v>CVCC</c:v>
                  </c:pt>
                </c:lvl>
                <c:lvl>
                  <c:pt idx="0">
                    <c:v>Class of 2012-14</c:v>
                  </c:pt>
                  <c:pt idx="2">
                    <c:v>Class of 2013-15 (Current Term)</c:v>
                  </c:pt>
                </c:lvl>
              </c:multiLvlStrCache>
            </c:multiLvlStrRef>
          </c:cat>
          <c:val>
            <c:numRef>
              <c:f>'4th Term Attrition'!$F$2:$F$5</c:f>
              <c:numCache>
                <c:formatCode>General</c:formatCode>
                <c:ptCount val="4"/>
                <c:pt idx="0">
                  <c:v>0</c:v>
                </c:pt>
                <c:pt idx="1">
                  <c:v>0</c:v>
                </c:pt>
              </c:numCache>
            </c:numRef>
          </c:val>
        </c:ser>
        <c:ser>
          <c:idx val="2"/>
          <c:order val="2"/>
          <c:tx>
            <c:strRef>
              <c:f>'4th Term Attrition'!$G$1</c:f>
              <c:strCache>
                <c:ptCount val="1"/>
                <c:pt idx="0">
                  <c:v>Academic Failure</c:v>
                </c:pt>
              </c:strCache>
            </c:strRef>
          </c:tx>
          <c:spPr>
            <a:solidFill>
              <a:schemeClr val="accent3"/>
            </a:solidFill>
            <a:ln>
              <a:noFill/>
            </a:ln>
            <a:effectLst/>
          </c:spPr>
          <c:invertIfNegative val="0"/>
          <c:dLbls>
            <c:delete val="1"/>
          </c:dLbls>
          <c:cat>
            <c:multiLvlStrRef>
              <c:f>'4th Term Attrition'!$A$2:$B$5</c:f>
              <c:multiLvlStrCache>
                <c:ptCount val="4"/>
                <c:lvl>
                  <c:pt idx="0">
                    <c:v>Dayton</c:v>
                  </c:pt>
                  <c:pt idx="1">
                    <c:v>CVCC</c:v>
                  </c:pt>
                  <c:pt idx="2">
                    <c:v>Dayton</c:v>
                  </c:pt>
                  <c:pt idx="3">
                    <c:v>CVCC</c:v>
                  </c:pt>
                </c:lvl>
                <c:lvl>
                  <c:pt idx="0">
                    <c:v>Class of 2012-14</c:v>
                  </c:pt>
                  <c:pt idx="2">
                    <c:v>Class of 2013-15 (Current Term)</c:v>
                  </c:pt>
                </c:lvl>
              </c:multiLvlStrCache>
            </c:multiLvlStrRef>
          </c:cat>
          <c:val>
            <c:numRef>
              <c:f>'4th Term Attrition'!$G$2:$G$5</c:f>
              <c:numCache>
                <c:formatCode>General</c:formatCode>
                <c:ptCount val="4"/>
                <c:pt idx="0">
                  <c:v>0</c:v>
                </c:pt>
                <c:pt idx="1">
                  <c:v>0</c:v>
                </c:pt>
              </c:numCache>
            </c:numRef>
          </c:val>
        </c:ser>
        <c:dLbls>
          <c:dLblPos val="ctr"/>
          <c:showLegendKey val="0"/>
          <c:showVal val="1"/>
          <c:showCatName val="0"/>
          <c:showSerName val="0"/>
          <c:showPercent val="0"/>
          <c:showBubbleSize val="0"/>
        </c:dLbls>
        <c:gapWidth val="150"/>
        <c:overlap val="100"/>
        <c:axId val="275707920"/>
        <c:axId val="275708312"/>
      </c:barChart>
      <c:catAx>
        <c:axId val="2757079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75708312"/>
        <c:crosses val="autoZero"/>
        <c:auto val="1"/>
        <c:lblAlgn val="ctr"/>
        <c:lblOffset val="100"/>
        <c:noMultiLvlLbl val="0"/>
      </c:catAx>
      <c:valAx>
        <c:axId val="27570831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 of Students</a:t>
                </a:r>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75707920"/>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Grad/Licensure/Employment Rates</a:t>
            </a:r>
          </a:p>
        </c:rich>
      </c:tx>
      <c:layout>
        <c:manualLayout>
          <c:xMode val="edge"/>
          <c:yMode val="edge"/>
          <c:x val="0.21563188976377953"/>
          <c:y val="4.6296296296296294E-3"/>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CVCC!$A$2</c:f>
              <c:strCache>
                <c:ptCount val="1"/>
                <c:pt idx="0">
                  <c:v>2013</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CVCC!$B$1:$D$1</c:f>
              <c:strCache>
                <c:ptCount val="3"/>
                <c:pt idx="0">
                  <c:v>Grad Rate</c:v>
                </c:pt>
                <c:pt idx="1">
                  <c:v>Licensure Exam Pass Rate</c:v>
                </c:pt>
                <c:pt idx="2">
                  <c:v>Employment Rate (of Licensed Grads)</c:v>
                </c:pt>
              </c:strCache>
            </c:strRef>
          </c:cat>
          <c:val>
            <c:numRef>
              <c:f>CVCC!$B$2:$D$2</c:f>
              <c:numCache>
                <c:formatCode>General</c:formatCode>
                <c:ptCount val="3"/>
                <c:pt idx="0">
                  <c:v>60</c:v>
                </c:pt>
                <c:pt idx="1">
                  <c:v>100</c:v>
                </c:pt>
                <c:pt idx="2">
                  <c:v>100</c:v>
                </c:pt>
              </c:numCache>
            </c:numRef>
          </c:val>
        </c:ser>
        <c:ser>
          <c:idx val="1"/>
          <c:order val="1"/>
          <c:tx>
            <c:strRef>
              <c:f>CVCC!$A$3</c:f>
              <c:strCache>
                <c:ptCount val="1"/>
                <c:pt idx="0">
                  <c:v>2014</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CVCC!$B$1:$D$1</c:f>
              <c:strCache>
                <c:ptCount val="3"/>
                <c:pt idx="0">
                  <c:v>Grad Rate</c:v>
                </c:pt>
                <c:pt idx="1">
                  <c:v>Licensure Exam Pass Rate</c:v>
                </c:pt>
                <c:pt idx="2">
                  <c:v>Employment Rate (of Licensed Grads)</c:v>
                </c:pt>
              </c:strCache>
            </c:strRef>
          </c:cat>
          <c:val>
            <c:numRef>
              <c:f>CVCC!$B$3:$D$3</c:f>
              <c:numCache>
                <c:formatCode>General</c:formatCode>
                <c:ptCount val="3"/>
                <c:pt idx="0">
                  <c:v>59</c:v>
                </c:pt>
                <c:pt idx="1">
                  <c:v>90</c:v>
                </c:pt>
                <c:pt idx="2">
                  <c:v>50</c:v>
                </c:pt>
              </c:numCache>
            </c:numRef>
          </c:val>
        </c:ser>
        <c:dLbls>
          <c:dLblPos val="outEnd"/>
          <c:showLegendKey val="0"/>
          <c:showVal val="1"/>
          <c:showCatName val="0"/>
          <c:showSerName val="0"/>
          <c:showPercent val="0"/>
          <c:showBubbleSize val="0"/>
        </c:dLbls>
        <c:gapWidth val="219"/>
        <c:overlap val="-27"/>
        <c:axId val="34955640"/>
        <c:axId val="34955248"/>
      </c:barChart>
      <c:catAx>
        <c:axId val="349556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4955248"/>
        <c:crosses val="autoZero"/>
        <c:auto val="1"/>
        <c:lblAlgn val="ctr"/>
        <c:lblOffset val="100"/>
        <c:noMultiLvlLbl val="0"/>
      </c:catAx>
      <c:valAx>
        <c:axId val="34955248"/>
        <c:scaling>
          <c:orientation val="minMax"/>
          <c:max val="1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Percentage</a:t>
                </a:r>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4955640"/>
        <c:crosses val="autoZero"/>
        <c:crossBetween val="between"/>
        <c:majorUnit val="20"/>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Graduate</a:t>
            </a:r>
            <a:r>
              <a:rPr lang="en-US" baseline="0"/>
              <a:t> Perception of Importance (Average)</a:t>
            </a:r>
            <a:endParaRPr lang="en-US"/>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Importance!$B$1</c:f>
              <c:strCache>
                <c:ptCount val="1"/>
                <c:pt idx="0">
                  <c:v>2013</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Importance!$A$2:$A$7</c:f>
              <c:strCache>
                <c:ptCount val="6"/>
                <c:pt idx="0">
                  <c:v>PO #1</c:v>
                </c:pt>
                <c:pt idx="1">
                  <c:v>PO #2</c:v>
                </c:pt>
                <c:pt idx="2">
                  <c:v>PO #3</c:v>
                </c:pt>
                <c:pt idx="3">
                  <c:v>PO #4</c:v>
                </c:pt>
                <c:pt idx="4">
                  <c:v>PO #5</c:v>
                </c:pt>
                <c:pt idx="5">
                  <c:v>PO #6</c:v>
                </c:pt>
              </c:strCache>
            </c:strRef>
          </c:cat>
          <c:val>
            <c:numRef>
              <c:f>Importance!$B$2:$B$7</c:f>
              <c:numCache>
                <c:formatCode>General</c:formatCode>
                <c:ptCount val="6"/>
                <c:pt idx="0">
                  <c:v>6.83</c:v>
                </c:pt>
                <c:pt idx="1">
                  <c:v>6.9</c:v>
                </c:pt>
                <c:pt idx="2">
                  <c:v>6.9</c:v>
                </c:pt>
                <c:pt idx="3">
                  <c:v>6.83</c:v>
                </c:pt>
                <c:pt idx="4">
                  <c:v>6.73</c:v>
                </c:pt>
                <c:pt idx="5">
                  <c:v>6.72</c:v>
                </c:pt>
              </c:numCache>
            </c:numRef>
          </c:val>
        </c:ser>
        <c:ser>
          <c:idx val="1"/>
          <c:order val="1"/>
          <c:tx>
            <c:strRef>
              <c:f>Importance!$C$1</c:f>
              <c:strCache>
                <c:ptCount val="1"/>
                <c:pt idx="0">
                  <c:v>2014</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Importance!$A$2:$A$7</c:f>
              <c:strCache>
                <c:ptCount val="6"/>
                <c:pt idx="0">
                  <c:v>PO #1</c:v>
                </c:pt>
                <c:pt idx="1">
                  <c:v>PO #2</c:v>
                </c:pt>
                <c:pt idx="2">
                  <c:v>PO #3</c:v>
                </c:pt>
                <c:pt idx="3">
                  <c:v>PO #4</c:v>
                </c:pt>
                <c:pt idx="4">
                  <c:v>PO #5</c:v>
                </c:pt>
                <c:pt idx="5">
                  <c:v>PO #6</c:v>
                </c:pt>
              </c:strCache>
            </c:strRef>
          </c:cat>
          <c:val>
            <c:numRef>
              <c:f>Importance!$C$2:$C$7</c:f>
              <c:numCache>
                <c:formatCode>General</c:formatCode>
                <c:ptCount val="6"/>
                <c:pt idx="0">
                  <c:v>6.79</c:v>
                </c:pt>
                <c:pt idx="1">
                  <c:v>6.96</c:v>
                </c:pt>
                <c:pt idx="2">
                  <c:v>6.92</c:v>
                </c:pt>
                <c:pt idx="3">
                  <c:v>6.83</c:v>
                </c:pt>
                <c:pt idx="4">
                  <c:v>6.83</c:v>
                </c:pt>
                <c:pt idx="5">
                  <c:v>6.71</c:v>
                </c:pt>
              </c:numCache>
            </c:numRef>
          </c:val>
        </c:ser>
        <c:dLbls>
          <c:dLblPos val="outEnd"/>
          <c:showLegendKey val="0"/>
          <c:showVal val="1"/>
          <c:showCatName val="0"/>
          <c:showSerName val="0"/>
          <c:showPercent val="0"/>
          <c:showBubbleSize val="0"/>
        </c:dLbls>
        <c:gapWidth val="219"/>
        <c:overlap val="-27"/>
        <c:axId val="262920384"/>
        <c:axId val="262920776"/>
      </c:barChart>
      <c:catAx>
        <c:axId val="26292038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PTA Program Outcomes</a:t>
                </a:r>
              </a:p>
            </c:rich>
          </c:tx>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62920776"/>
        <c:crosses val="autoZero"/>
        <c:auto val="1"/>
        <c:lblAlgn val="ctr"/>
        <c:lblOffset val="100"/>
        <c:noMultiLvlLbl val="0"/>
      </c:catAx>
      <c:valAx>
        <c:axId val="26292077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1 - 7 Scale</a:t>
                </a:r>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62920384"/>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Graduate Satisfaction (Average)</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Satisfaction!$B$1</c:f>
              <c:strCache>
                <c:ptCount val="1"/>
                <c:pt idx="0">
                  <c:v>2013</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Satisfaction!$A$2:$A$7</c:f>
              <c:strCache>
                <c:ptCount val="6"/>
                <c:pt idx="0">
                  <c:v>PO #1</c:v>
                </c:pt>
                <c:pt idx="1">
                  <c:v>PO #2</c:v>
                </c:pt>
                <c:pt idx="2">
                  <c:v>PO #3</c:v>
                </c:pt>
                <c:pt idx="3">
                  <c:v>PO #4</c:v>
                </c:pt>
                <c:pt idx="4">
                  <c:v>PO #5</c:v>
                </c:pt>
                <c:pt idx="5">
                  <c:v>PO #6</c:v>
                </c:pt>
              </c:strCache>
            </c:strRef>
          </c:cat>
          <c:val>
            <c:numRef>
              <c:f>Satisfaction!$B$2:$B$7</c:f>
              <c:numCache>
                <c:formatCode>General</c:formatCode>
                <c:ptCount val="6"/>
                <c:pt idx="0">
                  <c:v>6.57</c:v>
                </c:pt>
                <c:pt idx="1">
                  <c:v>6.56</c:v>
                </c:pt>
                <c:pt idx="2">
                  <c:v>6.64</c:v>
                </c:pt>
                <c:pt idx="3">
                  <c:v>6.13</c:v>
                </c:pt>
                <c:pt idx="4">
                  <c:v>6.22</c:v>
                </c:pt>
                <c:pt idx="5">
                  <c:v>6.65</c:v>
                </c:pt>
              </c:numCache>
            </c:numRef>
          </c:val>
        </c:ser>
        <c:ser>
          <c:idx val="1"/>
          <c:order val="1"/>
          <c:tx>
            <c:strRef>
              <c:f>Satisfaction!$C$1</c:f>
              <c:strCache>
                <c:ptCount val="1"/>
                <c:pt idx="0">
                  <c:v>2014</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Satisfaction!$A$2:$A$7</c:f>
              <c:strCache>
                <c:ptCount val="6"/>
                <c:pt idx="0">
                  <c:v>PO #1</c:v>
                </c:pt>
                <c:pt idx="1">
                  <c:v>PO #2</c:v>
                </c:pt>
                <c:pt idx="2">
                  <c:v>PO #3</c:v>
                </c:pt>
                <c:pt idx="3">
                  <c:v>PO #4</c:v>
                </c:pt>
                <c:pt idx="4">
                  <c:v>PO #5</c:v>
                </c:pt>
                <c:pt idx="5">
                  <c:v>PO #6</c:v>
                </c:pt>
              </c:strCache>
            </c:strRef>
          </c:cat>
          <c:val>
            <c:numRef>
              <c:f>Satisfaction!$C$2:$C$7</c:f>
              <c:numCache>
                <c:formatCode>General</c:formatCode>
                <c:ptCount val="6"/>
                <c:pt idx="0">
                  <c:v>6.29</c:v>
                </c:pt>
                <c:pt idx="1">
                  <c:v>6.54</c:v>
                </c:pt>
                <c:pt idx="2">
                  <c:v>6.13</c:v>
                </c:pt>
                <c:pt idx="3">
                  <c:v>5.58</c:v>
                </c:pt>
                <c:pt idx="4">
                  <c:v>6.13</c:v>
                </c:pt>
                <c:pt idx="5">
                  <c:v>6.79</c:v>
                </c:pt>
              </c:numCache>
            </c:numRef>
          </c:val>
        </c:ser>
        <c:dLbls>
          <c:dLblPos val="outEnd"/>
          <c:showLegendKey val="0"/>
          <c:showVal val="1"/>
          <c:showCatName val="0"/>
          <c:showSerName val="0"/>
          <c:showPercent val="0"/>
          <c:showBubbleSize val="0"/>
        </c:dLbls>
        <c:gapWidth val="219"/>
        <c:overlap val="-27"/>
        <c:axId val="262921560"/>
        <c:axId val="262921952"/>
      </c:barChart>
      <c:catAx>
        <c:axId val="26292156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PTA Program Outcomes</a:t>
                </a:r>
              </a:p>
            </c:rich>
          </c:tx>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62921952"/>
        <c:crosses val="autoZero"/>
        <c:auto val="1"/>
        <c:lblAlgn val="ctr"/>
        <c:lblOffset val="100"/>
        <c:noMultiLvlLbl val="0"/>
      </c:catAx>
      <c:valAx>
        <c:axId val="26292195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1 - 7 Scale</a:t>
                </a:r>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62921560"/>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title>
      <c:tx>
        <c:rich>
          <a:bodyPr/>
          <a:lstStyle/>
          <a:p>
            <a:pPr>
              <a:defRPr/>
            </a:pPr>
            <a:r>
              <a:rPr lang="en-US" sz="1100"/>
              <a:t>First Clinical -</a:t>
            </a:r>
            <a:r>
              <a:rPr lang="en-US" sz="1100" baseline="0"/>
              <a:t> Average Rating for Communication</a:t>
            </a:r>
            <a:endParaRPr lang="en-US" sz="1100"/>
          </a:p>
        </c:rich>
      </c:tx>
      <c:layout/>
      <c:overlay val="0"/>
    </c:title>
    <c:autoTitleDeleted val="0"/>
    <c:plotArea>
      <c:layout/>
      <c:lineChart>
        <c:grouping val="standard"/>
        <c:varyColors val="0"/>
        <c:ser>
          <c:idx val="0"/>
          <c:order val="0"/>
          <c:tx>
            <c:strRef>
              <c:f>'1st Communication'!$B$1</c:f>
              <c:strCache>
                <c:ptCount val="1"/>
                <c:pt idx="0">
                  <c:v>Avg Rating at Mid-Term</c:v>
                </c:pt>
              </c:strCache>
            </c:strRef>
          </c:tx>
          <c:dLbls>
            <c:spPr>
              <a:noFill/>
              <a:ln>
                <a:noFill/>
              </a:ln>
              <a:effectLst/>
            </c:sp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'1st Communication'!$A$2:$A$4</c:f>
              <c:strCache>
                <c:ptCount val="3"/>
                <c:pt idx="0">
                  <c:v>Fall 2012</c:v>
                </c:pt>
                <c:pt idx="1">
                  <c:v>Fall 2013</c:v>
                </c:pt>
                <c:pt idx="2">
                  <c:v>Fall 2014</c:v>
                </c:pt>
              </c:strCache>
            </c:strRef>
          </c:cat>
          <c:val>
            <c:numRef>
              <c:f>'1st Communication'!$B$2:$B$4</c:f>
              <c:numCache>
                <c:formatCode>0.00</c:formatCode>
                <c:ptCount val="3"/>
                <c:pt idx="0">
                  <c:v>4.2727272727272725</c:v>
                </c:pt>
                <c:pt idx="1">
                  <c:v>4.6428571428571432</c:v>
                </c:pt>
                <c:pt idx="2">
                  <c:v>5.2162162162162158</c:v>
                </c:pt>
              </c:numCache>
            </c:numRef>
          </c:val>
          <c:smooth val="0"/>
        </c:ser>
        <c:ser>
          <c:idx val="1"/>
          <c:order val="1"/>
          <c:tx>
            <c:strRef>
              <c:f>'1st Communication'!$C$1</c:f>
              <c:strCache>
                <c:ptCount val="1"/>
                <c:pt idx="0">
                  <c:v>Avg Rating at Final</c:v>
                </c:pt>
              </c:strCache>
            </c:strRef>
          </c:tx>
          <c:dLbls>
            <c:spPr>
              <a:noFill/>
              <a:ln>
                <a:noFill/>
              </a:ln>
              <a:effectLst/>
            </c:sp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'1st Communication'!$A$2:$A$4</c:f>
              <c:strCache>
                <c:ptCount val="3"/>
                <c:pt idx="0">
                  <c:v>Fall 2012</c:v>
                </c:pt>
                <c:pt idx="1">
                  <c:v>Fall 2013</c:v>
                </c:pt>
                <c:pt idx="2">
                  <c:v>Fall 2014</c:v>
                </c:pt>
              </c:strCache>
            </c:strRef>
          </c:cat>
          <c:val>
            <c:numRef>
              <c:f>'1st Communication'!$C$2:$C$4</c:f>
              <c:numCache>
                <c:formatCode>0.00</c:formatCode>
                <c:ptCount val="3"/>
                <c:pt idx="0">
                  <c:v>6.59375</c:v>
                </c:pt>
                <c:pt idx="1">
                  <c:v>6.8928571428571432</c:v>
                </c:pt>
                <c:pt idx="2">
                  <c:v>7.1388888888888893</c:v>
                </c:pt>
              </c:numCache>
            </c:numRef>
          </c:val>
          <c:smooth val="0"/>
        </c:ser>
        <c:dLbls>
          <c:dLblPos val="t"/>
          <c:showLegendKey val="0"/>
          <c:showVal val="1"/>
          <c:showCatName val="0"/>
          <c:showSerName val="0"/>
          <c:showPercent val="0"/>
          <c:showBubbleSize val="0"/>
        </c:dLbls>
        <c:marker val="1"/>
        <c:smooth val="0"/>
        <c:axId val="262922736"/>
        <c:axId val="262923128"/>
      </c:lineChart>
      <c:catAx>
        <c:axId val="262922736"/>
        <c:scaling>
          <c:orientation val="minMax"/>
        </c:scaling>
        <c:delete val="0"/>
        <c:axPos val="b"/>
        <c:numFmt formatCode="General" sourceLinked="0"/>
        <c:majorTickMark val="out"/>
        <c:minorTickMark val="none"/>
        <c:tickLblPos val="nextTo"/>
        <c:crossAx val="262923128"/>
        <c:crosses val="autoZero"/>
        <c:auto val="1"/>
        <c:lblAlgn val="ctr"/>
        <c:lblOffset val="100"/>
        <c:noMultiLvlLbl val="0"/>
      </c:catAx>
      <c:valAx>
        <c:axId val="262923128"/>
        <c:scaling>
          <c:orientation val="minMax"/>
          <c:max val="10"/>
          <c:min val="2"/>
        </c:scaling>
        <c:delete val="0"/>
        <c:axPos val="l"/>
        <c:majorGridlines/>
        <c:title>
          <c:tx>
            <c:rich>
              <a:bodyPr rot="-5400000" vert="horz"/>
              <a:lstStyle/>
              <a:p>
                <a:pPr>
                  <a:defRPr/>
                </a:pPr>
                <a:r>
                  <a:rPr lang="en-US" sz="1000"/>
                  <a:t>CPI</a:t>
                </a:r>
                <a:r>
                  <a:rPr lang="en-US" sz="1000" baseline="0"/>
                  <a:t> Rating (0-10)</a:t>
                </a:r>
                <a:endParaRPr lang="en-US" sz="1000"/>
              </a:p>
            </c:rich>
          </c:tx>
          <c:layout/>
          <c:overlay val="0"/>
        </c:title>
        <c:numFmt formatCode="0.00" sourceLinked="1"/>
        <c:majorTickMark val="out"/>
        <c:minorTickMark val="none"/>
        <c:tickLblPos val="nextTo"/>
        <c:crossAx val="262922736"/>
        <c:crosses val="autoZero"/>
        <c:crossBetween val="between"/>
        <c:majorUnit val="2"/>
      </c:valAx>
    </c:plotArea>
    <c:legend>
      <c:legendPos val="b"/>
      <c:layout/>
      <c:overlay val="0"/>
    </c:legend>
    <c:plotVisOnly val="1"/>
    <c:dispBlanksAs val="gap"/>
    <c:showDLblsOverMax val="0"/>
  </c:chart>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title>
      <c:tx>
        <c:rich>
          <a:bodyPr/>
          <a:lstStyle/>
          <a:p>
            <a:pPr>
              <a:defRPr/>
            </a:pPr>
            <a:r>
              <a:rPr lang="en-US" sz="1100"/>
              <a:t>Second</a:t>
            </a:r>
            <a:r>
              <a:rPr lang="en-US" sz="1100" baseline="0"/>
              <a:t> Clinical - Average Rating for Communication</a:t>
            </a:r>
            <a:endParaRPr lang="en-US" sz="1100"/>
          </a:p>
        </c:rich>
      </c:tx>
      <c:layout/>
      <c:overlay val="0"/>
    </c:title>
    <c:autoTitleDeleted val="0"/>
    <c:plotArea>
      <c:layout/>
      <c:lineChart>
        <c:grouping val="standard"/>
        <c:varyColors val="0"/>
        <c:ser>
          <c:idx val="0"/>
          <c:order val="0"/>
          <c:tx>
            <c:strRef>
              <c:f>'2nd Communication'!$B$1</c:f>
              <c:strCache>
                <c:ptCount val="1"/>
                <c:pt idx="0">
                  <c:v>Avg Rating at Mid-Term</c:v>
                </c:pt>
              </c:strCache>
            </c:strRef>
          </c:tx>
          <c:dLbls>
            <c:dLbl>
              <c:idx val="0"/>
              <c:layout>
                <c:manualLayout>
                  <c:x val="-5.3910870744497227E-2"/>
                  <c:y val="7.8185543262788357E-2"/>
                </c:manualLayout>
              </c:layout>
              <c:dLblPos val="r"/>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5.3910870744497227E-2"/>
                  <c:y val="7.2559664219187789E-2"/>
                </c:manualLayout>
              </c:layout>
              <c:dLblPos val="r"/>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5.1127293848185471E-2"/>
                  <c:y val="7.2559664219187789E-2"/>
                </c:manualLayout>
              </c:layout>
              <c:dLblPos val="r"/>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'2nd Communication'!$A$2:$A$4</c:f>
              <c:strCache>
                <c:ptCount val="3"/>
                <c:pt idx="0">
                  <c:v>Spring 2012</c:v>
                </c:pt>
                <c:pt idx="1">
                  <c:v>Spring 2013</c:v>
                </c:pt>
                <c:pt idx="2">
                  <c:v>Spring 2014</c:v>
                </c:pt>
              </c:strCache>
            </c:strRef>
          </c:cat>
          <c:val>
            <c:numRef>
              <c:f>'2nd Communication'!$B$2:$B$4</c:f>
              <c:numCache>
                <c:formatCode>0.00</c:formatCode>
                <c:ptCount val="3"/>
                <c:pt idx="0">
                  <c:v>6.384615384615385</c:v>
                </c:pt>
                <c:pt idx="1">
                  <c:v>6.2857142857142856</c:v>
                </c:pt>
                <c:pt idx="2">
                  <c:v>6.1851851851851851</c:v>
                </c:pt>
              </c:numCache>
            </c:numRef>
          </c:val>
          <c:smooth val="0"/>
        </c:ser>
        <c:ser>
          <c:idx val="1"/>
          <c:order val="1"/>
          <c:tx>
            <c:strRef>
              <c:f>'2nd Communication'!$C$1</c:f>
              <c:strCache>
                <c:ptCount val="1"/>
                <c:pt idx="0">
                  <c:v>Avg Rating at Final</c:v>
                </c:pt>
              </c:strCache>
            </c:strRef>
          </c:tx>
          <c:dLbls>
            <c:spPr>
              <a:noFill/>
              <a:ln>
                <a:noFill/>
              </a:ln>
              <a:effectLst/>
            </c:sp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'2nd Communication'!$A$2:$A$4</c:f>
              <c:strCache>
                <c:ptCount val="3"/>
                <c:pt idx="0">
                  <c:v>Spring 2012</c:v>
                </c:pt>
                <c:pt idx="1">
                  <c:v>Spring 2013</c:v>
                </c:pt>
                <c:pt idx="2">
                  <c:v>Spring 2014</c:v>
                </c:pt>
              </c:strCache>
            </c:strRef>
          </c:cat>
          <c:val>
            <c:numRef>
              <c:f>'2nd Communication'!$C$2:$C$4</c:f>
              <c:numCache>
                <c:formatCode>0.00</c:formatCode>
                <c:ptCount val="3"/>
                <c:pt idx="0">
                  <c:v>7.9230769230769234</c:v>
                </c:pt>
                <c:pt idx="1">
                  <c:v>7.9259259259259256</c:v>
                </c:pt>
                <c:pt idx="2">
                  <c:v>7.68</c:v>
                </c:pt>
              </c:numCache>
            </c:numRef>
          </c:val>
          <c:smooth val="0"/>
        </c:ser>
        <c:dLbls>
          <c:dLblPos val="t"/>
          <c:showLegendKey val="0"/>
          <c:showVal val="1"/>
          <c:showCatName val="0"/>
          <c:showSerName val="0"/>
          <c:showPercent val="0"/>
          <c:showBubbleSize val="0"/>
        </c:dLbls>
        <c:marker val="1"/>
        <c:smooth val="0"/>
        <c:axId val="263896600"/>
        <c:axId val="263896992"/>
      </c:lineChart>
      <c:catAx>
        <c:axId val="263896600"/>
        <c:scaling>
          <c:orientation val="minMax"/>
        </c:scaling>
        <c:delete val="0"/>
        <c:axPos val="b"/>
        <c:numFmt formatCode="General" sourceLinked="0"/>
        <c:majorTickMark val="out"/>
        <c:minorTickMark val="none"/>
        <c:tickLblPos val="nextTo"/>
        <c:crossAx val="263896992"/>
        <c:crosses val="autoZero"/>
        <c:auto val="1"/>
        <c:lblAlgn val="ctr"/>
        <c:lblOffset val="100"/>
        <c:noMultiLvlLbl val="0"/>
      </c:catAx>
      <c:valAx>
        <c:axId val="263896992"/>
        <c:scaling>
          <c:orientation val="minMax"/>
          <c:min val="2"/>
        </c:scaling>
        <c:delete val="0"/>
        <c:axPos val="l"/>
        <c:majorGridlines/>
        <c:title>
          <c:tx>
            <c:rich>
              <a:bodyPr rot="-5400000" vert="horz"/>
              <a:lstStyle/>
              <a:p>
                <a:pPr>
                  <a:defRPr/>
                </a:pPr>
                <a:r>
                  <a:rPr lang="en-US" sz="1000"/>
                  <a:t>CPI Rating (0-10)</a:t>
                </a:r>
              </a:p>
            </c:rich>
          </c:tx>
          <c:layout/>
          <c:overlay val="0"/>
        </c:title>
        <c:numFmt formatCode="0.00" sourceLinked="1"/>
        <c:majorTickMark val="out"/>
        <c:minorTickMark val="none"/>
        <c:tickLblPos val="nextTo"/>
        <c:crossAx val="263896600"/>
        <c:crosses val="autoZero"/>
        <c:crossBetween val="between"/>
        <c:majorUnit val="2"/>
      </c:valAx>
    </c:plotArea>
    <c:legend>
      <c:legendPos val="b"/>
      <c:layout/>
      <c:overlay val="0"/>
    </c:legend>
    <c:plotVisOnly val="1"/>
    <c:dispBlanksAs val="gap"/>
    <c:showDLblsOverMax val="0"/>
  </c:chart>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3EA9CF-93FE-4B8B-A189-B2E2158AB5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233</TotalTime>
  <Pages>48</Pages>
  <Words>6961</Words>
  <Characters>39683</Characters>
  <Application>Microsoft Office Word</Application>
  <DocSecurity>0</DocSecurity>
  <Lines>330</Lines>
  <Paragraphs>93</Paragraphs>
  <ScaleCrop>false</ScaleCrop>
  <HeadingPairs>
    <vt:vector size="2" baseType="variant">
      <vt:variant>
        <vt:lpstr>Title</vt:lpstr>
      </vt:variant>
      <vt:variant>
        <vt:i4>1</vt:i4>
      </vt:variant>
    </vt:vector>
  </HeadingPairs>
  <TitlesOfParts>
    <vt:vector size="1" baseType="lpstr">
      <vt:lpstr/>
    </vt:vector>
  </TitlesOfParts>
  <Company>Sinclair Community College</Company>
  <LinksUpToDate>false</LinksUpToDate>
  <CharactersWithSpaces>46551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Sinclair Community College</dc:creator>
  <cp:lastModifiedBy>Garber, Emily</cp:lastModifiedBy>
  <cp:revision>17</cp:revision>
  <cp:lastPrinted>2015-02-27T20:43:00Z</cp:lastPrinted>
  <dcterms:created xsi:type="dcterms:W3CDTF">2015-02-27T20:44:00Z</dcterms:created>
  <dcterms:modified xsi:type="dcterms:W3CDTF">2015-04-22T22:31:00Z</dcterms:modified>
</cp:coreProperties>
</file>